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281534" w14:textId="38995C94" w:rsidR="00957F89" w:rsidRPr="00B6436C" w:rsidRDefault="00957F89" w:rsidP="00B6436C">
      <w:pPr>
        <w:jc w:val="center"/>
        <w:rPr>
          <w:rFonts w:eastAsia="Times New Roman" w:cstheme="minorHAnsi"/>
          <w:sz w:val="28"/>
          <w:szCs w:val="28"/>
        </w:rPr>
      </w:pPr>
    </w:p>
    <w:p w14:paraId="78C22A3A" w14:textId="77777777" w:rsidR="00957F89" w:rsidRPr="00B6436C" w:rsidRDefault="00957F89" w:rsidP="00B6436C">
      <w:pPr>
        <w:jc w:val="center"/>
        <w:rPr>
          <w:rFonts w:eastAsia="Times New Roman" w:cstheme="minorHAnsi"/>
          <w:sz w:val="28"/>
          <w:szCs w:val="28"/>
        </w:rPr>
      </w:pPr>
    </w:p>
    <w:p w14:paraId="6D383CBD" w14:textId="1F2CB442" w:rsidR="00957F89" w:rsidRDefault="00957F89" w:rsidP="00B6436C">
      <w:pPr>
        <w:jc w:val="center"/>
        <w:rPr>
          <w:rFonts w:eastAsia="Times New Roman" w:cstheme="minorHAnsi"/>
          <w:b/>
          <w:bCs/>
          <w:sz w:val="28"/>
          <w:szCs w:val="28"/>
        </w:rPr>
      </w:pPr>
    </w:p>
    <w:p w14:paraId="110BFB15" w14:textId="13AC0376" w:rsidR="00C2280A" w:rsidRDefault="00C2280A" w:rsidP="00B6436C">
      <w:pPr>
        <w:jc w:val="center"/>
        <w:rPr>
          <w:rFonts w:eastAsia="Times New Roman" w:cstheme="minorHAnsi"/>
          <w:b/>
          <w:bCs/>
          <w:sz w:val="28"/>
          <w:szCs w:val="28"/>
        </w:rPr>
      </w:pPr>
    </w:p>
    <w:p w14:paraId="490D8D80" w14:textId="77777777" w:rsidR="00C2280A" w:rsidRPr="00B6436C" w:rsidRDefault="00C2280A" w:rsidP="00B6436C">
      <w:pPr>
        <w:jc w:val="center"/>
        <w:rPr>
          <w:rFonts w:eastAsia="Times New Roman" w:cstheme="minorHAnsi"/>
          <w:b/>
          <w:bCs/>
          <w:sz w:val="28"/>
          <w:szCs w:val="28"/>
        </w:rPr>
      </w:pPr>
    </w:p>
    <w:p w14:paraId="217F0623" w14:textId="77777777" w:rsidR="00957F89" w:rsidRPr="00B6436C" w:rsidRDefault="00957F89" w:rsidP="00B6436C">
      <w:pPr>
        <w:jc w:val="center"/>
        <w:rPr>
          <w:rFonts w:eastAsia="Times New Roman" w:cstheme="minorHAnsi"/>
          <w:b/>
          <w:bCs/>
          <w:sz w:val="28"/>
          <w:szCs w:val="28"/>
        </w:rPr>
      </w:pPr>
    </w:p>
    <w:p w14:paraId="211B40B6" w14:textId="77777777" w:rsidR="00957F89" w:rsidRPr="00B6436C" w:rsidRDefault="00957F89" w:rsidP="00B6436C">
      <w:pPr>
        <w:jc w:val="center"/>
        <w:rPr>
          <w:rFonts w:eastAsia="Times New Roman" w:cstheme="minorHAnsi"/>
          <w:b/>
          <w:bCs/>
          <w:sz w:val="28"/>
          <w:szCs w:val="28"/>
        </w:rPr>
      </w:pPr>
    </w:p>
    <w:p w14:paraId="2D8E5159" w14:textId="77777777" w:rsidR="00957F89" w:rsidRPr="00B6436C" w:rsidRDefault="00957F89" w:rsidP="00B6436C">
      <w:pPr>
        <w:jc w:val="center"/>
        <w:rPr>
          <w:rFonts w:eastAsia="Times New Roman" w:cstheme="minorHAnsi"/>
          <w:b/>
          <w:bCs/>
          <w:sz w:val="28"/>
          <w:szCs w:val="28"/>
        </w:rPr>
      </w:pPr>
    </w:p>
    <w:p w14:paraId="47D384E5" w14:textId="77777777" w:rsidR="00957F89" w:rsidRPr="00B6436C" w:rsidRDefault="00957F89" w:rsidP="00B6436C">
      <w:pPr>
        <w:spacing w:before="1"/>
        <w:jc w:val="center"/>
        <w:rPr>
          <w:rFonts w:eastAsia="Times New Roman" w:cstheme="minorHAnsi"/>
          <w:b/>
          <w:bCs/>
          <w:sz w:val="28"/>
          <w:szCs w:val="28"/>
        </w:rPr>
      </w:pPr>
    </w:p>
    <w:p w14:paraId="189E1C8F" w14:textId="77777777" w:rsidR="009B49CC" w:rsidRPr="00862F20" w:rsidRDefault="00D92D87" w:rsidP="00B6436C">
      <w:pPr>
        <w:spacing w:line="451" w:lineRule="auto"/>
        <w:ind w:left="930" w:right="940"/>
        <w:jc w:val="center"/>
        <w:rPr>
          <w:rFonts w:eastAsia="Times New Roman" w:cstheme="minorHAnsi"/>
          <w:b/>
          <w:bCs/>
          <w:w w:val="99"/>
          <w:sz w:val="28"/>
          <w:szCs w:val="28"/>
        </w:rPr>
      </w:pPr>
      <w:r w:rsidRPr="00862F20">
        <w:rPr>
          <w:rFonts w:eastAsia="Times New Roman" w:cstheme="minorHAnsi"/>
          <w:b/>
          <w:bCs/>
          <w:sz w:val="28"/>
          <w:szCs w:val="28"/>
        </w:rPr>
        <w:t>Hyperpolarized Pyruvate (</w:t>
      </w:r>
      <w:r w:rsidRPr="003F4FAF">
        <w:rPr>
          <w:b/>
          <w:sz w:val="28"/>
          <w:vertAlign w:val="superscript"/>
        </w:rPr>
        <w:t>13</w:t>
      </w:r>
      <w:r w:rsidRPr="00862F20">
        <w:rPr>
          <w:rFonts w:eastAsia="Times New Roman" w:cstheme="minorHAnsi"/>
          <w:b/>
          <w:bCs/>
          <w:sz w:val="28"/>
          <w:szCs w:val="28"/>
        </w:rPr>
        <w:t>C) Injection</w:t>
      </w:r>
    </w:p>
    <w:p w14:paraId="04BA6BDA" w14:textId="77777777" w:rsidR="00957F89" w:rsidRPr="00B6436C" w:rsidRDefault="00D92D87" w:rsidP="00B6436C">
      <w:pPr>
        <w:spacing w:line="451" w:lineRule="auto"/>
        <w:ind w:left="930" w:right="940"/>
        <w:jc w:val="center"/>
        <w:rPr>
          <w:rFonts w:eastAsia="Times New Roman" w:cstheme="minorHAnsi"/>
          <w:sz w:val="28"/>
          <w:szCs w:val="28"/>
        </w:rPr>
      </w:pPr>
      <w:r w:rsidRPr="00B6436C">
        <w:rPr>
          <w:rFonts w:eastAsia="Times New Roman" w:cstheme="minorHAnsi"/>
          <w:b/>
          <w:bCs/>
          <w:sz w:val="28"/>
          <w:szCs w:val="28"/>
        </w:rPr>
        <w:t>INVESTIGATOR’S BROCHURE</w:t>
      </w:r>
    </w:p>
    <w:p w14:paraId="7EC82BC2" w14:textId="77777777" w:rsidR="00957F89" w:rsidRPr="00B6436C" w:rsidRDefault="00957F89" w:rsidP="00B6436C">
      <w:pPr>
        <w:jc w:val="center"/>
        <w:rPr>
          <w:rFonts w:eastAsia="Times New Roman" w:cstheme="minorHAnsi"/>
          <w:b/>
          <w:bCs/>
          <w:sz w:val="28"/>
          <w:szCs w:val="28"/>
        </w:rPr>
      </w:pPr>
    </w:p>
    <w:p w14:paraId="6043C010" w14:textId="77777777" w:rsidR="00957F89" w:rsidRPr="00B6436C" w:rsidRDefault="00957F89" w:rsidP="00B6436C">
      <w:pPr>
        <w:jc w:val="center"/>
        <w:rPr>
          <w:rFonts w:eastAsia="Times New Roman" w:cstheme="minorHAnsi"/>
          <w:b/>
          <w:bCs/>
          <w:sz w:val="28"/>
          <w:szCs w:val="28"/>
        </w:rPr>
      </w:pPr>
    </w:p>
    <w:p w14:paraId="222C1921" w14:textId="77777777" w:rsidR="00957F89" w:rsidRPr="00B6436C" w:rsidRDefault="00957F89" w:rsidP="00B6436C">
      <w:pPr>
        <w:jc w:val="center"/>
        <w:rPr>
          <w:rFonts w:eastAsia="Times New Roman" w:cstheme="minorHAnsi"/>
          <w:b/>
          <w:bCs/>
          <w:sz w:val="28"/>
          <w:szCs w:val="28"/>
        </w:rPr>
      </w:pPr>
    </w:p>
    <w:p w14:paraId="10CCCF5F" w14:textId="77777777" w:rsidR="00957F89" w:rsidRPr="00B6436C" w:rsidRDefault="00957F89" w:rsidP="00B6436C">
      <w:pPr>
        <w:jc w:val="center"/>
        <w:rPr>
          <w:rFonts w:eastAsia="Times New Roman" w:cstheme="minorHAnsi"/>
          <w:b/>
          <w:bCs/>
          <w:sz w:val="28"/>
          <w:szCs w:val="28"/>
        </w:rPr>
      </w:pPr>
    </w:p>
    <w:p w14:paraId="1C3C34D3" w14:textId="77777777" w:rsidR="00957F89" w:rsidRPr="00B6436C" w:rsidRDefault="00957F89" w:rsidP="00B6436C">
      <w:pPr>
        <w:jc w:val="center"/>
        <w:rPr>
          <w:rFonts w:eastAsia="Times New Roman" w:cstheme="minorHAnsi"/>
          <w:sz w:val="28"/>
          <w:szCs w:val="28"/>
        </w:rPr>
      </w:pPr>
    </w:p>
    <w:p w14:paraId="4CC336CD" w14:textId="77777777" w:rsidR="00957F89" w:rsidRPr="00B6436C" w:rsidRDefault="00957F89" w:rsidP="00B6436C">
      <w:pPr>
        <w:jc w:val="center"/>
        <w:rPr>
          <w:rFonts w:eastAsia="Times New Roman" w:cstheme="minorHAnsi"/>
          <w:sz w:val="28"/>
          <w:szCs w:val="28"/>
        </w:rPr>
      </w:pPr>
    </w:p>
    <w:p w14:paraId="781A407E" w14:textId="77777777" w:rsidR="00957F89" w:rsidRPr="00B6436C" w:rsidRDefault="00957F89" w:rsidP="00B6436C">
      <w:pPr>
        <w:jc w:val="center"/>
        <w:rPr>
          <w:rFonts w:eastAsia="Times New Roman" w:cstheme="minorHAnsi"/>
          <w:sz w:val="28"/>
          <w:szCs w:val="28"/>
        </w:rPr>
      </w:pPr>
    </w:p>
    <w:p w14:paraId="222922CD" w14:textId="77777777" w:rsidR="00957F89" w:rsidRPr="00B6436C" w:rsidRDefault="00957F89" w:rsidP="00B6436C">
      <w:pPr>
        <w:jc w:val="center"/>
        <w:rPr>
          <w:rFonts w:eastAsia="Times New Roman" w:cstheme="minorHAnsi"/>
          <w:sz w:val="28"/>
          <w:szCs w:val="28"/>
        </w:rPr>
      </w:pPr>
    </w:p>
    <w:p w14:paraId="1F28E439" w14:textId="77777777" w:rsidR="00957F89" w:rsidRPr="00B6436C" w:rsidRDefault="00957F89" w:rsidP="00B6436C">
      <w:pPr>
        <w:jc w:val="center"/>
        <w:rPr>
          <w:rFonts w:eastAsia="Times New Roman" w:cstheme="minorHAnsi"/>
          <w:sz w:val="28"/>
          <w:szCs w:val="28"/>
        </w:rPr>
      </w:pPr>
    </w:p>
    <w:p w14:paraId="6AF746E5" w14:textId="77777777" w:rsidR="00955B21" w:rsidRPr="00955B21" w:rsidRDefault="00955B21" w:rsidP="00955B21">
      <w:pPr>
        <w:spacing w:line="360" w:lineRule="atLeast"/>
        <w:jc w:val="center"/>
        <w:rPr>
          <w:b/>
          <w:color w:val="FF0000"/>
        </w:rPr>
      </w:pPr>
      <w:r w:rsidRPr="00955B21">
        <w:rPr>
          <w:b/>
          <w:color w:val="FF0000"/>
        </w:rPr>
        <w:t>IND # put your IND# here</w:t>
      </w:r>
    </w:p>
    <w:p w14:paraId="2B67B521" w14:textId="77777777" w:rsidR="00955B21" w:rsidRPr="00955B21" w:rsidRDefault="00955B21" w:rsidP="00955B21">
      <w:pPr>
        <w:spacing w:line="360" w:lineRule="atLeast"/>
        <w:jc w:val="center"/>
        <w:rPr>
          <w:b/>
          <w:color w:val="FF0000"/>
        </w:rPr>
      </w:pPr>
    </w:p>
    <w:p w14:paraId="449C893B" w14:textId="77777777" w:rsidR="00955B21" w:rsidRPr="00955B21" w:rsidRDefault="00955B21" w:rsidP="00955B21">
      <w:pPr>
        <w:spacing w:line="360" w:lineRule="atLeast"/>
        <w:jc w:val="center"/>
        <w:rPr>
          <w:b/>
          <w:color w:val="FF0000"/>
        </w:rPr>
      </w:pPr>
    </w:p>
    <w:p w14:paraId="4E824C6A" w14:textId="444978E5" w:rsidR="009443AA" w:rsidRPr="00955B21" w:rsidRDefault="00955B21" w:rsidP="00955B21">
      <w:pPr>
        <w:spacing w:line="360" w:lineRule="atLeast"/>
        <w:jc w:val="center"/>
        <w:rPr>
          <w:b/>
          <w:color w:val="FF0000"/>
        </w:rPr>
      </w:pPr>
      <w:r w:rsidRPr="00955B21">
        <w:rPr>
          <w:b/>
          <w:color w:val="FF0000"/>
        </w:rPr>
        <w:t>Put your Name and Address here</w:t>
      </w:r>
    </w:p>
    <w:p w14:paraId="77BA592B" w14:textId="77777777" w:rsidR="009443AA" w:rsidRDefault="009443AA" w:rsidP="009443AA">
      <w:pPr>
        <w:spacing w:line="360" w:lineRule="atLeast"/>
        <w:jc w:val="center"/>
        <w:rPr>
          <w:b/>
        </w:rPr>
      </w:pPr>
    </w:p>
    <w:p w14:paraId="1D0F94C5" w14:textId="77777777" w:rsidR="009443AA" w:rsidRPr="00C55048" w:rsidRDefault="009443AA" w:rsidP="009443AA">
      <w:pPr>
        <w:ind w:left="3240" w:hanging="1440"/>
        <w:rPr>
          <w:b/>
        </w:rPr>
      </w:pPr>
    </w:p>
    <w:p w14:paraId="154BAB11" w14:textId="77777777" w:rsidR="00D92D87" w:rsidRPr="00B6436C" w:rsidRDefault="00D92D87" w:rsidP="00B6436C">
      <w:pPr>
        <w:jc w:val="center"/>
        <w:rPr>
          <w:rFonts w:cstheme="minorHAnsi"/>
          <w:sz w:val="28"/>
          <w:szCs w:val="28"/>
        </w:rPr>
      </w:pPr>
    </w:p>
    <w:p w14:paraId="12EE5BA8" w14:textId="77777777" w:rsidR="00957F89" w:rsidRPr="00B6436C" w:rsidRDefault="00957F89" w:rsidP="00B6436C">
      <w:pPr>
        <w:jc w:val="center"/>
        <w:rPr>
          <w:rFonts w:eastAsia="Times New Roman" w:cstheme="minorHAnsi"/>
          <w:sz w:val="28"/>
          <w:szCs w:val="28"/>
        </w:rPr>
      </w:pPr>
    </w:p>
    <w:p w14:paraId="40AE4C73" w14:textId="77777777" w:rsidR="00B6436C" w:rsidRPr="00B6436C" w:rsidRDefault="00B6436C" w:rsidP="00B6436C">
      <w:pPr>
        <w:spacing w:line="360" w:lineRule="atLeast"/>
        <w:jc w:val="center"/>
        <w:rPr>
          <w:rFonts w:cstheme="minorHAnsi"/>
          <w:b/>
          <w:sz w:val="28"/>
          <w:szCs w:val="28"/>
        </w:rPr>
      </w:pPr>
    </w:p>
    <w:p w14:paraId="79B7A686" w14:textId="07143FCE" w:rsidR="00B6436C" w:rsidRPr="00B6436C" w:rsidRDefault="00B6436C" w:rsidP="00B6436C">
      <w:pPr>
        <w:jc w:val="center"/>
        <w:rPr>
          <w:rFonts w:cstheme="minorHAnsi"/>
          <w:b/>
          <w:sz w:val="28"/>
          <w:szCs w:val="28"/>
        </w:rPr>
      </w:pPr>
      <w:r w:rsidRPr="00B6436C">
        <w:rPr>
          <w:rFonts w:cstheme="minorHAnsi"/>
          <w:b/>
          <w:sz w:val="28"/>
          <w:szCs w:val="28"/>
        </w:rPr>
        <w:t xml:space="preserve">IB Edition Number: </w:t>
      </w:r>
      <w:r w:rsidR="00CE0A09">
        <w:rPr>
          <w:rFonts w:cstheme="minorHAnsi"/>
          <w:b/>
          <w:sz w:val="28"/>
          <w:szCs w:val="28"/>
        </w:rPr>
        <w:t>7.0</w:t>
      </w:r>
    </w:p>
    <w:p w14:paraId="157C5F37" w14:textId="6FF603FB" w:rsidR="00B6436C" w:rsidRPr="00B6436C" w:rsidRDefault="00B6436C" w:rsidP="00B6436C">
      <w:pPr>
        <w:spacing w:line="360" w:lineRule="atLeast"/>
        <w:jc w:val="center"/>
        <w:rPr>
          <w:rFonts w:cstheme="minorHAnsi"/>
          <w:b/>
          <w:caps/>
          <w:sz w:val="28"/>
          <w:szCs w:val="28"/>
        </w:rPr>
      </w:pPr>
      <w:r w:rsidRPr="00B6436C">
        <w:rPr>
          <w:rFonts w:cstheme="minorHAnsi"/>
          <w:b/>
          <w:sz w:val="28"/>
          <w:szCs w:val="28"/>
        </w:rPr>
        <w:t xml:space="preserve">Release Date: </w:t>
      </w:r>
      <w:r w:rsidR="00592902">
        <w:rPr>
          <w:rFonts w:cstheme="minorHAnsi"/>
          <w:b/>
          <w:sz w:val="28"/>
          <w:szCs w:val="28"/>
        </w:rPr>
        <w:t xml:space="preserve">September </w:t>
      </w:r>
      <w:r w:rsidR="001E69B5">
        <w:rPr>
          <w:rFonts w:cstheme="minorHAnsi"/>
          <w:b/>
          <w:sz w:val="28"/>
          <w:szCs w:val="28"/>
        </w:rPr>
        <w:t>8</w:t>
      </w:r>
      <w:r w:rsidR="00592902">
        <w:rPr>
          <w:rFonts w:cstheme="minorHAnsi"/>
          <w:b/>
          <w:sz w:val="28"/>
          <w:szCs w:val="28"/>
        </w:rPr>
        <w:t>, 2024</w:t>
      </w:r>
    </w:p>
    <w:p w14:paraId="5E13C55A" w14:textId="698090F2" w:rsidR="00E81A7F" w:rsidRDefault="00E81A7F">
      <w:pPr>
        <w:rPr>
          <w:rFonts w:eastAsia="Times New Roman" w:cstheme="minorHAnsi"/>
          <w:sz w:val="28"/>
          <w:szCs w:val="28"/>
        </w:rPr>
      </w:pPr>
      <w:r>
        <w:rPr>
          <w:rFonts w:eastAsia="Times New Roman" w:cstheme="minorHAnsi"/>
          <w:sz w:val="28"/>
          <w:szCs w:val="28"/>
        </w:rPr>
        <w:br w:type="page"/>
      </w:r>
    </w:p>
    <w:p w14:paraId="04458C2E" w14:textId="77777777" w:rsidR="00957F89" w:rsidRPr="00B6436C" w:rsidRDefault="00957F89" w:rsidP="00B6436C">
      <w:pPr>
        <w:jc w:val="center"/>
        <w:rPr>
          <w:rFonts w:eastAsia="Times New Roman" w:cstheme="minorHAnsi"/>
          <w:sz w:val="28"/>
          <w:szCs w:val="28"/>
        </w:rPr>
      </w:pPr>
    </w:p>
    <w:p w14:paraId="74E79C38" w14:textId="4D3A0F97" w:rsidR="00862F20" w:rsidRDefault="00862F20">
      <w:bookmarkStart w:id="0" w:name="_bookmark1"/>
      <w:bookmarkStart w:id="1" w:name="_Ref33511035"/>
      <w:bookmarkEnd w:id="0"/>
    </w:p>
    <w:p w14:paraId="4825BD42" w14:textId="37559DA8" w:rsidR="003C7956" w:rsidRDefault="00203787" w:rsidP="00203787">
      <w:pPr>
        <w:pStyle w:val="Heading1"/>
        <w:numPr>
          <w:ilvl w:val="0"/>
          <w:numId w:val="0"/>
        </w:numPr>
        <w:jc w:val="center"/>
      </w:pPr>
      <w:bookmarkStart w:id="2" w:name="_Toc34905082"/>
      <w:bookmarkStart w:id="3" w:name="_Toc35606257"/>
      <w:bookmarkStart w:id="4" w:name="_Toc176276911"/>
      <w:r>
        <w:t>TABLE OF CONTENTS</w:t>
      </w:r>
      <w:bookmarkEnd w:id="2"/>
      <w:bookmarkEnd w:id="3"/>
      <w:bookmarkEnd w:id="4"/>
    </w:p>
    <w:bookmarkEnd w:id="1"/>
    <w:p w14:paraId="0CB74F11" w14:textId="7FC6D5C4" w:rsidR="00CF1C4D" w:rsidRDefault="00970C68">
      <w:pPr>
        <w:pStyle w:val="TOC1"/>
        <w:tabs>
          <w:tab w:val="right" w:leader="dot" w:pos="9739"/>
        </w:tabs>
        <w:rPr>
          <w:rFonts w:eastAsiaTheme="minorEastAsia" w:cstheme="minorBidi"/>
          <w:b w:val="0"/>
          <w:bCs w:val="0"/>
          <w:i w:val="0"/>
          <w:iCs w:val="0"/>
          <w:noProof/>
          <w:kern w:val="2"/>
          <w14:ligatures w14:val="standardContextual"/>
        </w:rPr>
      </w:pPr>
      <w:r>
        <w:fldChar w:fldCharType="begin"/>
      </w:r>
      <w:r>
        <w:rPr>
          <w:rFonts w:eastAsia="Times New Roman"/>
        </w:rPr>
        <w:instrText xml:space="preserve"> TOC \o "1-3" \h \z \u </w:instrText>
      </w:r>
      <w:r>
        <w:fldChar w:fldCharType="separate"/>
      </w:r>
      <w:hyperlink w:anchor="_Toc176276911" w:history="1">
        <w:r w:rsidR="00CF1C4D" w:rsidRPr="00A7532F">
          <w:rPr>
            <w:rStyle w:val="Hyperlink"/>
            <w:noProof/>
          </w:rPr>
          <w:t>TABLE OF CONTENTS</w:t>
        </w:r>
        <w:r w:rsidR="00CF1C4D">
          <w:rPr>
            <w:noProof/>
            <w:webHidden/>
          </w:rPr>
          <w:tab/>
        </w:r>
        <w:r w:rsidR="00CF1C4D">
          <w:rPr>
            <w:noProof/>
            <w:webHidden/>
          </w:rPr>
          <w:fldChar w:fldCharType="begin"/>
        </w:r>
        <w:r w:rsidR="00CF1C4D">
          <w:rPr>
            <w:noProof/>
            <w:webHidden/>
          </w:rPr>
          <w:instrText xml:space="preserve"> PAGEREF _Toc176276911 \h </w:instrText>
        </w:r>
        <w:r w:rsidR="00CF1C4D">
          <w:rPr>
            <w:noProof/>
            <w:webHidden/>
          </w:rPr>
        </w:r>
        <w:r w:rsidR="00CF1C4D">
          <w:rPr>
            <w:noProof/>
            <w:webHidden/>
          </w:rPr>
          <w:fldChar w:fldCharType="separate"/>
        </w:r>
        <w:r w:rsidR="00CF1C4D">
          <w:rPr>
            <w:noProof/>
            <w:webHidden/>
          </w:rPr>
          <w:t>2</w:t>
        </w:r>
        <w:r w:rsidR="00CF1C4D">
          <w:rPr>
            <w:noProof/>
            <w:webHidden/>
          </w:rPr>
          <w:fldChar w:fldCharType="end"/>
        </w:r>
      </w:hyperlink>
    </w:p>
    <w:p w14:paraId="6F60EEFA" w14:textId="32E493EC" w:rsidR="00CF1C4D" w:rsidRDefault="00955B21">
      <w:pPr>
        <w:pStyle w:val="TOC1"/>
        <w:tabs>
          <w:tab w:val="left" w:pos="660"/>
          <w:tab w:val="right" w:leader="dot" w:pos="9739"/>
        </w:tabs>
        <w:rPr>
          <w:rFonts w:eastAsiaTheme="minorEastAsia" w:cstheme="minorBidi"/>
          <w:b w:val="0"/>
          <w:bCs w:val="0"/>
          <w:i w:val="0"/>
          <w:iCs w:val="0"/>
          <w:noProof/>
          <w:kern w:val="2"/>
          <w14:ligatures w14:val="standardContextual"/>
        </w:rPr>
      </w:pPr>
      <w:hyperlink w:anchor="_Toc176276912" w:history="1">
        <w:r w:rsidR="00CF1C4D" w:rsidRPr="00A7532F">
          <w:rPr>
            <w:rStyle w:val="Hyperlink"/>
            <w:rFonts w:cs="Times New Roman"/>
            <w:noProof/>
          </w:rPr>
          <w:t>1.</w:t>
        </w:r>
        <w:r w:rsidR="00CF1C4D">
          <w:rPr>
            <w:rFonts w:eastAsiaTheme="minorEastAsia" w:cstheme="minorBidi"/>
            <w:b w:val="0"/>
            <w:bCs w:val="0"/>
            <w:i w:val="0"/>
            <w:iCs w:val="0"/>
            <w:noProof/>
            <w:kern w:val="2"/>
            <w14:ligatures w14:val="standardContextual"/>
          </w:rPr>
          <w:tab/>
        </w:r>
        <w:r w:rsidR="00CF1C4D" w:rsidRPr="00A7532F">
          <w:rPr>
            <w:rStyle w:val="Hyperlink"/>
            <w:noProof/>
          </w:rPr>
          <w:t>LIST OF ABBREVIATIONS</w:t>
        </w:r>
        <w:r w:rsidR="00CF1C4D">
          <w:rPr>
            <w:noProof/>
            <w:webHidden/>
          </w:rPr>
          <w:tab/>
        </w:r>
        <w:r w:rsidR="00CF1C4D">
          <w:rPr>
            <w:noProof/>
            <w:webHidden/>
          </w:rPr>
          <w:fldChar w:fldCharType="begin"/>
        </w:r>
        <w:r w:rsidR="00CF1C4D">
          <w:rPr>
            <w:noProof/>
            <w:webHidden/>
          </w:rPr>
          <w:instrText xml:space="preserve"> PAGEREF _Toc176276912 \h </w:instrText>
        </w:r>
        <w:r w:rsidR="00CF1C4D">
          <w:rPr>
            <w:noProof/>
            <w:webHidden/>
          </w:rPr>
        </w:r>
        <w:r w:rsidR="00CF1C4D">
          <w:rPr>
            <w:noProof/>
            <w:webHidden/>
          </w:rPr>
          <w:fldChar w:fldCharType="separate"/>
        </w:r>
        <w:r w:rsidR="00CF1C4D">
          <w:rPr>
            <w:noProof/>
            <w:webHidden/>
          </w:rPr>
          <w:t>6</w:t>
        </w:r>
        <w:r w:rsidR="00CF1C4D">
          <w:rPr>
            <w:noProof/>
            <w:webHidden/>
          </w:rPr>
          <w:fldChar w:fldCharType="end"/>
        </w:r>
      </w:hyperlink>
    </w:p>
    <w:p w14:paraId="74BCE8AD" w14:textId="4E6F5B30" w:rsidR="00CF1C4D" w:rsidRDefault="00955B21">
      <w:pPr>
        <w:pStyle w:val="TOC1"/>
        <w:tabs>
          <w:tab w:val="left" w:pos="660"/>
          <w:tab w:val="right" w:leader="dot" w:pos="9739"/>
        </w:tabs>
        <w:rPr>
          <w:rFonts w:eastAsiaTheme="minorEastAsia" w:cstheme="minorBidi"/>
          <w:b w:val="0"/>
          <w:bCs w:val="0"/>
          <w:i w:val="0"/>
          <w:iCs w:val="0"/>
          <w:noProof/>
          <w:kern w:val="2"/>
          <w14:ligatures w14:val="standardContextual"/>
        </w:rPr>
      </w:pPr>
      <w:hyperlink w:anchor="_Toc176276913" w:history="1">
        <w:r w:rsidR="00CF1C4D" w:rsidRPr="00A7532F">
          <w:rPr>
            <w:rStyle w:val="Hyperlink"/>
            <w:rFonts w:cs="Times New Roman"/>
            <w:noProof/>
          </w:rPr>
          <w:t>2.</w:t>
        </w:r>
        <w:r w:rsidR="00CF1C4D">
          <w:rPr>
            <w:rFonts w:eastAsiaTheme="minorEastAsia" w:cstheme="minorBidi"/>
            <w:b w:val="0"/>
            <w:bCs w:val="0"/>
            <w:i w:val="0"/>
            <w:iCs w:val="0"/>
            <w:noProof/>
            <w:kern w:val="2"/>
            <w14:ligatures w14:val="standardContextual"/>
          </w:rPr>
          <w:tab/>
        </w:r>
        <w:r w:rsidR="00CF1C4D" w:rsidRPr="00A7532F">
          <w:rPr>
            <w:rStyle w:val="Hyperlink"/>
            <w:noProof/>
          </w:rPr>
          <w:t>SUMMARY</w:t>
        </w:r>
        <w:r w:rsidR="00CF1C4D">
          <w:rPr>
            <w:noProof/>
            <w:webHidden/>
          </w:rPr>
          <w:tab/>
        </w:r>
        <w:r w:rsidR="00CF1C4D">
          <w:rPr>
            <w:noProof/>
            <w:webHidden/>
          </w:rPr>
          <w:fldChar w:fldCharType="begin"/>
        </w:r>
        <w:r w:rsidR="00CF1C4D">
          <w:rPr>
            <w:noProof/>
            <w:webHidden/>
          </w:rPr>
          <w:instrText xml:space="preserve"> PAGEREF _Toc176276913 \h </w:instrText>
        </w:r>
        <w:r w:rsidR="00CF1C4D">
          <w:rPr>
            <w:noProof/>
            <w:webHidden/>
          </w:rPr>
        </w:r>
        <w:r w:rsidR="00CF1C4D">
          <w:rPr>
            <w:noProof/>
            <w:webHidden/>
          </w:rPr>
          <w:fldChar w:fldCharType="separate"/>
        </w:r>
        <w:r w:rsidR="00CF1C4D">
          <w:rPr>
            <w:noProof/>
            <w:webHidden/>
          </w:rPr>
          <w:t>10</w:t>
        </w:r>
        <w:r w:rsidR="00CF1C4D">
          <w:rPr>
            <w:noProof/>
            <w:webHidden/>
          </w:rPr>
          <w:fldChar w:fldCharType="end"/>
        </w:r>
      </w:hyperlink>
    </w:p>
    <w:p w14:paraId="0E37186E" w14:textId="71192A64" w:rsidR="00CF1C4D" w:rsidRDefault="00955B21">
      <w:pPr>
        <w:pStyle w:val="TOC1"/>
        <w:tabs>
          <w:tab w:val="left" w:pos="660"/>
          <w:tab w:val="right" w:leader="dot" w:pos="9739"/>
        </w:tabs>
        <w:rPr>
          <w:rFonts w:eastAsiaTheme="minorEastAsia" w:cstheme="minorBidi"/>
          <w:b w:val="0"/>
          <w:bCs w:val="0"/>
          <w:i w:val="0"/>
          <w:iCs w:val="0"/>
          <w:noProof/>
          <w:kern w:val="2"/>
          <w14:ligatures w14:val="standardContextual"/>
        </w:rPr>
      </w:pPr>
      <w:hyperlink w:anchor="_Toc176276914" w:history="1">
        <w:r w:rsidR="00CF1C4D" w:rsidRPr="00A7532F">
          <w:rPr>
            <w:rStyle w:val="Hyperlink"/>
            <w:rFonts w:cs="Times New Roman"/>
            <w:noProof/>
          </w:rPr>
          <w:t>3.</w:t>
        </w:r>
        <w:r w:rsidR="00CF1C4D">
          <w:rPr>
            <w:rFonts w:eastAsiaTheme="minorEastAsia" w:cstheme="minorBidi"/>
            <w:b w:val="0"/>
            <w:bCs w:val="0"/>
            <w:i w:val="0"/>
            <w:iCs w:val="0"/>
            <w:noProof/>
            <w:kern w:val="2"/>
            <w14:ligatures w14:val="standardContextual"/>
          </w:rPr>
          <w:tab/>
        </w:r>
        <w:r w:rsidR="00CF1C4D" w:rsidRPr="00A7532F">
          <w:rPr>
            <w:rStyle w:val="Hyperlink"/>
            <w:noProof/>
          </w:rPr>
          <w:t>INTRODUCTION</w:t>
        </w:r>
        <w:r w:rsidR="00CF1C4D">
          <w:rPr>
            <w:noProof/>
            <w:webHidden/>
          </w:rPr>
          <w:tab/>
        </w:r>
        <w:r w:rsidR="00CF1C4D">
          <w:rPr>
            <w:noProof/>
            <w:webHidden/>
          </w:rPr>
          <w:fldChar w:fldCharType="begin"/>
        </w:r>
        <w:r w:rsidR="00CF1C4D">
          <w:rPr>
            <w:noProof/>
            <w:webHidden/>
          </w:rPr>
          <w:instrText xml:space="preserve"> PAGEREF _Toc176276914 \h </w:instrText>
        </w:r>
        <w:r w:rsidR="00CF1C4D">
          <w:rPr>
            <w:noProof/>
            <w:webHidden/>
          </w:rPr>
        </w:r>
        <w:r w:rsidR="00CF1C4D">
          <w:rPr>
            <w:noProof/>
            <w:webHidden/>
          </w:rPr>
          <w:fldChar w:fldCharType="separate"/>
        </w:r>
        <w:r w:rsidR="00CF1C4D">
          <w:rPr>
            <w:noProof/>
            <w:webHidden/>
          </w:rPr>
          <w:t>24</w:t>
        </w:r>
        <w:r w:rsidR="00CF1C4D">
          <w:rPr>
            <w:noProof/>
            <w:webHidden/>
          </w:rPr>
          <w:fldChar w:fldCharType="end"/>
        </w:r>
      </w:hyperlink>
    </w:p>
    <w:p w14:paraId="72B0F6DE" w14:textId="69AA47A4" w:rsidR="00CF1C4D" w:rsidRDefault="00955B21">
      <w:pPr>
        <w:pStyle w:val="TOC2"/>
        <w:tabs>
          <w:tab w:val="left" w:pos="880"/>
          <w:tab w:val="right" w:leader="dot" w:pos="9739"/>
        </w:tabs>
        <w:rPr>
          <w:rFonts w:eastAsiaTheme="minorEastAsia" w:cstheme="minorBidi"/>
          <w:b w:val="0"/>
          <w:bCs w:val="0"/>
          <w:noProof/>
          <w:kern w:val="2"/>
          <w:sz w:val="24"/>
          <w:szCs w:val="24"/>
          <w14:ligatures w14:val="standardContextual"/>
        </w:rPr>
      </w:pPr>
      <w:hyperlink w:anchor="_Toc176276915" w:history="1">
        <w:r w:rsidR="00CF1C4D" w:rsidRPr="00A7532F">
          <w:rPr>
            <w:rStyle w:val="Hyperlink"/>
            <w:noProof/>
          </w:rPr>
          <w:t>3.1</w:t>
        </w:r>
        <w:r w:rsidR="00CF1C4D">
          <w:rPr>
            <w:rFonts w:eastAsiaTheme="minorEastAsia" w:cstheme="minorBidi"/>
            <w:b w:val="0"/>
            <w:bCs w:val="0"/>
            <w:noProof/>
            <w:kern w:val="2"/>
            <w:sz w:val="24"/>
            <w:szCs w:val="24"/>
            <w14:ligatures w14:val="standardContextual"/>
          </w:rPr>
          <w:tab/>
        </w:r>
        <w:r w:rsidR="00CF1C4D" w:rsidRPr="00A7532F">
          <w:rPr>
            <w:rStyle w:val="Hyperlink"/>
            <w:noProof/>
          </w:rPr>
          <w:t>Investigational Medicinal Product</w:t>
        </w:r>
        <w:r w:rsidR="00CF1C4D">
          <w:rPr>
            <w:noProof/>
            <w:webHidden/>
          </w:rPr>
          <w:tab/>
        </w:r>
        <w:r w:rsidR="00CF1C4D">
          <w:rPr>
            <w:noProof/>
            <w:webHidden/>
          </w:rPr>
          <w:fldChar w:fldCharType="begin"/>
        </w:r>
        <w:r w:rsidR="00CF1C4D">
          <w:rPr>
            <w:noProof/>
            <w:webHidden/>
          </w:rPr>
          <w:instrText xml:space="preserve"> PAGEREF _Toc176276915 \h </w:instrText>
        </w:r>
        <w:r w:rsidR="00CF1C4D">
          <w:rPr>
            <w:noProof/>
            <w:webHidden/>
          </w:rPr>
        </w:r>
        <w:r w:rsidR="00CF1C4D">
          <w:rPr>
            <w:noProof/>
            <w:webHidden/>
          </w:rPr>
          <w:fldChar w:fldCharType="separate"/>
        </w:r>
        <w:r w:rsidR="00CF1C4D">
          <w:rPr>
            <w:noProof/>
            <w:webHidden/>
          </w:rPr>
          <w:t>24</w:t>
        </w:r>
        <w:r w:rsidR="00CF1C4D">
          <w:rPr>
            <w:noProof/>
            <w:webHidden/>
          </w:rPr>
          <w:fldChar w:fldCharType="end"/>
        </w:r>
      </w:hyperlink>
    </w:p>
    <w:p w14:paraId="09FBAAB9" w14:textId="7646DD93" w:rsidR="00CF1C4D" w:rsidRDefault="00955B21">
      <w:pPr>
        <w:pStyle w:val="TOC2"/>
        <w:tabs>
          <w:tab w:val="left" w:pos="880"/>
          <w:tab w:val="right" w:leader="dot" w:pos="9739"/>
        </w:tabs>
        <w:rPr>
          <w:rFonts w:eastAsiaTheme="minorEastAsia" w:cstheme="minorBidi"/>
          <w:b w:val="0"/>
          <w:bCs w:val="0"/>
          <w:noProof/>
          <w:kern w:val="2"/>
          <w:sz w:val="24"/>
          <w:szCs w:val="24"/>
          <w14:ligatures w14:val="standardContextual"/>
        </w:rPr>
      </w:pPr>
      <w:hyperlink w:anchor="_Toc176276916" w:history="1">
        <w:r w:rsidR="00CF1C4D" w:rsidRPr="00A7532F">
          <w:rPr>
            <w:rStyle w:val="Hyperlink"/>
            <w:noProof/>
          </w:rPr>
          <w:t>3.2</w:t>
        </w:r>
        <w:r w:rsidR="00CF1C4D">
          <w:rPr>
            <w:rFonts w:eastAsiaTheme="minorEastAsia" w:cstheme="minorBidi"/>
            <w:b w:val="0"/>
            <w:bCs w:val="0"/>
            <w:noProof/>
            <w:kern w:val="2"/>
            <w:sz w:val="24"/>
            <w:szCs w:val="24"/>
            <w14:ligatures w14:val="standardContextual"/>
          </w:rPr>
          <w:tab/>
        </w:r>
        <w:r w:rsidR="00CF1C4D" w:rsidRPr="00A7532F">
          <w:rPr>
            <w:rStyle w:val="Hyperlink"/>
            <w:noProof/>
          </w:rPr>
          <w:t>Research Rationale</w:t>
        </w:r>
        <w:r w:rsidR="00CF1C4D">
          <w:rPr>
            <w:noProof/>
            <w:webHidden/>
          </w:rPr>
          <w:tab/>
        </w:r>
        <w:r w:rsidR="00CF1C4D">
          <w:rPr>
            <w:noProof/>
            <w:webHidden/>
          </w:rPr>
          <w:fldChar w:fldCharType="begin"/>
        </w:r>
        <w:r w:rsidR="00CF1C4D">
          <w:rPr>
            <w:noProof/>
            <w:webHidden/>
          </w:rPr>
          <w:instrText xml:space="preserve"> PAGEREF _Toc176276916 \h </w:instrText>
        </w:r>
        <w:r w:rsidR="00CF1C4D">
          <w:rPr>
            <w:noProof/>
            <w:webHidden/>
          </w:rPr>
        </w:r>
        <w:r w:rsidR="00CF1C4D">
          <w:rPr>
            <w:noProof/>
            <w:webHidden/>
          </w:rPr>
          <w:fldChar w:fldCharType="separate"/>
        </w:r>
        <w:r w:rsidR="00CF1C4D">
          <w:rPr>
            <w:noProof/>
            <w:webHidden/>
          </w:rPr>
          <w:t>24</w:t>
        </w:r>
        <w:r w:rsidR="00CF1C4D">
          <w:rPr>
            <w:noProof/>
            <w:webHidden/>
          </w:rPr>
          <w:fldChar w:fldCharType="end"/>
        </w:r>
      </w:hyperlink>
    </w:p>
    <w:p w14:paraId="16D1294A" w14:textId="39233CC0" w:rsidR="00CF1C4D" w:rsidRDefault="00955B21">
      <w:pPr>
        <w:pStyle w:val="TOC1"/>
        <w:tabs>
          <w:tab w:val="left" w:pos="660"/>
          <w:tab w:val="right" w:leader="dot" w:pos="9739"/>
        </w:tabs>
        <w:rPr>
          <w:rFonts w:eastAsiaTheme="minorEastAsia" w:cstheme="minorBidi"/>
          <w:b w:val="0"/>
          <w:bCs w:val="0"/>
          <w:i w:val="0"/>
          <w:iCs w:val="0"/>
          <w:noProof/>
          <w:kern w:val="2"/>
          <w14:ligatures w14:val="standardContextual"/>
        </w:rPr>
      </w:pPr>
      <w:hyperlink w:anchor="_Toc176276917" w:history="1">
        <w:r w:rsidR="00CF1C4D" w:rsidRPr="00A7532F">
          <w:rPr>
            <w:rStyle w:val="Hyperlink"/>
            <w:rFonts w:cs="Times New Roman"/>
            <w:noProof/>
          </w:rPr>
          <w:t>4.</w:t>
        </w:r>
        <w:r w:rsidR="00CF1C4D">
          <w:rPr>
            <w:rFonts w:eastAsiaTheme="minorEastAsia" w:cstheme="minorBidi"/>
            <w:b w:val="0"/>
            <w:bCs w:val="0"/>
            <w:i w:val="0"/>
            <w:iCs w:val="0"/>
            <w:noProof/>
            <w:kern w:val="2"/>
            <w14:ligatures w14:val="standardContextual"/>
          </w:rPr>
          <w:tab/>
        </w:r>
        <w:r w:rsidR="00CF1C4D" w:rsidRPr="00A7532F">
          <w:rPr>
            <w:rStyle w:val="Hyperlink"/>
            <w:noProof/>
          </w:rPr>
          <w:t>PHYSICAL, CHEMICAL AND PHARMACEUTICAL PROPERTIES AND FORMULATION</w:t>
        </w:r>
        <w:r w:rsidR="00CF1C4D">
          <w:rPr>
            <w:noProof/>
            <w:webHidden/>
          </w:rPr>
          <w:tab/>
        </w:r>
        <w:r w:rsidR="00CF1C4D">
          <w:rPr>
            <w:noProof/>
            <w:webHidden/>
          </w:rPr>
          <w:fldChar w:fldCharType="begin"/>
        </w:r>
        <w:r w:rsidR="00CF1C4D">
          <w:rPr>
            <w:noProof/>
            <w:webHidden/>
          </w:rPr>
          <w:instrText xml:space="preserve"> PAGEREF _Toc176276917 \h </w:instrText>
        </w:r>
        <w:r w:rsidR="00CF1C4D">
          <w:rPr>
            <w:noProof/>
            <w:webHidden/>
          </w:rPr>
        </w:r>
        <w:r w:rsidR="00CF1C4D">
          <w:rPr>
            <w:noProof/>
            <w:webHidden/>
          </w:rPr>
          <w:fldChar w:fldCharType="separate"/>
        </w:r>
        <w:r w:rsidR="00CF1C4D">
          <w:rPr>
            <w:noProof/>
            <w:webHidden/>
          </w:rPr>
          <w:t>28</w:t>
        </w:r>
        <w:r w:rsidR="00CF1C4D">
          <w:rPr>
            <w:noProof/>
            <w:webHidden/>
          </w:rPr>
          <w:fldChar w:fldCharType="end"/>
        </w:r>
      </w:hyperlink>
    </w:p>
    <w:p w14:paraId="7129CA8E" w14:textId="1CE9A8F8" w:rsidR="00CF1C4D" w:rsidRDefault="00955B21">
      <w:pPr>
        <w:pStyle w:val="TOC2"/>
        <w:tabs>
          <w:tab w:val="left" w:pos="880"/>
          <w:tab w:val="right" w:leader="dot" w:pos="9739"/>
        </w:tabs>
        <w:rPr>
          <w:rFonts w:eastAsiaTheme="minorEastAsia" w:cstheme="minorBidi"/>
          <w:b w:val="0"/>
          <w:bCs w:val="0"/>
          <w:noProof/>
          <w:kern w:val="2"/>
          <w:sz w:val="24"/>
          <w:szCs w:val="24"/>
          <w14:ligatures w14:val="standardContextual"/>
        </w:rPr>
      </w:pPr>
      <w:hyperlink w:anchor="_Toc176276918" w:history="1">
        <w:r w:rsidR="00CF1C4D" w:rsidRPr="00A7532F">
          <w:rPr>
            <w:rStyle w:val="Hyperlink"/>
            <w:noProof/>
          </w:rPr>
          <w:t>4.1</w:t>
        </w:r>
        <w:r w:rsidR="00CF1C4D">
          <w:rPr>
            <w:rFonts w:eastAsiaTheme="minorEastAsia" w:cstheme="minorBidi"/>
            <w:b w:val="0"/>
            <w:bCs w:val="0"/>
            <w:noProof/>
            <w:kern w:val="2"/>
            <w:sz w:val="24"/>
            <w:szCs w:val="24"/>
            <w14:ligatures w14:val="standardContextual"/>
          </w:rPr>
          <w:tab/>
        </w:r>
        <w:r w:rsidR="00CF1C4D" w:rsidRPr="00A7532F">
          <w:rPr>
            <w:rStyle w:val="Hyperlink"/>
            <w:noProof/>
          </w:rPr>
          <w:t>Name and Description of Investigational Medicinal Product</w:t>
        </w:r>
        <w:r w:rsidR="00CF1C4D">
          <w:rPr>
            <w:noProof/>
            <w:webHidden/>
          </w:rPr>
          <w:tab/>
        </w:r>
        <w:r w:rsidR="00CF1C4D">
          <w:rPr>
            <w:noProof/>
            <w:webHidden/>
          </w:rPr>
          <w:fldChar w:fldCharType="begin"/>
        </w:r>
        <w:r w:rsidR="00CF1C4D">
          <w:rPr>
            <w:noProof/>
            <w:webHidden/>
          </w:rPr>
          <w:instrText xml:space="preserve"> PAGEREF _Toc176276918 \h </w:instrText>
        </w:r>
        <w:r w:rsidR="00CF1C4D">
          <w:rPr>
            <w:noProof/>
            <w:webHidden/>
          </w:rPr>
        </w:r>
        <w:r w:rsidR="00CF1C4D">
          <w:rPr>
            <w:noProof/>
            <w:webHidden/>
          </w:rPr>
          <w:fldChar w:fldCharType="separate"/>
        </w:r>
        <w:r w:rsidR="00CF1C4D">
          <w:rPr>
            <w:noProof/>
            <w:webHidden/>
          </w:rPr>
          <w:t>28</w:t>
        </w:r>
        <w:r w:rsidR="00CF1C4D">
          <w:rPr>
            <w:noProof/>
            <w:webHidden/>
          </w:rPr>
          <w:fldChar w:fldCharType="end"/>
        </w:r>
      </w:hyperlink>
    </w:p>
    <w:p w14:paraId="6B4C9F25" w14:textId="02743F23" w:rsidR="00CF1C4D" w:rsidRDefault="00955B21">
      <w:pPr>
        <w:pStyle w:val="TOC2"/>
        <w:tabs>
          <w:tab w:val="left" w:pos="880"/>
          <w:tab w:val="right" w:leader="dot" w:pos="9739"/>
        </w:tabs>
        <w:rPr>
          <w:rFonts w:eastAsiaTheme="minorEastAsia" w:cstheme="minorBidi"/>
          <w:b w:val="0"/>
          <w:bCs w:val="0"/>
          <w:noProof/>
          <w:kern w:val="2"/>
          <w:sz w:val="24"/>
          <w:szCs w:val="24"/>
          <w14:ligatures w14:val="standardContextual"/>
        </w:rPr>
      </w:pPr>
      <w:hyperlink w:anchor="_Toc176276919" w:history="1">
        <w:r w:rsidR="00CF1C4D" w:rsidRPr="00A7532F">
          <w:rPr>
            <w:rStyle w:val="Hyperlink"/>
            <w:noProof/>
          </w:rPr>
          <w:t>4.2</w:t>
        </w:r>
        <w:r w:rsidR="00CF1C4D">
          <w:rPr>
            <w:rFonts w:eastAsiaTheme="minorEastAsia" w:cstheme="minorBidi"/>
            <w:b w:val="0"/>
            <w:bCs w:val="0"/>
            <w:noProof/>
            <w:kern w:val="2"/>
            <w:sz w:val="24"/>
            <w:szCs w:val="24"/>
            <w14:ligatures w14:val="standardContextual"/>
          </w:rPr>
          <w:tab/>
        </w:r>
        <w:r w:rsidR="00CF1C4D" w:rsidRPr="00A7532F">
          <w:rPr>
            <w:rStyle w:val="Hyperlink"/>
            <w:noProof/>
          </w:rPr>
          <w:t>Pharmaceutical properties and formulation</w:t>
        </w:r>
        <w:r w:rsidR="00CF1C4D">
          <w:rPr>
            <w:noProof/>
            <w:webHidden/>
          </w:rPr>
          <w:tab/>
        </w:r>
        <w:r w:rsidR="00CF1C4D">
          <w:rPr>
            <w:noProof/>
            <w:webHidden/>
          </w:rPr>
          <w:fldChar w:fldCharType="begin"/>
        </w:r>
        <w:r w:rsidR="00CF1C4D">
          <w:rPr>
            <w:noProof/>
            <w:webHidden/>
          </w:rPr>
          <w:instrText xml:space="preserve"> PAGEREF _Toc176276919 \h </w:instrText>
        </w:r>
        <w:r w:rsidR="00CF1C4D">
          <w:rPr>
            <w:noProof/>
            <w:webHidden/>
          </w:rPr>
        </w:r>
        <w:r w:rsidR="00CF1C4D">
          <w:rPr>
            <w:noProof/>
            <w:webHidden/>
          </w:rPr>
          <w:fldChar w:fldCharType="separate"/>
        </w:r>
        <w:r w:rsidR="00CF1C4D">
          <w:rPr>
            <w:noProof/>
            <w:webHidden/>
          </w:rPr>
          <w:t>28</w:t>
        </w:r>
        <w:r w:rsidR="00CF1C4D">
          <w:rPr>
            <w:noProof/>
            <w:webHidden/>
          </w:rPr>
          <w:fldChar w:fldCharType="end"/>
        </w:r>
      </w:hyperlink>
    </w:p>
    <w:p w14:paraId="75824E7E" w14:textId="25914259" w:rsidR="00CF1C4D" w:rsidRDefault="00955B21">
      <w:pPr>
        <w:pStyle w:val="TOC2"/>
        <w:tabs>
          <w:tab w:val="left" w:pos="880"/>
          <w:tab w:val="right" w:leader="dot" w:pos="9739"/>
        </w:tabs>
        <w:rPr>
          <w:rFonts w:eastAsiaTheme="minorEastAsia" w:cstheme="minorBidi"/>
          <w:b w:val="0"/>
          <w:bCs w:val="0"/>
          <w:noProof/>
          <w:kern w:val="2"/>
          <w:sz w:val="24"/>
          <w:szCs w:val="24"/>
          <w14:ligatures w14:val="standardContextual"/>
        </w:rPr>
      </w:pPr>
      <w:hyperlink w:anchor="_Toc176276920" w:history="1">
        <w:r w:rsidR="00CF1C4D" w:rsidRPr="00A7532F">
          <w:rPr>
            <w:rStyle w:val="Hyperlink"/>
            <w:noProof/>
          </w:rPr>
          <w:t>4.3</w:t>
        </w:r>
        <w:r w:rsidR="00CF1C4D">
          <w:rPr>
            <w:rFonts w:eastAsiaTheme="minorEastAsia" w:cstheme="minorBidi"/>
            <w:b w:val="0"/>
            <w:bCs w:val="0"/>
            <w:noProof/>
            <w:kern w:val="2"/>
            <w:sz w:val="24"/>
            <w:szCs w:val="24"/>
            <w14:ligatures w14:val="standardContextual"/>
          </w:rPr>
          <w:tab/>
        </w:r>
        <w:r w:rsidR="00CF1C4D" w:rsidRPr="00A7532F">
          <w:rPr>
            <w:rStyle w:val="Hyperlink"/>
            <w:noProof/>
          </w:rPr>
          <w:t>Storage and use</w:t>
        </w:r>
        <w:r w:rsidR="00CF1C4D">
          <w:rPr>
            <w:noProof/>
            <w:webHidden/>
          </w:rPr>
          <w:tab/>
        </w:r>
        <w:r w:rsidR="00CF1C4D">
          <w:rPr>
            <w:noProof/>
            <w:webHidden/>
          </w:rPr>
          <w:fldChar w:fldCharType="begin"/>
        </w:r>
        <w:r w:rsidR="00CF1C4D">
          <w:rPr>
            <w:noProof/>
            <w:webHidden/>
          </w:rPr>
          <w:instrText xml:space="preserve"> PAGEREF _Toc176276920 \h </w:instrText>
        </w:r>
        <w:r w:rsidR="00CF1C4D">
          <w:rPr>
            <w:noProof/>
            <w:webHidden/>
          </w:rPr>
        </w:r>
        <w:r w:rsidR="00CF1C4D">
          <w:rPr>
            <w:noProof/>
            <w:webHidden/>
          </w:rPr>
          <w:fldChar w:fldCharType="separate"/>
        </w:r>
        <w:r w:rsidR="00CF1C4D">
          <w:rPr>
            <w:noProof/>
            <w:webHidden/>
          </w:rPr>
          <w:t>28</w:t>
        </w:r>
        <w:r w:rsidR="00CF1C4D">
          <w:rPr>
            <w:noProof/>
            <w:webHidden/>
          </w:rPr>
          <w:fldChar w:fldCharType="end"/>
        </w:r>
      </w:hyperlink>
    </w:p>
    <w:p w14:paraId="230A21F3" w14:textId="56100997" w:rsidR="00CF1C4D" w:rsidRDefault="00955B21">
      <w:pPr>
        <w:pStyle w:val="TOC1"/>
        <w:tabs>
          <w:tab w:val="left" w:pos="660"/>
          <w:tab w:val="right" w:leader="dot" w:pos="9739"/>
        </w:tabs>
        <w:rPr>
          <w:rFonts w:eastAsiaTheme="minorEastAsia" w:cstheme="minorBidi"/>
          <w:b w:val="0"/>
          <w:bCs w:val="0"/>
          <w:i w:val="0"/>
          <w:iCs w:val="0"/>
          <w:noProof/>
          <w:kern w:val="2"/>
          <w14:ligatures w14:val="standardContextual"/>
        </w:rPr>
      </w:pPr>
      <w:hyperlink w:anchor="_Toc176276921" w:history="1">
        <w:r w:rsidR="00CF1C4D" w:rsidRPr="00A7532F">
          <w:rPr>
            <w:rStyle w:val="Hyperlink"/>
            <w:noProof/>
          </w:rPr>
          <w:t>5.</w:t>
        </w:r>
        <w:r w:rsidR="00CF1C4D">
          <w:rPr>
            <w:rFonts w:eastAsiaTheme="minorEastAsia" w:cstheme="minorBidi"/>
            <w:b w:val="0"/>
            <w:bCs w:val="0"/>
            <w:i w:val="0"/>
            <w:iCs w:val="0"/>
            <w:noProof/>
            <w:kern w:val="2"/>
            <w14:ligatures w14:val="standardContextual"/>
          </w:rPr>
          <w:tab/>
        </w:r>
        <w:r w:rsidR="00CF1C4D" w:rsidRPr="00A7532F">
          <w:rPr>
            <w:rStyle w:val="Hyperlink"/>
            <w:noProof/>
          </w:rPr>
          <w:t>NONCLINICAL STUDIES</w:t>
        </w:r>
        <w:r w:rsidR="00CF1C4D">
          <w:rPr>
            <w:noProof/>
            <w:webHidden/>
          </w:rPr>
          <w:tab/>
        </w:r>
        <w:r w:rsidR="00CF1C4D">
          <w:rPr>
            <w:noProof/>
            <w:webHidden/>
          </w:rPr>
          <w:fldChar w:fldCharType="begin"/>
        </w:r>
        <w:r w:rsidR="00CF1C4D">
          <w:rPr>
            <w:noProof/>
            <w:webHidden/>
          </w:rPr>
          <w:instrText xml:space="preserve"> PAGEREF _Toc176276921 \h </w:instrText>
        </w:r>
        <w:r w:rsidR="00CF1C4D">
          <w:rPr>
            <w:noProof/>
            <w:webHidden/>
          </w:rPr>
        </w:r>
        <w:r w:rsidR="00CF1C4D">
          <w:rPr>
            <w:noProof/>
            <w:webHidden/>
          </w:rPr>
          <w:fldChar w:fldCharType="separate"/>
        </w:r>
        <w:r w:rsidR="00CF1C4D">
          <w:rPr>
            <w:noProof/>
            <w:webHidden/>
          </w:rPr>
          <w:t>30</w:t>
        </w:r>
        <w:r w:rsidR="00CF1C4D">
          <w:rPr>
            <w:noProof/>
            <w:webHidden/>
          </w:rPr>
          <w:fldChar w:fldCharType="end"/>
        </w:r>
      </w:hyperlink>
    </w:p>
    <w:p w14:paraId="56C52996" w14:textId="5350B989" w:rsidR="00CF1C4D" w:rsidRDefault="00955B21">
      <w:pPr>
        <w:pStyle w:val="TOC2"/>
        <w:tabs>
          <w:tab w:val="right" w:leader="dot" w:pos="9739"/>
        </w:tabs>
        <w:rPr>
          <w:rFonts w:eastAsiaTheme="minorEastAsia" w:cstheme="minorBidi"/>
          <w:b w:val="0"/>
          <w:bCs w:val="0"/>
          <w:noProof/>
          <w:kern w:val="2"/>
          <w:sz w:val="24"/>
          <w:szCs w:val="24"/>
          <w14:ligatures w14:val="standardContextual"/>
        </w:rPr>
      </w:pPr>
      <w:hyperlink w:anchor="_Toc176276922" w:history="1">
        <w:r w:rsidR="00CF1C4D" w:rsidRPr="00A7532F">
          <w:rPr>
            <w:rStyle w:val="Hyperlink"/>
            <w:noProof/>
          </w:rPr>
          <w:t>5.1 Nonclinical Pharmacology</w:t>
        </w:r>
        <w:r w:rsidR="00CF1C4D">
          <w:rPr>
            <w:noProof/>
            <w:webHidden/>
          </w:rPr>
          <w:tab/>
        </w:r>
        <w:r w:rsidR="00CF1C4D">
          <w:rPr>
            <w:noProof/>
            <w:webHidden/>
          </w:rPr>
          <w:fldChar w:fldCharType="begin"/>
        </w:r>
        <w:r w:rsidR="00CF1C4D">
          <w:rPr>
            <w:noProof/>
            <w:webHidden/>
          </w:rPr>
          <w:instrText xml:space="preserve"> PAGEREF _Toc176276922 \h </w:instrText>
        </w:r>
        <w:r w:rsidR="00CF1C4D">
          <w:rPr>
            <w:noProof/>
            <w:webHidden/>
          </w:rPr>
        </w:r>
        <w:r w:rsidR="00CF1C4D">
          <w:rPr>
            <w:noProof/>
            <w:webHidden/>
          </w:rPr>
          <w:fldChar w:fldCharType="separate"/>
        </w:r>
        <w:r w:rsidR="00CF1C4D">
          <w:rPr>
            <w:noProof/>
            <w:webHidden/>
          </w:rPr>
          <w:t>30</w:t>
        </w:r>
        <w:r w:rsidR="00CF1C4D">
          <w:rPr>
            <w:noProof/>
            <w:webHidden/>
          </w:rPr>
          <w:fldChar w:fldCharType="end"/>
        </w:r>
      </w:hyperlink>
    </w:p>
    <w:p w14:paraId="64D9562D" w14:textId="1FF6C3C7" w:rsidR="00CF1C4D" w:rsidRDefault="00955B21">
      <w:pPr>
        <w:pStyle w:val="TOC3"/>
        <w:rPr>
          <w:rFonts w:eastAsiaTheme="minorEastAsia" w:cstheme="minorBidi"/>
          <w:noProof/>
          <w:kern w:val="2"/>
          <w:sz w:val="24"/>
          <w:szCs w:val="24"/>
          <w14:ligatures w14:val="standardContextual"/>
        </w:rPr>
      </w:pPr>
      <w:hyperlink w:anchor="_Toc176276923" w:history="1">
        <w:r w:rsidR="00CF1C4D" w:rsidRPr="00A7532F">
          <w:rPr>
            <w:rStyle w:val="Hyperlink"/>
            <w:noProof/>
          </w:rPr>
          <w:t>5.1.1</w:t>
        </w:r>
        <w:r w:rsidR="00CF1C4D">
          <w:rPr>
            <w:rFonts w:eastAsiaTheme="minorEastAsia" w:cstheme="minorBidi"/>
            <w:noProof/>
            <w:kern w:val="2"/>
            <w:sz w:val="24"/>
            <w:szCs w:val="24"/>
            <w14:ligatures w14:val="standardContextual"/>
          </w:rPr>
          <w:tab/>
        </w:r>
        <w:r w:rsidR="00CF1C4D" w:rsidRPr="00A7532F">
          <w:rPr>
            <w:rStyle w:val="Hyperlink"/>
            <w:noProof/>
          </w:rPr>
          <w:t>Pharmacodynamics</w:t>
        </w:r>
        <w:r w:rsidR="00CF1C4D">
          <w:rPr>
            <w:noProof/>
            <w:webHidden/>
          </w:rPr>
          <w:tab/>
        </w:r>
        <w:r w:rsidR="00CF1C4D">
          <w:rPr>
            <w:noProof/>
            <w:webHidden/>
          </w:rPr>
          <w:fldChar w:fldCharType="begin"/>
        </w:r>
        <w:r w:rsidR="00CF1C4D">
          <w:rPr>
            <w:noProof/>
            <w:webHidden/>
          </w:rPr>
          <w:instrText xml:space="preserve"> PAGEREF _Toc176276923 \h </w:instrText>
        </w:r>
        <w:r w:rsidR="00CF1C4D">
          <w:rPr>
            <w:noProof/>
            <w:webHidden/>
          </w:rPr>
        </w:r>
        <w:r w:rsidR="00CF1C4D">
          <w:rPr>
            <w:noProof/>
            <w:webHidden/>
          </w:rPr>
          <w:fldChar w:fldCharType="separate"/>
        </w:r>
        <w:r w:rsidR="00CF1C4D">
          <w:rPr>
            <w:noProof/>
            <w:webHidden/>
          </w:rPr>
          <w:t>30</w:t>
        </w:r>
        <w:r w:rsidR="00CF1C4D">
          <w:rPr>
            <w:noProof/>
            <w:webHidden/>
          </w:rPr>
          <w:fldChar w:fldCharType="end"/>
        </w:r>
      </w:hyperlink>
    </w:p>
    <w:p w14:paraId="00CBF1C4" w14:textId="64EB856C" w:rsidR="00CF1C4D" w:rsidRDefault="00955B21">
      <w:pPr>
        <w:pStyle w:val="TOC3"/>
        <w:rPr>
          <w:rFonts w:eastAsiaTheme="minorEastAsia" w:cstheme="minorBidi"/>
          <w:noProof/>
          <w:kern w:val="2"/>
          <w:sz w:val="24"/>
          <w:szCs w:val="24"/>
          <w14:ligatures w14:val="standardContextual"/>
        </w:rPr>
      </w:pPr>
      <w:hyperlink w:anchor="_Toc176276924" w:history="1">
        <w:r w:rsidR="00CF1C4D" w:rsidRPr="00A7532F">
          <w:rPr>
            <w:rStyle w:val="Hyperlink"/>
            <w:rFonts w:eastAsia="Times New Roman" w:hAnsi="Times New Roman" w:cs="Times New Roman"/>
            <w:noProof/>
          </w:rPr>
          <w:t>5.1.2</w:t>
        </w:r>
        <w:r w:rsidR="00CF1C4D">
          <w:rPr>
            <w:rFonts w:eastAsiaTheme="minorEastAsia" w:cstheme="minorBidi"/>
            <w:noProof/>
            <w:kern w:val="2"/>
            <w:sz w:val="24"/>
            <w:szCs w:val="24"/>
            <w14:ligatures w14:val="standardContextual"/>
          </w:rPr>
          <w:tab/>
        </w:r>
        <w:r w:rsidR="00CF1C4D" w:rsidRPr="00A7532F">
          <w:rPr>
            <w:rStyle w:val="Hyperlink"/>
            <w:noProof/>
          </w:rPr>
          <w:t>Secondary Pharmacodynamics</w:t>
        </w:r>
        <w:r w:rsidR="00CF1C4D">
          <w:rPr>
            <w:noProof/>
            <w:webHidden/>
          </w:rPr>
          <w:tab/>
        </w:r>
        <w:r w:rsidR="00CF1C4D">
          <w:rPr>
            <w:noProof/>
            <w:webHidden/>
          </w:rPr>
          <w:fldChar w:fldCharType="begin"/>
        </w:r>
        <w:r w:rsidR="00CF1C4D">
          <w:rPr>
            <w:noProof/>
            <w:webHidden/>
          </w:rPr>
          <w:instrText xml:space="preserve"> PAGEREF _Toc176276924 \h </w:instrText>
        </w:r>
        <w:r w:rsidR="00CF1C4D">
          <w:rPr>
            <w:noProof/>
            <w:webHidden/>
          </w:rPr>
        </w:r>
        <w:r w:rsidR="00CF1C4D">
          <w:rPr>
            <w:noProof/>
            <w:webHidden/>
          </w:rPr>
          <w:fldChar w:fldCharType="separate"/>
        </w:r>
        <w:r w:rsidR="00CF1C4D">
          <w:rPr>
            <w:noProof/>
            <w:webHidden/>
          </w:rPr>
          <w:t>34</w:t>
        </w:r>
        <w:r w:rsidR="00CF1C4D">
          <w:rPr>
            <w:noProof/>
            <w:webHidden/>
          </w:rPr>
          <w:fldChar w:fldCharType="end"/>
        </w:r>
      </w:hyperlink>
    </w:p>
    <w:p w14:paraId="2B069185" w14:textId="58336C22" w:rsidR="00CF1C4D" w:rsidRDefault="00955B21">
      <w:pPr>
        <w:pStyle w:val="TOC3"/>
        <w:rPr>
          <w:rFonts w:eastAsiaTheme="minorEastAsia" w:cstheme="minorBidi"/>
          <w:noProof/>
          <w:kern w:val="2"/>
          <w:sz w:val="24"/>
          <w:szCs w:val="24"/>
          <w14:ligatures w14:val="standardContextual"/>
        </w:rPr>
      </w:pPr>
      <w:hyperlink w:anchor="_Toc176276925" w:history="1">
        <w:r w:rsidR="00CF1C4D" w:rsidRPr="00A7532F">
          <w:rPr>
            <w:rStyle w:val="Hyperlink"/>
            <w:rFonts w:eastAsia="Times New Roman" w:hAnsi="Times New Roman" w:cs="Times New Roman"/>
            <w:noProof/>
          </w:rPr>
          <w:t>5.1.3</w:t>
        </w:r>
        <w:r w:rsidR="00CF1C4D">
          <w:rPr>
            <w:rFonts w:eastAsiaTheme="minorEastAsia" w:cstheme="minorBidi"/>
            <w:noProof/>
            <w:kern w:val="2"/>
            <w:sz w:val="24"/>
            <w:szCs w:val="24"/>
            <w14:ligatures w14:val="standardContextual"/>
          </w:rPr>
          <w:tab/>
        </w:r>
        <w:r w:rsidR="00CF1C4D" w:rsidRPr="00A7532F">
          <w:rPr>
            <w:rStyle w:val="Hyperlink"/>
            <w:noProof/>
          </w:rPr>
          <w:t>Safety Pharmacology</w:t>
        </w:r>
        <w:r w:rsidR="00CF1C4D">
          <w:rPr>
            <w:noProof/>
            <w:webHidden/>
          </w:rPr>
          <w:tab/>
        </w:r>
        <w:r w:rsidR="00CF1C4D">
          <w:rPr>
            <w:noProof/>
            <w:webHidden/>
          </w:rPr>
          <w:fldChar w:fldCharType="begin"/>
        </w:r>
        <w:r w:rsidR="00CF1C4D">
          <w:rPr>
            <w:noProof/>
            <w:webHidden/>
          </w:rPr>
          <w:instrText xml:space="preserve"> PAGEREF _Toc176276925 \h </w:instrText>
        </w:r>
        <w:r w:rsidR="00CF1C4D">
          <w:rPr>
            <w:noProof/>
            <w:webHidden/>
          </w:rPr>
        </w:r>
        <w:r w:rsidR="00CF1C4D">
          <w:rPr>
            <w:noProof/>
            <w:webHidden/>
          </w:rPr>
          <w:fldChar w:fldCharType="separate"/>
        </w:r>
        <w:r w:rsidR="00CF1C4D">
          <w:rPr>
            <w:noProof/>
            <w:webHidden/>
          </w:rPr>
          <w:t>34</w:t>
        </w:r>
        <w:r w:rsidR="00CF1C4D">
          <w:rPr>
            <w:noProof/>
            <w:webHidden/>
          </w:rPr>
          <w:fldChar w:fldCharType="end"/>
        </w:r>
      </w:hyperlink>
    </w:p>
    <w:p w14:paraId="36096054" w14:textId="3E8225F0" w:rsidR="00CF1C4D" w:rsidRDefault="00955B21">
      <w:pPr>
        <w:pStyle w:val="TOC3"/>
        <w:rPr>
          <w:rFonts w:eastAsiaTheme="minorEastAsia" w:cstheme="minorBidi"/>
          <w:noProof/>
          <w:kern w:val="2"/>
          <w:sz w:val="24"/>
          <w:szCs w:val="24"/>
          <w14:ligatures w14:val="standardContextual"/>
        </w:rPr>
      </w:pPr>
      <w:hyperlink w:anchor="_Toc176276926" w:history="1">
        <w:r w:rsidR="00CF1C4D" w:rsidRPr="00A7532F">
          <w:rPr>
            <w:rStyle w:val="Hyperlink"/>
            <w:noProof/>
          </w:rPr>
          <w:t>5.1.4</w:t>
        </w:r>
        <w:r w:rsidR="00CF1C4D">
          <w:rPr>
            <w:rFonts w:eastAsiaTheme="minorEastAsia" w:cstheme="minorBidi"/>
            <w:noProof/>
            <w:kern w:val="2"/>
            <w:sz w:val="24"/>
            <w:szCs w:val="24"/>
            <w14:ligatures w14:val="standardContextual"/>
          </w:rPr>
          <w:tab/>
        </w:r>
        <w:r w:rsidR="00CF1C4D" w:rsidRPr="00A7532F">
          <w:rPr>
            <w:rStyle w:val="Hyperlink"/>
            <w:noProof/>
          </w:rPr>
          <w:t>Pharmacodynamic Drug Interactions</w:t>
        </w:r>
        <w:r w:rsidR="00CF1C4D">
          <w:rPr>
            <w:noProof/>
            <w:webHidden/>
          </w:rPr>
          <w:tab/>
        </w:r>
        <w:r w:rsidR="00CF1C4D">
          <w:rPr>
            <w:noProof/>
            <w:webHidden/>
          </w:rPr>
          <w:fldChar w:fldCharType="begin"/>
        </w:r>
        <w:r w:rsidR="00CF1C4D">
          <w:rPr>
            <w:noProof/>
            <w:webHidden/>
          </w:rPr>
          <w:instrText xml:space="preserve"> PAGEREF _Toc176276926 \h </w:instrText>
        </w:r>
        <w:r w:rsidR="00CF1C4D">
          <w:rPr>
            <w:noProof/>
            <w:webHidden/>
          </w:rPr>
        </w:r>
        <w:r w:rsidR="00CF1C4D">
          <w:rPr>
            <w:noProof/>
            <w:webHidden/>
          </w:rPr>
          <w:fldChar w:fldCharType="separate"/>
        </w:r>
        <w:r w:rsidR="00CF1C4D">
          <w:rPr>
            <w:noProof/>
            <w:webHidden/>
          </w:rPr>
          <w:t>46</w:t>
        </w:r>
        <w:r w:rsidR="00CF1C4D">
          <w:rPr>
            <w:noProof/>
            <w:webHidden/>
          </w:rPr>
          <w:fldChar w:fldCharType="end"/>
        </w:r>
      </w:hyperlink>
    </w:p>
    <w:p w14:paraId="20C140A9" w14:textId="2F910049" w:rsidR="00CF1C4D" w:rsidRDefault="00955B21">
      <w:pPr>
        <w:pStyle w:val="TOC2"/>
        <w:tabs>
          <w:tab w:val="left" w:pos="880"/>
          <w:tab w:val="right" w:leader="dot" w:pos="9739"/>
        </w:tabs>
        <w:rPr>
          <w:rFonts w:eastAsiaTheme="minorEastAsia" w:cstheme="minorBidi"/>
          <w:b w:val="0"/>
          <w:bCs w:val="0"/>
          <w:noProof/>
          <w:kern w:val="2"/>
          <w:sz w:val="24"/>
          <w:szCs w:val="24"/>
          <w14:ligatures w14:val="standardContextual"/>
        </w:rPr>
      </w:pPr>
      <w:hyperlink w:anchor="_Toc176276927" w:history="1">
        <w:r w:rsidR="00CF1C4D" w:rsidRPr="00A7532F">
          <w:rPr>
            <w:rStyle w:val="Hyperlink"/>
            <w:rFonts w:eastAsia="Times New Roman" w:hAnsi="Times New Roman" w:cs="Times New Roman"/>
            <w:noProof/>
          </w:rPr>
          <w:t>5.2</w:t>
        </w:r>
        <w:r w:rsidR="00CF1C4D">
          <w:rPr>
            <w:rFonts w:eastAsiaTheme="minorEastAsia" w:cstheme="minorBidi"/>
            <w:b w:val="0"/>
            <w:bCs w:val="0"/>
            <w:noProof/>
            <w:kern w:val="2"/>
            <w:sz w:val="24"/>
            <w:szCs w:val="24"/>
            <w14:ligatures w14:val="standardContextual"/>
          </w:rPr>
          <w:tab/>
        </w:r>
        <w:r w:rsidR="00CF1C4D" w:rsidRPr="00A7532F">
          <w:rPr>
            <w:rStyle w:val="Hyperlink"/>
            <w:noProof/>
          </w:rPr>
          <w:t>Pharmacokinetics</w:t>
        </w:r>
        <w:r w:rsidR="00CF1C4D">
          <w:rPr>
            <w:noProof/>
            <w:webHidden/>
          </w:rPr>
          <w:tab/>
        </w:r>
        <w:r w:rsidR="00CF1C4D">
          <w:rPr>
            <w:noProof/>
            <w:webHidden/>
          </w:rPr>
          <w:fldChar w:fldCharType="begin"/>
        </w:r>
        <w:r w:rsidR="00CF1C4D">
          <w:rPr>
            <w:noProof/>
            <w:webHidden/>
          </w:rPr>
          <w:instrText xml:space="preserve"> PAGEREF _Toc176276927 \h </w:instrText>
        </w:r>
        <w:r w:rsidR="00CF1C4D">
          <w:rPr>
            <w:noProof/>
            <w:webHidden/>
          </w:rPr>
        </w:r>
        <w:r w:rsidR="00CF1C4D">
          <w:rPr>
            <w:noProof/>
            <w:webHidden/>
          </w:rPr>
          <w:fldChar w:fldCharType="separate"/>
        </w:r>
        <w:r w:rsidR="00CF1C4D">
          <w:rPr>
            <w:noProof/>
            <w:webHidden/>
          </w:rPr>
          <w:t>46</w:t>
        </w:r>
        <w:r w:rsidR="00CF1C4D">
          <w:rPr>
            <w:noProof/>
            <w:webHidden/>
          </w:rPr>
          <w:fldChar w:fldCharType="end"/>
        </w:r>
      </w:hyperlink>
    </w:p>
    <w:p w14:paraId="30DA4FCA" w14:textId="617B02AB" w:rsidR="00CF1C4D" w:rsidRDefault="00955B21">
      <w:pPr>
        <w:pStyle w:val="TOC3"/>
        <w:rPr>
          <w:rFonts w:eastAsiaTheme="minorEastAsia" w:cstheme="minorBidi"/>
          <w:noProof/>
          <w:kern w:val="2"/>
          <w:sz w:val="24"/>
          <w:szCs w:val="24"/>
          <w14:ligatures w14:val="standardContextual"/>
        </w:rPr>
      </w:pPr>
      <w:hyperlink w:anchor="_Toc176276928" w:history="1">
        <w:r w:rsidR="00CF1C4D" w:rsidRPr="00A7532F">
          <w:rPr>
            <w:rStyle w:val="Hyperlink"/>
            <w:noProof/>
          </w:rPr>
          <w:t>5.2.1</w:t>
        </w:r>
        <w:r w:rsidR="00CF1C4D">
          <w:rPr>
            <w:rFonts w:eastAsiaTheme="minorEastAsia" w:cstheme="minorBidi"/>
            <w:noProof/>
            <w:kern w:val="2"/>
            <w:sz w:val="24"/>
            <w:szCs w:val="24"/>
            <w14:ligatures w14:val="standardContextual"/>
          </w:rPr>
          <w:tab/>
        </w:r>
        <w:r w:rsidR="00CF1C4D" w:rsidRPr="00A7532F">
          <w:rPr>
            <w:rStyle w:val="Hyperlink"/>
            <w:noProof/>
          </w:rPr>
          <w:t>Brief Summary</w:t>
        </w:r>
        <w:r w:rsidR="00CF1C4D">
          <w:rPr>
            <w:noProof/>
            <w:webHidden/>
          </w:rPr>
          <w:tab/>
        </w:r>
        <w:r w:rsidR="00CF1C4D">
          <w:rPr>
            <w:noProof/>
            <w:webHidden/>
          </w:rPr>
          <w:fldChar w:fldCharType="begin"/>
        </w:r>
        <w:r w:rsidR="00CF1C4D">
          <w:rPr>
            <w:noProof/>
            <w:webHidden/>
          </w:rPr>
          <w:instrText xml:space="preserve"> PAGEREF _Toc176276928 \h </w:instrText>
        </w:r>
        <w:r w:rsidR="00CF1C4D">
          <w:rPr>
            <w:noProof/>
            <w:webHidden/>
          </w:rPr>
        </w:r>
        <w:r w:rsidR="00CF1C4D">
          <w:rPr>
            <w:noProof/>
            <w:webHidden/>
          </w:rPr>
          <w:fldChar w:fldCharType="separate"/>
        </w:r>
        <w:r w:rsidR="00CF1C4D">
          <w:rPr>
            <w:noProof/>
            <w:webHidden/>
          </w:rPr>
          <w:t>46</w:t>
        </w:r>
        <w:r w:rsidR="00CF1C4D">
          <w:rPr>
            <w:noProof/>
            <w:webHidden/>
          </w:rPr>
          <w:fldChar w:fldCharType="end"/>
        </w:r>
      </w:hyperlink>
    </w:p>
    <w:p w14:paraId="4233BB4B" w14:textId="6847E7CD" w:rsidR="00CF1C4D" w:rsidRDefault="00955B21">
      <w:pPr>
        <w:pStyle w:val="TOC3"/>
        <w:rPr>
          <w:rFonts w:eastAsiaTheme="minorEastAsia" w:cstheme="minorBidi"/>
          <w:noProof/>
          <w:kern w:val="2"/>
          <w:sz w:val="24"/>
          <w:szCs w:val="24"/>
          <w14:ligatures w14:val="standardContextual"/>
        </w:rPr>
      </w:pPr>
      <w:hyperlink w:anchor="_Toc176276929" w:history="1">
        <w:r w:rsidR="00CF1C4D" w:rsidRPr="00A7532F">
          <w:rPr>
            <w:rStyle w:val="Hyperlink"/>
            <w:noProof/>
          </w:rPr>
          <w:t>5.2.2</w:t>
        </w:r>
        <w:r w:rsidR="00CF1C4D">
          <w:rPr>
            <w:rFonts w:eastAsiaTheme="minorEastAsia" w:cstheme="minorBidi"/>
            <w:noProof/>
            <w:kern w:val="2"/>
            <w:sz w:val="24"/>
            <w:szCs w:val="24"/>
            <w14:ligatures w14:val="standardContextual"/>
          </w:rPr>
          <w:tab/>
        </w:r>
        <w:r w:rsidR="00CF1C4D" w:rsidRPr="00A7532F">
          <w:rPr>
            <w:rStyle w:val="Hyperlink"/>
            <w:noProof/>
          </w:rPr>
          <w:t>Methods of Analysis</w:t>
        </w:r>
        <w:r w:rsidR="00CF1C4D">
          <w:rPr>
            <w:noProof/>
            <w:webHidden/>
          </w:rPr>
          <w:tab/>
        </w:r>
        <w:r w:rsidR="00CF1C4D">
          <w:rPr>
            <w:noProof/>
            <w:webHidden/>
          </w:rPr>
          <w:fldChar w:fldCharType="begin"/>
        </w:r>
        <w:r w:rsidR="00CF1C4D">
          <w:rPr>
            <w:noProof/>
            <w:webHidden/>
          </w:rPr>
          <w:instrText xml:space="preserve"> PAGEREF _Toc176276929 \h </w:instrText>
        </w:r>
        <w:r w:rsidR="00CF1C4D">
          <w:rPr>
            <w:noProof/>
            <w:webHidden/>
          </w:rPr>
        </w:r>
        <w:r w:rsidR="00CF1C4D">
          <w:rPr>
            <w:noProof/>
            <w:webHidden/>
          </w:rPr>
          <w:fldChar w:fldCharType="separate"/>
        </w:r>
        <w:r w:rsidR="00CF1C4D">
          <w:rPr>
            <w:noProof/>
            <w:webHidden/>
          </w:rPr>
          <w:t>47</w:t>
        </w:r>
        <w:r w:rsidR="00CF1C4D">
          <w:rPr>
            <w:noProof/>
            <w:webHidden/>
          </w:rPr>
          <w:fldChar w:fldCharType="end"/>
        </w:r>
      </w:hyperlink>
    </w:p>
    <w:p w14:paraId="55A50DF4" w14:textId="3BFB3F7A" w:rsidR="00CF1C4D" w:rsidRDefault="00955B21">
      <w:pPr>
        <w:pStyle w:val="TOC3"/>
        <w:rPr>
          <w:rFonts w:eastAsiaTheme="minorEastAsia" w:cstheme="minorBidi"/>
          <w:noProof/>
          <w:kern w:val="2"/>
          <w:sz w:val="24"/>
          <w:szCs w:val="24"/>
          <w14:ligatures w14:val="standardContextual"/>
        </w:rPr>
      </w:pPr>
      <w:hyperlink w:anchor="_Toc176276930" w:history="1">
        <w:r w:rsidR="00CF1C4D" w:rsidRPr="00A7532F">
          <w:rPr>
            <w:rStyle w:val="Hyperlink"/>
            <w:noProof/>
          </w:rPr>
          <w:t>5.2.3</w:t>
        </w:r>
        <w:r w:rsidR="00CF1C4D">
          <w:rPr>
            <w:rFonts w:eastAsiaTheme="minorEastAsia" w:cstheme="minorBidi"/>
            <w:noProof/>
            <w:kern w:val="2"/>
            <w:sz w:val="24"/>
            <w:szCs w:val="24"/>
            <w14:ligatures w14:val="standardContextual"/>
          </w:rPr>
          <w:tab/>
        </w:r>
        <w:r w:rsidR="00CF1C4D" w:rsidRPr="00A7532F">
          <w:rPr>
            <w:rStyle w:val="Hyperlink"/>
            <w:noProof/>
          </w:rPr>
          <w:t>Absorption</w:t>
        </w:r>
        <w:r w:rsidR="00CF1C4D">
          <w:rPr>
            <w:noProof/>
            <w:webHidden/>
          </w:rPr>
          <w:tab/>
        </w:r>
        <w:r w:rsidR="00CF1C4D">
          <w:rPr>
            <w:noProof/>
            <w:webHidden/>
          </w:rPr>
          <w:fldChar w:fldCharType="begin"/>
        </w:r>
        <w:r w:rsidR="00CF1C4D">
          <w:rPr>
            <w:noProof/>
            <w:webHidden/>
          </w:rPr>
          <w:instrText xml:space="preserve"> PAGEREF _Toc176276930 \h </w:instrText>
        </w:r>
        <w:r w:rsidR="00CF1C4D">
          <w:rPr>
            <w:noProof/>
            <w:webHidden/>
          </w:rPr>
        </w:r>
        <w:r w:rsidR="00CF1C4D">
          <w:rPr>
            <w:noProof/>
            <w:webHidden/>
          </w:rPr>
          <w:fldChar w:fldCharType="separate"/>
        </w:r>
        <w:r w:rsidR="00CF1C4D">
          <w:rPr>
            <w:noProof/>
            <w:webHidden/>
          </w:rPr>
          <w:t>48</w:t>
        </w:r>
        <w:r w:rsidR="00CF1C4D">
          <w:rPr>
            <w:noProof/>
            <w:webHidden/>
          </w:rPr>
          <w:fldChar w:fldCharType="end"/>
        </w:r>
      </w:hyperlink>
    </w:p>
    <w:p w14:paraId="38151E16" w14:textId="41B96BEB" w:rsidR="00CF1C4D" w:rsidRDefault="00955B21">
      <w:pPr>
        <w:pStyle w:val="TOC3"/>
        <w:rPr>
          <w:rFonts w:eastAsiaTheme="minorEastAsia" w:cstheme="minorBidi"/>
          <w:noProof/>
          <w:kern w:val="2"/>
          <w:sz w:val="24"/>
          <w:szCs w:val="24"/>
          <w14:ligatures w14:val="standardContextual"/>
        </w:rPr>
      </w:pPr>
      <w:hyperlink w:anchor="_Toc176276931" w:history="1">
        <w:r w:rsidR="00CF1C4D" w:rsidRPr="00A7532F">
          <w:rPr>
            <w:rStyle w:val="Hyperlink"/>
            <w:noProof/>
          </w:rPr>
          <w:t>5.2.4</w:t>
        </w:r>
        <w:r w:rsidR="00CF1C4D">
          <w:rPr>
            <w:rFonts w:eastAsiaTheme="minorEastAsia" w:cstheme="minorBidi"/>
            <w:noProof/>
            <w:kern w:val="2"/>
            <w:sz w:val="24"/>
            <w:szCs w:val="24"/>
            <w14:ligatures w14:val="standardContextual"/>
          </w:rPr>
          <w:tab/>
        </w:r>
        <w:r w:rsidR="00CF1C4D" w:rsidRPr="00A7532F">
          <w:rPr>
            <w:rStyle w:val="Hyperlink"/>
            <w:noProof/>
          </w:rPr>
          <w:t>Distribution</w:t>
        </w:r>
        <w:r w:rsidR="00CF1C4D">
          <w:rPr>
            <w:noProof/>
            <w:webHidden/>
          </w:rPr>
          <w:tab/>
        </w:r>
        <w:r w:rsidR="00CF1C4D">
          <w:rPr>
            <w:noProof/>
            <w:webHidden/>
          </w:rPr>
          <w:fldChar w:fldCharType="begin"/>
        </w:r>
        <w:r w:rsidR="00CF1C4D">
          <w:rPr>
            <w:noProof/>
            <w:webHidden/>
          </w:rPr>
          <w:instrText xml:space="preserve"> PAGEREF _Toc176276931 \h </w:instrText>
        </w:r>
        <w:r w:rsidR="00CF1C4D">
          <w:rPr>
            <w:noProof/>
            <w:webHidden/>
          </w:rPr>
        </w:r>
        <w:r w:rsidR="00CF1C4D">
          <w:rPr>
            <w:noProof/>
            <w:webHidden/>
          </w:rPr>
          <w:fldChar w:fldCharType="separate"/>
        </w:r>
        <w:r w:rsidR="00CF1C4D">
          <w:rPr>
            <w:noProof/>
            <w:webHidden/>
          </w:rPr>
          <w:t>48</w:t>
        </w:r>
        <w:r w:rsidR="00CF1C4D">
          <w:rPr>
            <w:noProof/>
            <w:webHidden/>
          </w:rPr>
          <w:fldChar w:fldCharType="end"/>
        </w:r>
      </w:hyperlink>
    </w:p>
    <w:p w14:paraId="1D3000AB" w14:textId="155F3885" w:rsidR="00CF1C4D" w:rsidRDefault="00955B21">
      <w:pPr>
        <w:pStyle w:val="TOC3"/>
        <w:rPr>
          <w:rFonts w:eastAsiaTheme="minorEastAsia" w:cstheme="minorBidi"/>
          <w:noProof/>
          <w:kern w:val="2"/>
          <w:sz w:val="24"/>
          <w:szCs w:val="24"/>
          <w14:ligatures w14:val="standardContextual"/>
        </w:rPr>
      </w:pPr>
      <w:hyperlink w:anchor="_Toc176276932" w:history="1">
        <w:r w:rsidR="00CF1C4D" w:rsidRPr="00A7532F">
          <w:rPr>
            <w:rStyle w:val="Hyperlink"/>
            <w:noProof/>
          </w:rPr>
          <w:t>5.2.5</w:t>
        </w:r>
        <w:r w:rsidR="00CF1C4D">
          <w:rPr>
            <w:rFonts w:eastAsiaTheme="minorEastAsia" w:cstheme="minorBidi"/>
            <w:noProof/>
            <w:kern w:val="2"/>
            <w:sz w:val="24"/>
            <w:szCs w:val="24"/>
            <w14:ligatures w14:val="standardContextual"/>
          </w:rPr>
          <w:tab/>
        </w:r>
        <w:r w:rsidR="00CF1C4D" w:rsidRPr="00A7532F">
          <w:rPr>
            <w:rStyle w:val="Hyperlink"/>
            <w:noProof/>
          </w:rPr>
          <w:t>Metabolism (interspecies comparison)</w:t>
        </w:r>
        <w:r w:rsidR="00CF1C4D">
          <w:rPr>
            <w:noProof/>
            <w:webHidden/>
          </w:rPr>
          <w:tab/>
        </w:r>
        <w:r w:rsidR="00CF1C4D">
          <w:rPr>
            <w:noProof/>
            <w:webHidden/>
          </w:rPr>
          <w:fldChar w:fldCharType="begin"/>
        </w:r>
        <w:r w:rsidR="00CF1C4D">
          <w:rPr>
            <w:noProof/>
            <w:webHidden/>
          </w:rPr>
          <w:instrText xml:space="preserve"> PAGEREF _Toc176276932 \h </w:instrText>
        </w:r>
        <w:r w:rsidR="00CF1C4D">
          <w:rPr>
            <w:noProof/>
            <w:webHidden/>
          </w:rPr>
        </w:r>
        <w:r w:rsidR="00CF1C4D">
          <w:rPr>
            <w:noProof/>
            <w:webHidden/>
          </w:rPr>
          <w:fldChar w:fldCharType="separate"/>
        </w:r>
        <w:r w:rsidR="00CF1C4D">
          <w:rPr>
            <w:noProof/>
            <w:webHidden/>
          </w:rPr>
          <w:t>51</w:t>
        </w:r>
        <w:r w:rsidR="00CF1C4D">
          <w:rPr>
            <w:noProof/>
            <w:webHidden/>
          </w:rPr>
          <w:fldChar w:fldCharType="end"/>
        </w:r>
      </w:hyperlink>
    </w:p>
    <w:p w14:paraId="55966F52" w14:textId="65931C84" w:rsidR="00CF1C4D" w:rsidRDefault="00955B21">
      <w:pPr>
        <w:pStyle w:val="TOC3"/>
        <w:rPr>
          <w:rFonts w:eastAsiaTheme="minorEastAsia" w:cstheme="minorBidi"/>
          <w:noProof/>
          <w:kern w:val="2"/>
          <w:sz w:val="24"/>
          <w:szCs w:val="24"/>
          <w14:ligatures w14:val="standardContextual"/>
        </w:rPr>
      </w:pPr>
      <w:hyperlink w:anchor="_Toc176276933" w:history="1">
        <w:r w:rsidR="00CF1C4D" w:rsidRPr="00A7532F">
          <w:rPr>
            <w:rStyle w:val="Hyperlink"/>
            <w:noProof/>
          </w:rPr>
          <w:t>5.2.6</w:t>
        </w:r>
        <w:r w:rsidR="00CF1C4D">
          <w:rPr>
            <w:rFonts w:eastAsiaTheme="minorEastAsia" w:cstheme="minorBidi"/>
            <w:noProof/>
            <w:kern w:val="2"/>
            <w:sz w:val="24"/>
            <w:szCs w:val="24"/>
            <w14:ligatures w14:val="standardContextual"/>
          </w:rPr>
          <w:tab/>
        </w:r>
        <w:r w:rsidR="00CF1C4D" w:rsidRPr="00A7532F">
          <w:rPr>
            <w:rStyle w:val="Hyperlink"/>
            <w:noProof/>
          </w:rPr>
          <w:t>Excretion</w:t>
        </w:r>
        <w:r w:rsidR="00CF1C4D">
          <w:rPr>
            <w:noProof/>
            <w:webHidden/>
          </w:rPr>
          <w:tab/>
        </w:r>
        <w:r w:rsidR="00CF1C4D">
          <w:rPr>
            <w:noProof/>
            <w:webHidden/>
          </w:rPr>
          <w:fldChar w:fldCharType="begin"/>
        </w:r>
        <w:r w:rsidR="00CF1C4D">
          <w:rPr>
            <w:noProof/>
            <w:webHidden/>
          </w:rPr>
          <w:instrText xml:space="preserve"> PAGEREF _Toc176276933 \h </w:instrText>
        </w:r>
        <w:r w:rsidR="00CF1C4D">
          <w:rPr>
            <w:noProof/>
            <w:webHidden/>
          </w:rPr>
        </w:r>
        <w:r w:rsidR="00CF1C4D">
          <w:rPr>
            <w:noProof/>
            <w:webHidden/>
          </w:rPr>
          <w:fldChar w:fldCharType="separate"/>
        </w:r>
        <w:r w:rsidR="00CF1C4D">
          <w:rPr>
            <w:noProof/>
            <w:webHidden/>
          </w:rPr>
          <w:t>51</w:t>
        </w:r>
        <w:r w:rsidR="00CF1C4D">
          <w:rPr>
            <w:noProof/>
            <w:webHidden/>
          </w:rPr>
          <w:fldChar w:fldCharType="end"/>
        </w:r>
      </w:hyperlink>
    </w:p>
    <w:p w14:paraId="07397668" w14:textId="58E5FABF" w:rsidR="00CF1C4D" w:rsidRDefault="00955B21">
      <w:pPr>
        <w:pStyle w:val="TOC3"/>
        <w:rPr>
          <w:rFonts w:eastAsiaTheme="minorEastAsia" w:cstheme="minorBidi"/>
          <w:noProof/>
          <w:kern w:val="2"/>
          <w:sz w:val="24"/>
          <w:szCs w:val="24"/>
          <w14:ligatures w14:val="standardContextual"/>
        </w:rPr>
      </w:pPr>
      <w:hyperlink w:anchor="_Toc176276934" w:history="1">
        <w:r w:rsidR="00CF1C4D" w:rsidRPr="00A7532F">
          <w:rPr>
            <w:rStyle w:val="Hyperlink"/>
            <w:noProof/>
          </w:rPr>
          <w:t>5.2.7</w:t>
        </w:r>
        <w:r w:rsidR="00CF1C4D">
          <w:rPr>
            <w:rFonts w:eastAsiaTheme="minorEastAsia" w:cstheme="minorBidi"/>
            <w:noProof/>
            <w:kern w:val="2"/>
            <w:sz w:val="24"/>
            <w:szCs w:val="24"/>
            <w14:ligatures w14:val="standardContextual"/>
          </w:rPr>
          <w:tab/>
        </w:r>
        <w:r w:rsidR="00CF1C4D" w:rsidRPr="00A7532F">
          <w:rPr>
            <w:rStyle w:val="Hyperlink"/>
            <w:noProof/>
          </w:rPr>
          <w:t>Pharmacokinetic Drug Interactions</w:t>
        </w:r>
        <w:r w:rsidR="00CF1C4D">
          <w:rPr>
            <w:noProof/>
            <w:webHidden/>
          </w:rPr>
          <w:tab/>
        </w:r>
        <w:r w:rsidR="00CF1C4D">
          <w:rPr>
            <w:noProof/>
            <w:webHidden/>
          </w:rPr>
          <w:fldChar w:fldCharType="begin"/>
        </w:r>
        <w:r w:rsidR="00CF1C4D">
          <w:rPr>
            <w:noProof/>
            <w:webHidden/>
          </w:rPr>
          <w:instrText xml:space="preserve"> PAGEREF _Toc176276934 \h </w:instrText>
        </w:r>
        <w:r w:rsidR="00CF1C4D">
          <w:rPr>
            <w:noProof/>
            <w:webHidden/>
          </w:rPr>
        </w:r>
        <w:r w:rsidR="00CF1C4D">
          <w:rPr>
            <w:noProof/>
            <w:webHidden/>
          </w:rPr>
          <w:fldChar w:fldCharType="separate"/>
        </w:r>
        <w:r w:rsidR="00CF1C4D">
          <w:rPr>
            <w:noProof/>
            <w:webHidden/>
          </w:rPr>
          <w:t>51</w:t>
        </w:r>
        <w:r w:rsidR="00CF1C4D">
          <w:rPr>
            <w:noProof/>
            <w:webHidden/>
          </w:rPr>
          <w:fldChar w:fldCharType="end"/>
        </w:r>
      </w:hyperlink>
    </w:p>
    <w:p w14:paraId="4280308C" w14:textId="55A71A6F" w:rsidR="00CF1C4D" w:rsidRDefault="00955B21">
      <w:pPr>
        <w:pStyle w:val="TOC3"/>
        <w:rPr>
          <w:rFonts w:eastAsiaTheme="minorEastAsia" w:cstheme="minorBidi"/>
          <w:noProof/>
          <w:kern w:val="2"/>
          <w:sz w:val="24"/>
          <w:szCs w:val="24"/>
          <w14:ligatures w14:val="standardContextual"/>
        </w:rPr>
      </w:pPr>
      <w:hyperlink w:anchor="_Toc176276935" w:history="1">
        <w:r w:rsidR="00CF1C4D" w:rsidRPr="00A7532F">
          <w:rPr>
            <w:rStyle w:val="Hyperlink"/>
            <w:noProof/>
          </w:rPr>
          <w:t>5.2.8</w:t>
        </w:r>
        <w:r w:rsidR="00CF1C4D">
          <w:rPr>
            <w:rFonts w:eastAsiaTheme="minorEastAsia" w:cstheme="minorBidi"/>
            <w:noProof/>
            <w:kern w:val="2"/>
            <w:sz w:val="24"/>
            <w:szCs w:val="24"/>
            <w14:ligatures w14:val="standardContextual"/>
          </w:rPr>
          <w:tab/>
        </w:r>
        <w:r w:rsidR="00CF1C4D" w:rsidRPr="00A7532F">
          <w:rPr>
            <w:rStyle w:val="Hyperlink"/>
            <w:noProof/>
          </w:rPr>
          <w:t>Other Pharmacokinetic Studies</w:t>
        </w:r>
        <w:r w:rsidR="00CF1C4D">
          <w:rPr>
            <w:noProof/>
            <w:webHidden/>
          </w:rPr>
          <w:tab/>
        </w:r>
        <w:r w:rsidR="00CF1C4D">
          <w:rPr>
            <w:noProof/>
            <w:webHidden/>
          </w:rPr>
          <w:fldChar w:fldCharType="begin"/>
        </w:r>
        <w:r w:rsidR="00CF1C4D">
          <w:rPr>
            <w:noProof/>
            <w:webHidden/>
          </w:rPr>
          <w:instrText xml:space="preserve"> PAGEREF _Toc176276935 \h </w:instrText>
        </w:r>
        <w:r w:rsidR="00CF1C4D">
          <w:rPr>
            <w:noProof/>
            <w:webHidden/>
          </w:rPr>
        </w:r>
        <w:r w:rsidR="00CF1C4D">
          <w:rPr>
            <w:noProof/>
            <w:webHidden/>
          </w:rPr>
          <w:fldChar w:fldCharType="separate"/>
        </w:r>
        <w:r w:rsidR="00CF1C4D">
          <w:rPr>
            <w:noProof/>
            <w:webHidden/>
          </w:rPr>
          <w:t>51</w:t>
        </w:r>
        <w:r w:rsidR="00CF1C4D">
          <w:rPr>
            <w:noProof/>
            <w:webHidden/>
          </w:rPr>
          <w:fldChar w:fldCharType="end"/>
        </w:r>
      </w:hyperlink>
    </w:p>
    <w:p w14:paraId="4AD3509D" w14:textId="4182FFE2" w:rsidR="00CF1C4D" w:rsidRDefault="00955B21">
      <w:pPr>
        <w:pStyle w:val="TOC3"/>
        <w:rPr>
          <w:rFonts w:eastAsiaTheme="minorEastAsia" w:cstheme="minorBidi"/>
          <w:noProof/>
          <w:kern w:val="2"/>
          <w:sz w:val="24"/>
          <w:szCs w:val="24"/>
          <w14:ligatures w14:val="standardContextual"/>
        </w:rPr>
      </w:pPr>
      <w:hyperlink w:anchor="_Toc176276936" w:history="1">
        <w:r w:rsidR="00CF1C4D" w:rsidRPr="00A7532F">
          <w:rPr>
            <w:rStyle w:val="Hyperlink"/>
            <w:noProof/>
          </w:rPr>
          <w:t>5.2.9</w:t>
        </w:r>
        <w:r w:rsidR="00CF1C4D">
          <w:rPr>
            <w:rFonts w:eastAsiaTheme="minorEastAsia" w:cstheme="minorBidi"/>
            <w:noProof/>
            <w:kern w:val="2"/>
            <w:sz w:val="24"/>
            <w:szCs w:val="24"/>
            <w14:ligatures w14:val="standardContextual"/>
          </w:rPr>
          <w:tab/>
        </w:r>
        <w:r w:rsidR="00CF1C4D" w:rsidRPr="00A7532F">
          <w:rPr>
            <w:rStyle w:val="Hyperlink"/>
            <w:noProof/>
          </w:rPr>
          <w:t>Discussion and Conclusions for Other Pharmacokinetic Studies</w:t>
        </w:r>
        <w:r w:rsidR="00CF1C4D">
          <w:rPr>
            <w:noProof/>
            <w:webHidden/>
          </w:rPr>
          <w:tab/>
        </w:r>
        <w:r w:rsidR="00CF1C4D">
          <w:rPr>
            <w:noProof/>
            <w:webHidden/>
          </w:rPr>
          <w:fldChar w:fldCharType="begin"/>
        </w:r>
        <w:r w:rsidR="00CF1C4D">
          <w:rPr>
            <w:noProof/>
            <w:webHidden/>
          </w:rPr>
          <w:instrText xml:space="preserve"> PAGEREF _Toc176276936 \h </w:instrText>
        </w:r>
        <w:r w:rsidR="00CF1C4D">
          <w:rPr>
            <w:noProof/>
            <w:webHidden/>
          </w:rPr>
        </w:r>
        <w:r w:rsidR="00CF1C4D">
          <w:rPr>
            <w:noProof/>
            <w:webHidden/>
          </w:rPr>
          <w:fldChar w:fldCharType="separate"/>
        </w:r>
        <w:r w:rsidR="00CF1C4D">
          <w:rPr>
            <w:noProof/>
            <w:webHidden/>
          </w:rPr>
          <w:t>53</w:t>
        </w:r>
        <w:r w:rsidR="00CF1C4D">
          <w:rPr>
            <w:noProof/>
            <w:webHidden/>
          </w:rPr>
          <w:fldChar w:fldCharType="end"/>
        </w:r>
      </w:hyperlink>
    </w:p>
    <w:p w14:paraId="27C86423" w14:textId="6904FE34" w:rsidR="00CF1C4D" w:rsidRDefault="00955B21">
      <w:pPr>
        <w:pStyle w:val="TOC2"/>
        <w:tabs>
          <w:tab w:val="left" w:pos="880"/>
          <w:tab w:val="right" w:leader="dot" w:pos="9739"/>
        </w:tabs>
        <w:rPr>
          <w:rFonts w:eastAsiaTheme="minorEastAsia" w:cstheme="minorBidi"/>
          <w:b w:val="0"/>
          <w:bCs w:val="0"/>
          <w:noProof/>
          <w:kern w:val="2"/>
          <w:sz w:val="24"/>
          <w:szCs w:val="24"/>
          <w14:ligatures w14:val="standardContextual"/>
        </w:rPr>
      </w:pPr>
      <w:hyperlink w:anchor="_Toc176276937" w:history="1">
        <w:r w:rsidR="00CF1C4D" w:rsidRPr="00A7532F">
          <w:rPr>
            <w:rStyle w:val="Hyperlink"/>
            <w:noProof/>
          </w:rPr>
          <w:t>5.3</w:t>
        </w:r>
        <w:r w:rsidR="00CF1C4D">
          <w:rPr>
            <w:rFonts w:eastAsiaTheme="minorEastAsia" w:cstheme="minorBidi"/>
            <w:b w:val="0"/>
            <w:bCs w:val="0"/>
            <w:noProof/>
            <w:kern w:val="2"/>
            <w:sz w:val="24"/>
            <w:szCs w:val="24"/>
            <w14:ligatures w14:val="standardContextual"/>
          </w:rPr>
          <w:tab/>
        </w:r>
        <w:r w:rsidR="00CF1C4D" w:rsidRPr="00A7532F">
          <w:rPr>
            <w:rStyle w:val="Hyperlink"/>
            <w:noProof/>
          </w:rPr>
          <w:t>Toxicology</w:t>
        </w:r>
        <w:r w:rsidR="00CF1C4D">
          <w:rPr>
            <w:noProof/>
            <w:webHidden/>
          </w:rPr>
          <w:tab/>
        </w:r>
        <w:r w:rsidR="00CF1C4D">
          <w:rPr>
            <w:noProof/>
            <w:webHidden/>
          </w:rPr>
          <w:fldChar w:fldCharType="begin"/>
        </w:r>
        <w:r w:rsidR="00CF1C4D">
          <w:rPr>
            <w:noProof/>
            <w:webHidden/>
          </w:rPr>
          <w:instrText xml:space="preserve"> PAGEREF _Toc176276937 \h </w:instrText>
        </w:r>
        <w:r w:rsidR="00CF1C4D">
          <w:rPr>
            <w:noProof/>
            <w:webHidden/>
          </w:rPr>
        </w:r>
        <w:r w:rsidR="00CF1C4D">
          <w:rPr>
            <w:noProof/>
            <w:webHidden/>
          </w:rPr>
          <w:fldChar w:fldCharType="separate"/>
        </w:r>
        <w:r w:rsidR="00CF1C4D">
          <w:rPr>
            <w:noProof/>
            <w:webHidden/>
          </w:rPr>
          <w:t>54</w:t>
        </w:r>
        <w:r w:rsidR="00CF1C4D">
          <w:rPr>
            <w:noProof/>
            <w:webHidden/>
          </w:rPr>
          <w:fldChar w:fldCharType="end"/>
        </w:r>
      </w:hyperlink>
    </w:p>
    <w:p w14:paraId="4DB66908" w14:textId="7B832559" w:rsidR="00CF1C4D" w:rsidRDefault="00955B21">
      <w:pPr>
        <w:pStyle w:val="TOC3"/>
        <w:rPr>
          <w:rFonts w:eastAsiaTheme="minorEastAsia" w:cstheme="minorBidi"/>
          <w:noProof/>
          <w:kern w:val="2"/>
          <w:sz w:val="24"/>
          <w:szCs w:val="24"/>
          <w14:ligatures w14:val="standardContextual"/>
        </w:rPr>
      </w:pPr>
      <w:hyperlink w:anchor="_Toc176276938" w:history="1">
        <w:r w:rsidR="00CF1C4D" w:rsidRPr="00A7532F">
          <w:rPr>
            <w:rStyle w:val="Hyperlink"/>
            <w:noProof/>
          </w:rPr>
          <w:t>5.3.1</w:t>
        </w:r>
        <w:r w:rsidR="00CF1C4D">
          <w:rPr>
            <w:rFonts w:eastAsiaTheme="minorEastAsia" w:cstheme="minorBidi"/>
            <w:noProof/>
            <w:kern w:val="2"/>
            <w:sz w:val="24"/>
            <w:szCs w:val="24"/>
            <w14:ligatures w14:val="standardContextual"/>
          </w:rPr>
          <w:tab/>
        </w:r>
        <w:r w:rsidR="00CF1C4D" w:rsidRPr="00A7532F">
          <w:rPr>
            <w:rStyle w:val="Hyperlink"/>
            <w:noProof/>
          </w:rPr>
          <w:t>Brief Summary</w:t>
        </w:r>
        <w:r w:rsidR="00CF1C4D">
          <w:rPr>
            <w:noProof/>
            <w:webHidden/>
          </w:rPr>
          <w:tab/>
        </w:r>
        <w:r w:rsidR="00CF1C4D">
          <w:rPr>
            <w:noProof/>
            <w:webHidden/>
          </w:rPr>
          <w:fldChar w:fldCharType="begin"/>
        </w:r>
        <w:r w:rsidR="00CF1C4D">
          <w:rPr>
            <w:noProof/>
            <w:webHidden/>
          </w:rPr>
          <w:instrText xml:space="preserve"> PAGEREF _Toc176276938 \h </w:instrText>
        </w:r>
        <w:r w:rsidR="00CF1C4D">
          <w:rPr>
            <w:noProof/>
            <w:webHidden/>
          </w:rPr>
        </w:r>
        <w:r w:rsidR="00CF1C4D">
          <w:rPr>
            <w:noProof/>
            <w:webHidden/>
          </w:rPr>
          <w:fldChar w:fldCharType="separate"/>
        </w:r>
        <w:r w:rsidR="00CF1C4D">
          <w:rPr>
            <w:noProof/>
            <w:webHidden/>
          </w:rPr>
          <w:t>54</w:t>
        </w:r>
        <w:r w:rsidR="00CF1C4D">
          <w:rPr>
            <w:noProof/>
            <w:webHidden/>
          </w:rPr>
          <w:fldChar w:fldCharType="end"/>
        </w:r>
      </w:hyperlink>
    </w:p>
    <w:p w14:paraId="69E83B55" w14:textId="63CF555A" w:rsidR="00CF1C4D" w:rsidRDefault="00955B21">
      <w:pPr>
        <w:pStyle w:val="TOC3"/>
        <w:rPr>
          <w:rFonts w:eastAsiaTheme="minorEastAsia" w:cstheme="minorBidi"/>
          <w:noProof/>
          <w:kern w:val="2"/>
          <w:sz w:val="24"/>
          <w:szCs w:val="24"/>
          <w14:ligatures w14:val="standardContextual"/>
        </w:rPr>
      </w:pPr>
      <w:hyperlink w:anchor="_Toc176276939" w:history="1">
        <w:r w:rsidR="00CF1C4D" w:rsidRPr="00A7532F">
          <w:rPr>
            <w:rStyle w:val="Hyperlink"/>
            <w:noProof/>
          </w:rPr>
          <w:t>5.3.2</w:t>
        </w:r>
        <w:r w:rsidR="00CF1C4D">
          <w:rPr>
            <w:rFonts w:eastAsiaTheme="minorEastAsia" w:cstheme="minorBidi"/>
            <w:noProof/>
            <w:kern w:val="2"/>
            <w:sz w:val="24"/>
            <w:szCs w:val="24"/>
            <w14:ligatures w14:val="standardContextual"/>
          </w:rPr>
          <w:tab/>
        </w:r>
        <w:r w:rsidR="00CF1C4D" w:rsidRPr="00A7532F">
          <w:rPr>
            <w:rStyle w:val="Hyperlink"/>
            <w:noProof/>
          </w:rPr>
          <w:t>Expanded Acute-Dose Toxicity</w:t>
        </w:r>
        <w:r w:rsidR="00CF1C4D">
          <w:rPr>
            <w:noProof/>
            <w:webHidden/>
          </w:rPr>
          <w:tab/>
        </w:r>
        <w:r w:rsidR="00CF1C4D">
          <w:rPr>
            <w:noProof/>
            <w:webHidden/>
          </w:rPr>
          <w:fldChar w:fldCharType="begin"/>
        </w:r>
        <w:r w:rsidR="00CF1C4D">
          <w:rPr>
            <w:noProof/>
            <w:webHidden/>
          </w:rPr>
          <w:instrText xml:space="preserve"> PAGEREF _Toc176276939 \h </w:instrText>
        </w:r>
        <w:r w:rsidR="00CF1C4D">
          <w:rPr>
            <w:noProof/>
            <w:webHidden/>
          </w:rPr>
        </w:r>
        <w:r w:rsidR="00CF1C4D">
          <w:rPr>
            <w:noProof/>
            <w:webHidden/>
          </w:rPr>
          <w:fldChar w:fldCharType="separate"/>
        </w:r>
        <w:r w:rsidR="00CF1C4D">
          <w:rPr>
            <w:noProof/>
            <w:webHidden/>
          </w:rPr>
          <w:t>55</w:t>
        </w:r>
        <w:r w:rsidR="00CF1C4D">
          <w:rPr>
            <w:noProof/>
            <w:webHidden/>
          </w:rPr>
          <w:fldChar w:fldCharType="end"/>
        </w:r>
      </w:hyperlink>
    </w:p>
    <w:p w14:paraId="0D392D82" w14:textId="059B64D0" w:rsidR="00CF1C4D" w:rsidRDefault="00955B21">
      <w:pPr>
        <w:pStyle w:val="TOC3"/>
        <w:rPr>
          <w:rFonts w:eastAsiaTheme="minorEastAsia" w:cstheme="minorBidi"/>
          <w:noProof/>
          <w:kern w:val="2"/>
          <w:sz w:val="24"/>
          <w:szCs w:val="24"/>
          <w14:ligatures w14:val="standardContextual"/>
        </w:rPr>
      </w:pPr>
      <w:hyperlink w:anchor="_Toc176276940" w:history="1">
        <w:r w:rsidR="00CF1C4D" w:rsidRPr="00A7532F">
          <w:rPr>
            <w:rStyle w:val="Hyperlink"/>
            <w:noProof/>
          </w:rPr>
          <w:t>5.3.3</w:t>
        </w:r>
        <w:r w:rsidR="00CF1C4D">
          <w:rPr>
            <w:rFonts w:eastAsiaTheme="minorEastAsia" w:cstheme="minorBidi"/>
            <w:noProof/>
            <w:kern w:val="2"/>
            <w:sz w:val="24"/>
            <w:szCs w:val="24"/>
            <w14:ligatures w14:val="standardContextual"/>
          </w:rPr>
          <w:tab/>
        </w:r>
        <w:r w:rsidR="00CF1C4D" w:rsidRPr="00A7532F">
          <w:rPr>
            <w:rStyle w:val="Hyperlink"/>
            <w:noProof/>
          </w:rPr>
          <w:t>Repeat-Dose Toxicity</w:t>
        </w:r>
        <w:r w:rsidR="00CF1C4D">
          <w:rPr>
            <w:noProof/>
            <w:webHidden/>
          </w:rPr>
          <w:tab/>
        </w:r>
        <w:r w:rsidR="00CF1C4D">
          <w:rPr>
            <w:noProof/>
            <w:webHidden/>
          </w:rPr>
          <w:fldChar w:fldCharType="begin"/>
        </w:r>
        <w:r w:rsidR="00CF1C4D">
          <w:rPr>
            <w:noProof/>
            <w:webHidden/>
          </w:rPr>
          <w:instrText xml:space="preserve"> PAGEREF _Toc176276940 \h </w:instrText>
        </w:r>
        <w:r w:rsidR="00CF1C4D">
          <w:rPr>
            <w:noProof/>
            <w:webHidden/>
          </w:rPr>
        </w:r>
        <w:r w:rsidR="00CF1C4D">
          <w:rPr>
            <w:noProof/>
            <w:webHidden/>
          </w:rPr>
          <w:fldChar w:fldCharType="separate"/>
        </w:r>
        <w:r w:rsidR="00CF1C4D">
          <w:rPr>
            <w:noProof/>
            <w:webHidden/>
          </w:rPr>
          <w:t>59</w:t>
        </w:r>
        <w:r w:rsidR="00CF1C4D">
          <w:rPr>
            <w:noProof/>
            <w:webHidden/>
          </w:rPr>
          <w:fldChar w:fldCharType="end"/>
        </w:r>
      </w:hyperlink>
    </w:p>
    <w:p w14:paraId="659390D7" w14:textId="67F8CE7B" w:rsidR="00CF1C4D" w:rsidRDefault="00955B21">
      <w:pPr>
        <w:pStyle w:val="TOC3"/>
        <w:rPr>
          <w:rFonts w:eastAsiaTheme="minorEastAsia" w:cstheme="minorBidi"/>
          <w:noProof/>
          <w:kern w:val="2"/>
          <w:sz w:val="24"/>
          <w:szCs w:val="24"/>
          <w14:ligatures w14:val="standardContextual"/>
        </w:rPr>
      </w:pPr>
      <w:hyperlink w:anchor="_Toc176276941" w:history="1">
        <w:r w:rsidR="00CF1C4D" w:rsidRPr="00A7532F">
          <w:rPr>
            <w:rStyle w:val="Hyperlink"/>
            <w:noProof/>
          </w:rPr>
          <w:t>5.3.4</w:t>
        </w:r>
        <w:r w:rsidR="00CF1C4D">
          <w:rPr>
            <w:rFonts w:eastAsiaTheme="minorEastAsia" w:cstheme="minorBidi"/>
            <w:noProof/>
            <w:kern w:val="2"/>
            <w:sz w:val="24"/>
            <w:szCs w:val="24"/>
            <w14:ligatures w14:val="standardContextual"/>
          </w:rPr>
          <w:tab/>
        </w:r>
        <w:r w:rsidR="00CF1C4D" w:rsidRPr="00A7532F">
          <w:rPr>
            <w:rStyle w:val="Hyperlink"/>
            <w:noProof/>
          </w:rPr>
          <w:t>Genotoxicity</w:t>
        </w:r>
        <w:r w:rsidR="00CF1C4D">
          <w:rPr>
            <w:noProof/>
            <w:webHidden/>
          </w:rPr>
          <w:tab/>
        </w:r>
        <w:r w:rsidR="00CF1C4D">
          <w:rPr>
            <w:noProof/>
            <w:webHidden/>
          </w:rPr>
          <w:fldChar w:fldCharType="begin"/>
        </w:r>
        <w:r w:rsidR="00CF1C4D">
          <w:rPr>
            <w:noProof/>
            <w:webHidden/>
          </w:rPr>
          <w:instrText xml:space="preserve"> PAGEREF _Toc176276941 \h </w:instrText>
        </w:r>
        <w:r w:rsidR="00CF1C4D">
          <w:rPr>
            <w:noProof/>
            <w:webHidden/>
          </w:rPr>
        </w:r>
        <w:r w:rsidR="00CF1C4D">
          <w:rPr>
            <w:noProof/>
            <w:webHidden/>
          </w:rPr>
          <w:fldChar w:fldCharType="separate"/>
        </w:r>
        <w:r w:rsidR="00CF1C4D">
          <w:rPr>
            <w:noProof/>
            <w:webHidden/>
          </w:rPr>
          <w:t>59</w:t>
        </w:r>
        <w:r w:rsidR="00CF1C4D">
          <w:rPr>
            <w:noProof/>
            <w:webHidden/>
          </w:rPr>
          <w:fldChar w:fldCharType="end"/>
        </w:r>
      </w:hyperlink>
    </w:p>
    <w:p w14:paraId="69288648" w14:textId="674B8CCB" w:rsidR="00CF1C4D" w:rsidRDefault="00955B21">
      <w:pPr>
        <w:pStyle w:val="TOC3"/>
        <w:rPr>
          <w:rFonts w:eastAsiaTheme="minorEastAsia" w:cstheme="minorBidi"/>
          <w:noProof/>
          <w:kern w:val="2"/>
          <w:sz w:val="24"/>
          <w:szCs w:val="24"/>
          <w14:ligatures w14:val="standardContextual"/>
        </w:rPr>
      </w:pPr>
      <w:hyperlink w:anchor="_Toc176276942" w:history="1">
        <w:r w:rsidR="00CF1C4D" w:rsidRPr="00A7532F">
          <w:rPr>
            <w:rStyle w:val="Hyperlink"/>
            <w:noProof/>
          </w:rPr>
          <w:t>5.3.5</w:t>
        </w:r>
        <w:r w:rsidR="00CF1C4D">
          <w:rPr>
            <w:rFonts w:eastAsiaTheme="minorEastAsia" w:cstheme="minorBidi"/>
            <w:noProof/>
            <w:kern w:val="2"/>
            <w:sz w:val="24"/>
            <w:szCs w:val="24"/>
            <w14:ligatures w14:val="standardContextual"/>
          </w:rPr>
          <w:tab/>
        </w:r>
        <w:r w:rsidR="00CF1C4D" w:rsidRPr="00A7532F">
          <w:rPr>
            <w:rStyle w:val="Hyperlink"/>
            <w:noProof/>
          </w:rPr>
          <w:t>Carcinogenicity</w:t>
        </w:r>
        <w:r w:rsidR="00CF1C4D">
          <w:rPr>
            <w:noProof/>
            <w:webHidden/>
          </w:rPr>
          <w:tab/>
        </w:r>
        <w:r w:rsidR="00CF1C4D">
          <w:rPr>
            <w:noProof/>
            <w:webHidden/>
          </w:rPr>
          <w:fldChar w:fldCharType="begin"/>
        </w:r>
        <w:r w:rsidR="00CF1C4D">
          <w:rPr>
            <w:noProof/>
            <w:webHidden/>
          </w:rPr>
          <w:instrText xml:space="preserve"> PAGEREF _Toc176276942 \h </w:instrText>
        </w:r>
        <w:r w:rsidR="00CF1C4D">
          <w:rPr>
            <w:noProof/>
            <w:webHidden/>
          </w:rPr>
        </w:r>
        <w:r w:rsidR="00CF1C4D">
          <w:rPr>
            <w:noProof/>
            <w:webHidden/>
          </w:rPr>
          <w:fldChar w:fldCharType="separate"/>
        </w:r>
        <w:r w:rsidR="00CF1C4D">
          <w:rPr>
            <w:noProof/>
            <w:webHidden/>
          </w:rPr>
          <w:t>70</w:t>
        </w:r>
        <w:r w:rsidR="00CF1C4D">
          <w:rPr>
            <w:noProof/>
            <w:webHidden/>
          </w:rPr>
          <w:fldChar w:fldCharType="end"/>
        </w:r>
      </w:hyperlink>
    </w:p>
    <w:p w14:paraId="52B473DD" w14:textId="556A4A21" w:rsidR="00CF1C4D" w:rsidRDefault="00955B21">
      <w:pPr>
        <w:pStyle w:val="TOC3"/>
        <w:rPr>
          <w:rFonts w:eastAsiaTheme="minorEastAsia" w:cstheme="minorBidi"/>
          <w:noProof/>
          <w:kern w:val="2"/>
          <w:sz w:val="24"/>
          <w:szCs w:val="24"/>
          <w14:ligatures w14:val="standardContextual"/>
        </w:rPr>
      </w:pPr>
      <w:hyperlink w:anchor="_Toc176276943" w:history="1">
        <w:r w:rsidR="00CF1C4D" w:rsidRPr="00A7532F">
          <w:rPr>
            <w:rStyle w:val="Hyperlink"/>
            <w:noProof/>
          </w:rPr>
          <w:t>5.3.6</w:t>
        </w:r>
        <w:r w:rsidR="00CF1C4D">
          <w:rPr>
            <w:rFonts w:eastAsiaTheme="minorEastAsia" w:cstheme="minorBidi"/>
            <w:noProof/>
            <w:kern w:val="2"/>
            <w:sz w:val="24"/>
            <w:szCs w:val="24"/>
            <w14:ligatures w14:val="standardContextual"/>
          </w:rPr>
          <w:tab/>
        </w:r>
        <w:r w:rsidR="00CF1C4D" w:rsidRPr="00A7532F">
          <w:rPr>
            <w:rStyle w:val="Hyperlink"/>
            <w:noProof/>
          </w:rPr>
          <w:t>Reproductive and Developmental Toxicity</w:t>
        </w:r>
        <w:r w:rsidR="00CF1C4D">
          <w:rPr>
            <w:noProof/>
            <w:webHidden/>
          </w:rPr>
          <w:tab/>
        </w:r>
        <w:r w:rsidR="00CF1C4D">
          <w:rPr>
            <w:noProof/>
            <w:webHidden/>
          </w:rPr>
          <w:fldChar w:fldCharType="begin"/>
        </w:r>
        <w:r w:rsidR="00CF1C4D">
          <w:rPr>
            <w:noProof/>
            <w:webHidden/>
          </w:rPr>
          <w:instrText xml:space="preserve"> PAGEREF _Toc176276943 \h </w:instrText>
        </w:r>
        <w:r w:rsidR="00CF1C4D">
          <w:rPr>
            <w:noProof/>
            <w:webHidden/>
          </w:rPr>
        </w:r>
        <w:r w:rsidR="00CF1C4D">
          <w:rPr>
            <w:noProof/>
            <w:webHidden/>
          </w:rPr>
          <w:fldChar w:fldCharType="separate"/>
        </w:r>
        <w:r w:rsidR="00CF1C4D">
          <w:rPr>
            <w:noProof/>
            <w:webHidden/>
          </w:rPr>
          <w:t>70</w:t>
        </w:r>
        <w:r w:rsidR="00CF1C4D">
          <w:rPr>
            <w:noProof/>
            <w:webHidden/>
          </w:rPr>
          <w:fldChar w:fldCharType="end"/>
        </w:r>
      </w:hyperlink>
    </w:p>
    <w:p w14:paraId="6FCDBADA" w14:textId="709639A2" w:rsidR="00CF1C4D" w:rsidRDefault="00955B21">
      <w:pPr>
        <w:pStyle w:val="TOC3"/>
        <w:rPr>
          <w:rFonts w:eastAsiaTheme="minorEastAsia" w:cstheme="minorBidi"/>
          <w:noProof/>
          <w:kern w:val="2"/>
          <w:sz w:val="24"/>
          <w:szCs w:val="24"/>
          <w14:ligatures w14:val="standardContextual"/>
        </w:rPr>
      </w:pPr>
      <w:hyperlink w:anchor="_Toc176276944" w:history="1">
        <w:r w:rsidR="00CF1C4D" w:rsidRPr="00A7532F">
          <w:rPr>
            <w:rStyle w:val="Hyperlink"/>
            <w:noProof/>
          </w:rPr>
          <w:t>5.3.7</w:t>
        </w:r>
        <w:r w:rsidR="00CF1C4D">
          <w:rPr>
            <w:rFonts w:eastAsiaTheme="minorEastAsia" w:cstheme="minorBidi"/>
            <w:noProof/>
            <w:kern w:val="2"/>
            <w:sz w:val="24"/>
            <w:szCs w:val="24"/>
            <w14:ligatures w14:val="standardContextual"/>
          </w:rPr>
          <w:tab/>
        </w:r>
        <w:r w:rsidR="00CF1C4D" w:rsidRPr="00A7532F">
          <w:rPr>
            <w:rStyle w:val="Hyperlink"/>
            <w:noProof/>
          </w:rPr>
          <w:t>Local Tolerance</w:t>
        </w:r>
        <w:r w:rsidR="00CF1C4D">
          <w:rPr>
            <w:noProof/>
            <w:webHidden/>
          </w:rPr>
          <w:tab/>
        </w:r>
        <w:r w:rsidR="00CF1C4D">
          <w:rPr>
            <w:noProof/>
            <w:webHidden/>
          </w:rPr>
          <w:fldChar w:fldCharType="begin"/>
        </w:r>
        <w:r w:rsidR="00CF1C4D">
          <w:rPr>
            <w:noProof/>
            <w:webHidden/>
          </w:rPr>
          <w:instrText xml:space="preserve"> PAGEREF _Toc176276944 \h </w:instrText>
        </w:r>
        <w:r w:rsidR="00CF1C4D">
          <w:rPr>
            <w:noProof/>
            <w:webHidden/>
          </w:rPr>
        </w:r>
        <w:r w:rsidR="00CF1C4D">
          <w:rPr>
            <w:noProof/>
            <w:webHidden/>
          </w:rPr>
          <w:fldChar w:fldCharType="separate"/>
        </w:r>
        <w:r w:rsidR="00CF1C4D">
          <w:rPr>
            <w:noProof/>
            <w:webHidden/>
          </w:rPr>
          <w:t>70</w:t>
        </w:r>
        <w:r w:rsidR="00CF1C4D">
          <w:rPr>
            <w:noProof/>
            <w:webHidden/>
          </w:rPr>
          <w:fldChar w:fldCharType="end"/>
        </w:r>
      </w:hyperlink>
    </w:p>
    <w:p w14:paraId="428627AB" w14:textId="1191972B" w:rsidR="00CF1C4D" w:rsidRDefault="00955B21">
      <w:pPr>
        <w:pStyle w:val="TOC3"/>
        <w:rPr>
          <w:rFonts w:eastAsiaTheme="minorEastAsia" w:cstheme="minorBidi"/>
          <w:noProof/>
          <w:kern w:val="2"/>
          <w:sz w:val="24"/>
          <w:szCs w:val="24"/>
          <w14:ligatures w14:val="standardContextual"/>
        </w:rPr>
      </w:pPr>
      <w:hyperlink w:anchor="_Toc176276945" w:history="1">
        <w:r w:rsidR="00CF1C4D" w:rsidRPr="00A7532F">
          <w:rPr>
            <w:rStyle w:val="Hyperlink"/>
            <w:noProof/>
          </w:rPr>
          <w:t>5.3.8</w:t>
        </w:r>
        <w:r w:rsidR="00CF1C4D">
          <w:rPr>
            <w:rFonts w:eastAsiaTheme="minorEastAsia" w:cstheme="minorBidi"/>
            <w:noProof/>
            <w:kern w:val="2"/>
            <w:sz w:val="24"/>
            <w:szCs w:val="24"/>
            <w14:ligatures w14:val="standardContextual"/>
          </w:rPr>
          <w:tab/>
        </w:r>
        <w:r w:rsidR="00CF1C4D" w:rsidRPr="00A7532F">
          <w:rPr>
            <w:rStyle w:val="Hyperlink"/>
            <w:noProof/>
          </w:rPr>
          <w:t>Other Toxicity Studies</w:t>
        </w:r>
        <w:r w:rsidR="00CF1C4D">
          <w:rPr>
            <w:noProof/>
            <w:webHidden/>
          </w:rPr>
          <w:tab/>
        </w:r>
        <w:r w:rsidR="00CF1C4D">
          <w:rPr>
            <w:noProof/>
            <w:webHidden/>
          </w:rPr>
          <w:fldChar w:fldCharType="begin"/>
        </w:r>
        <w:r w:rsidR="00CF1C4D">
          <w:rPr>
            <w:noProof/>
            <w:webHidden/>
          </w:rPr>
          <w:instrText xml:space="preserve"> PAGEREF _Toc176276945 \h </w:instrText>
        </w:r>
        <w:r w:rsidR="00CF1C4D">
          <w:rPr>
            <w:noProof/>
            <w:webHidden/>
          </w:rPr>
        </w:r>
        <w:r w:rsidR="00CF1C4D">
          <w:rPr>
            <w:noProof/>
            <w:webHidden/>
          </w:rPr>
          <w:fldChar w:fldCharType="separate"/>
        </w:r>
        <w:r w:rsidR="00CF1C4D">
          <w:rPr>
            <w:noProof/>
            <w:webHidden/>
          </w:rPr>
          <w:t>71</w:t>
        </w:r>
        <w:r w:rsidR="00CF1C4D">
          <w:rPr>
            <w:noProof/>
            <w:webHidden/>
          </w:rPr>
          <w:fldChar w:fldCharType="end"/>
        </w:r>
      </w:hyperlink>
    </w:p>
    <w:p w14:paraId="2FACA94F" w14:textId="7AE233AB" w:rsidR="00CF1C4D" w:rsidRDefault="00955B21">
      <w:pPr>
        <w:pStyle w:val="TOC3"/>
        <w:rPr>
          <w:rFonts w:eastAsiaTheme="minorEastAsia" w:cstheme="minorBidi"/>
          <w:noProof/>
          <w:kern w:val="2"/>
          <w:sz w:val="24"/>
          <w:szCs w:val="24"/>
          <w14:ligatures w14:val="standardContextual"/>
        </w:rPr>
      </w:pPr>
      <w:hyperlink w:anchor="_Toc176276946" w:history="1">
        <w:r w:rsidR="00CF1C4D" w:rsidRPr="00A7532F">
          <w:rPr>
            <w:rStyle w:val="Hyperlink"/>
            <w:noProof/>
          </w:rPr>
          <w:t>5.3.9</w:t>
        </w:r>
        <w:r w:rsidR="00CF1C4D">
          <w:rPr>
            <w:rFonts w:eastAsiaTheme="minorEastAsia" w:cstheme="minorBidi"/>
            <w:noProof/>
            <w:kern w:val="2"/>
            <w:sz w:val="24"/>
            <w:szCs w:val="24"/>
            <w14:ligatures w14:val="standardContextual"/>
          </w:rPr>
          <w:tab/>
        </w:r>
        <w:r w:rsidR="00CF1C4D" w:rsidRPr="00A7532F">
          <w:rPr>
            <w:rStyle w:val="Hyperlink"/>
            <w:noProof/>
          </w:rPr>
          <w:t>Discussion and Conclusions</w:t>
        </w:r>
        <w:r w:rsidR="00CF1C4D">
          <w:rPr>
            <w:noProof/>
            <w:webHidden/>
          </w:rPr>
          <w:tab/>
        </w:r>
        <w:r w:rsidR="00CF1C4D">
          <w:rPr>
            <w:noProof/>
            <w:webHidden/>
          </w:rPr>
          <w:fldChar w:fldCharType="begin"/>
        </w:r>
        <w:r w:rsidR="00CF1C4D">
          <w:rPr>
            <w:noProof/>
            <w:webHidden/>
          </w:rPr>
          <w:instrText xml:space="preserve"> PAGEREF _Toc176276946 \h </w:instrText>
        </w:r>
        <w:r w:rsidR="00CF1C4D">
          <w:rPr>
            <w:noProof/>
            <w:webHidden/>
          </w:rPr>
        </w:r>
        <w:r w:rsidR="00CF1C4D">
          <w:rPr>
            <w:noProof/>
            <w:webHidden/>
          </w:rPr>
          <w:fldChar w:fldCharType="separate"/>
        </w:r>
        <w:r w:rsidR="00CF1C4D">
          <w:rPr>
            <w:noProof/>
            <w:webHidden/>
          </w:rPr>
          <w:t>71</w:t>
        </w:r>
        <w:r w:rsidR="00CF1C4D">
          <w:rPr>
            <w:noProof/>
            <w:webHidden/>
          </w:rPr>
          <w:fldChar w:fldCharType="end"/>
        </w:r>
      </w:hyperlink>
    </w:p>
    <w:p w14:paraId="0DE7FB8B" w14:textId="5C759585" w:rsidR="00CF1C4D" w:rsidRDefault="00955B21">
      <w:pPr>
        <w:pStyle w:val="TOC2"/>
        <w:tabs>
          <w:tab w:val="left" w:pos="880"/>
          <w:tab w:val="right" w:leader="dot" w:pos="9739"/>
        </w:tabs>
        <w:rPr>
          <w:rFonts w:eastAsiaTheme="minorEastAsia" w:cstheme="minorBidi"/>
          <w:b w:val="0"/>
          <w:bCs w:val="0"/>
          <w:noProof/>
          <w:kern w:val="2"/>
          <w:sz w:val="24"/>
          <w:szCs w:val="24"/>
          <w14:ligatures w14:val="standardContextual"/>
        </w:rPr>
      </w:pPr>
      <w:hyperlink w:anchor="_Toc176276947" w:history="1">
        <w:r w:rsidR="00CF1C4D" w:rsidRPr="00A7532F">
          <w:rPr>
            <w:rStyle w:val="Hyperlink"/>
            <w:noProof/>
          </w:rPr>
          <w:t>5.4</w:t>
        </w:r>
        <w:r w:rsidR="00CF1C4D">
          <w:rPr>
            <w:rFonts w:eastAsiaTheme="minorEastAsia" w:cstheme="minorBidi"/>
            <w:b w:val="0"/>
            <w:bCs w:val="0"/>
            <w:noProof/>
            <w:kern w:val="2"/>
            <w:sz w:val="24"/>
            <w:szCs w:val="24"/>
            <w14:ligatures w14:val="standardContextual"/>
          </w:rPr>
          <w:tab/>
        </w:r>
        <w:r w:rsidR="00CF1C4D" w:rsidRPr="00A7532F">
          <w:rPr>
            <w:rStyle w:val="Hyperlink"/>
            <w:noProof/>
          </w:rPr>
          <w:t>Tabulated Summary of Non-clinical Studies</w:t>
        </w:r>
        <w:r w:rsidR="00CF1C4D">
          <w:rPr>
            <w:noProof/>
            <w:webHidden/>
          </w:rPr>
          <w:tab/>
        </w:r>
        <w:r w:rsidR="00CF1C4D">
          <w:rPr>
            <w:noProof/>
            <w:webHidden/>
          </w:rPr>
          <w:fldChar w:fldCharType="begin"/>
        </w:r>
        <w:r w:rsidR="00CF1C4D">
          <w:rPr>
            <w:noProof/>
            <w:webHidden/>
          </w:rPr>
          <w:instrText xml:space="preserve"> PAGEREF _Toc176276947 \h </w:instrText>
        </w:r>
        <w:r w:rsidR="00CF1C4D">
          <w:rPr>
            <w:noProof/>
            <w:webHidden/>
          </w:rPr>
        </w:r>
        <w:r w:rsidR="00CF1C4D">
          <w:rPr>
            <w:noProof/>
            <w:webHidden/>
          </w:rPr>
          <w:fldChar w:fldCharType="separate"/>
        </w:r>
        <w:r w:rsidR="00CF1C4D">
          <w:rPr>
            <w:noProof/>
            <w:webHidden/>
          </w:rPr>
          <w:t>74</w:t>
        </w:r>
        <w:r w:rsidR="00CF1C4D">
          <w:rPr>
            <w:noProof/>
            <w:webHidden/>
          </w:rPr>
          <w:fldChar w:fldCharType="end"/>
        </w:r>
      </w:hyperlink>
    </w:p>
    <w:p w14:paraId="17A9ADAF" w14:textId="46A230EF" w:rsidR="00CF1C4D" w:rsidRDefault="00955B21">
      <w:pPr>
        <w:pStyle w:val="TOC2"/>
        <w:tabs>
          <w:tab w:val="left" w:pos="880"/>
          <w:tab w:val="right" w:leader="dot" w:pos="9739"/>
        </w:tabs>
        <w:rPr>
          <w:rFonts w:eastAsiaTheme="minorEastAsia" w:cstheme="minorBidi"/>
          <w:b w:val="0"/>
          <w:bCs w:val="0"/>
          <w:noProof/>
          <w:kern w:val="2"/>
          <w:sz w:val="24"/>
          <w:szCs w:val="24"/>
          <w14:ligatures w14:val="standardContextual"/>
        </w:rPr>
      </w:pPr>
      <w:hyperlink w:anchor="_Toc176276948" w:history="1">
        <w:r w:rsidR="00CF1C4D" w:rsidRPr="00A7532F">
          <w:rPr>
            <w:rStyle w:val="Hyperlink"/>
            <w:noProof/>
          </w:rPr>
          <w:t>5.5</w:t>
        </w:r>
        <w:r w:rsidR="00CF1C4D">
          <w:rPr>
            <w:rFonts w:eastAsiaTheme="minorEastAsia" w:cstheme="minorBidi"/>
            <w:b w:val="0"/>
            <w:bCs w:val="0"/>
            <w:noProof/>
            <w:kern w:val="2"/>
            <w:sz w:val="24"/>
            <w:szCs w:val="24"/>
            <w14:ligatures w14:val="standardContextual"/>
          </w:rPr>
          <w:tab/>
        </w:r>
        <w:r w:rsidR="00CF1C4D" w:rsidRPr="00A7532F">
          <w:rPr>
            <w:rStyle w:val="Hyperlink"/>
            <w:noProof/>
          </w:rPr>
          <w:t>Summary of the literature on the effects of pyruvate in animals</w:t>
        </w:r>
        <w:r w:rsidR="00CF1C4D">
          <w:rPr>
            <w:noProof/>
            <w:webHidden/>
          </w:rPr>
          <w:tab/>
        </w:r>
        <w:r w:rsidR="00CF1C4D">
          <w:rPr>
            <w:noProof/>
            <w:webHidden/>
          </w:rPr>
          <w:fldChar w:fldCharType="begin"/>
        </w:r>
        <w:r w:rsidR="00CF1C4D">
          <w:rPr>
            <w:noProof/>
            <w:webHidden/>
          </w:rPr>
          <w:instrText xml:space="preserve"> PAGEREF _Toc176276948 \h </w:instrText>
        </w:r>
        <w:r w:rsidR="00CF1C4D">
          <w:rPr>
            <w:noProof/>
            <w:webHidden/>
          </w:rPr>
        </w:r>
        <w:r w:rsidR="00CF1C4D">
          <w:rPr>
            <w:noProof/>
            <w:webHidden/>
          </w:rPr>
          <w:fldChar w:fldCharType="separate"/>
        </w:r>
        <w:r w:rsidR="00CF1C4D">
          <w:rPr>
            <w:noProof/>
            <w:webHidden/>
          </w:rPr>
          <w:t>84</w:t>
        </w:r>
        <w:r w:rsidR="00CF1C4D">
          <w:rPr>
            <w:noProof/>
            <w:webHidden/>
          </w:rPr>
          <w:fldChar w:fldCharType="end"/>
        </w:r>
      </w:hyperlink>
    </w:p>
    <w:p w14:paraId="6378D02A" w14:textId="6E77E395" w:rsidR="00CF1C4D" w:rsidRDefault="00955B21">
      <w:pPr>
        <w:pStyle w:val="TOC2"/>
        <w:tabs>
          <w:tab w:val="left" w:pos="880"/>
          <w:tab w:val="right" w:leader="dot" w:pos="9739"/>
        </w:tabs>
        <w:rPr>
          <w:rFonts w:eastAsiaTheme="minorEastAsia" w:cstheme="minorBidi"/>
          <w:b w:val="0"/>
          <w:bCs w:val="0"/>
          <w:noProof/>
          <w:kern w:val="2"/>
          <w:sz w:val="24"/>
          <w:szCs w:val="24"/>
          <w14:ligatures w14:val="standardContextual"/>
        </w:rPr>
      </w:pPr>
      <w:hyperlink w:anchor="_Toc176276949" w:history="1">
        <w:r w:rsidR="00CF1C4D" w:rsidRPr="00A7532F">
          <w:rPr>
            <w:rStyle w:val="Hyperlink"/>
            <w:noProof/>
          </w:rPr>
          <w:t>5.6</w:t>
        </w:r>
        <w:r w:rsidR="00CF1C4D">
          <w:rPr>
            <w:rFonts w:eastAsiaTheme="minorEastAsia" w:cstheme="minorBidi"/>
            <w:b w:val="0"/>
            <w:bCs w:val="0"/>
            <w:noProof/>
            <w:kern w:val="2"/>
            <w:sz w:val="24"/>
            <w:szCs w:val="24"/>
            <w14:ligatures w14:val="standardContextual"/>
          </w:rPr>
          <w:tab/>
        </w:r>
        <w:r w:rsidR="00CF1C4D" w:rsidRPr="00A7532F">
          <w:rPr>
            <w:rStyle w:val="Hyperlink"/>
            <w:noProof/>
          </w:rPr>
          <w:t>Summary of adverse events recorded in 13C Academic Network</w:t>
        </w:r>
        <w:r w:rsidR="00CF1C4D">
          <w:rPr>
            <w:noProof/>
            <w:webHidden/>
          </w:rPr>
          <w:tab/>
        </w:r>
        <w:r w:rsidR="00CF1C4D">
          <w:rPr>
            <w:noProof/>
            <w:webHidden/>
          </w:rPr>
          <w:fldChar w:fldCharType="begin"/>
        </w:r>
        <w:r w:rsidR="00CF1C4D">
          <w:rPr>
            <w:noProof/>
            <w:webHidden/>
          </w:rPr>
          <w:instrText xml:space="preserve"> PAGEREF _Toc176276949 \h </w:instrText>
        </w:r>
        <w:r w:rsidR="00CF1C4D">
          <w:rPr>
            <w:noProof/>
            <w:webHidden/>
          </w:rPr>
        </w:r>
        <w:r w:rsidR="00CF1C4D">
          <w:rPr>
            <w:noProof/>
            <w:webHidden/>
          </w:rPr>
          <w:fldChar w:fldCharType="separate"/>
        </w:r>
        <w:r w:rsidR="00CF1C4D">
          <w:rPr>
            <w:noProof/>
            <w:webHidden/>
          </w:rPr>
          <w:t>87</w:t>
        </w:r>
        <w:r w:rsidR="00CF1C4D">
          <w:rPr>
            <w:noProof/>
            <w:webHidden/>
          </w:rPr>
          <w:fldChar w:fldCharType="end"/>
        </w:r>
      </w:hyperlink>
    </w:p>
    <w:p w14:paraId="2CD6C0F0" w14:textId="07F0309B" w:rsidR="00CF1C4D" w:rsidRDefault="00955B21">
      <w:pPr>
        <w:pStyle w:val="TOC2"/>
        <w:tabs>
          <w:tab w:val="left" w:pos="880"/>
          <w:tab w:val="right" w:leader="dot" w:pos="9739"/>
        </w:tabs>
        <w:rPr>
          <w:rFonts w:eastAsiaTheme="minorEastAsia" w:cstheme="minorBidi"/>
          <w:b w:val="0"/>
          <w:bCs w:val="0"/>
          <w:noProof/>
          <w:kern w:val="2"/>
          <w:sz w:val="24"/>
          <w:szCs w:val="24"/>
          <w14:ligatures w14:val="standardContextual"/>
        </w:rPr>
      </w:pPr>
      <w:hyperlink w:anchor="_Toc176276950" w:history="1">
        <w:r w:rsidR="00CF1C4D" w:rsidRPr="00A7532F">
          <w:rPr>
            <w:rStyle w:val="Hyperlink"/>
            <w:noProof/>
          </w:rPr>
          <w:t>5.7</w:t>
        </w:r>
        <w:r w:rsidR="00CF1C4D">
          <w:rPr>
            <w:rFonts w:eastAsiaTheme="minorEastAsia" w:cstheme="minorBidi"/>
            <w:b w:val="0"/>
            <w:bCs w:val="0"/>
            <w:noProof/>
            <w:kern w:val="2"/>
            <w:sz w:val="24"/>
            <w:szCs w:val="24"/>
            <w14:ligatures w14:val="standardContextual"/>
          </w:rPr>
          <w:tab/>
        </w:r>
        <w:r w:rsidR="00CF1C4D" w:rsidRPr="00A7532F">
          <w:rPr>
            <w:rStyle w:val="Hyperlink"/>
            <w:noProof/>
          </w:rPr>
          <w:t>References:</w:t>
        </w:r>
        <w:r w:rsidR="00CF1C4D">
          <w:rPr>
            <w:noProof/>
            <w:webHidden/>
          </w:rPr>
          <w:tab/>
        </w:r>
        <w:r w:rsidR="00CF1C4D">
          <w:rPr>
            <w:noProof/>
            <w:webHidden/>
          </w:rPr>
          <w:fldChar w:fldCharType="begin"/>
        </w:r>
        <w:r w:rsidR="00CF1C4D">
          <w:rPr>
            <w:noProof/>
            <w:webHidden/>
          </w:rPr>
          <w:instrText xml:space="preserve"> PAGEREF _Toc176276950 \h </w:instrText>
        </w:r>
        <w:r w:rsidR="00CF1C4D">
          <w:rPr>
            <w:noProof/>
            <w:webHidden/>
          </w:rPr>
        </w:r>
        <w:r w:rsidR="00CF1C4D">
          <w:rPr>
            <w:noProof/>
            <w:webHidden/>
          </w:rPr>
          <w:fldChar w:fldCharType="separate"/>
        </w:r>
        <w:r w:rsidR="00CF1C4D">
          <w:rPr>
            <w:noProof/>
            <w:webHidden/>
          </w:rPr>
          <w:t>88</w:t>
        </w:r>
        <w:r w:rsidR="00CF1C4D">
          <w:rPr>
            <w:noProof/>
            <w:webHidden/>
          </w:rPr>
          <w:fldChar w:fldCharType="end"/>
        </w:r>
      </w:hyperlink>
    </w:p>
    <w:p w14:paraId="45B47D52" w14:textId="0D9C194C" w:rsidR="00CF1C4D" w:rsidRDefault="00955B21">
      <w:pPr>
        <w:pStyle w:val="TOC1"/>
        <w:tabs>
          <w:tab w:val="left" w:pos="660"/>
          <w:tab w:val="right" w:leader="dot" w:pos="9739"/>
        </w:tabs>
        <w:rPr>
          <w:rFonts w:eastAsiaTheme="minorEastAsia" w:cstheme="minorBidi"/>
          <w:b w:val="0"/>
          <w:bCs w:val="0"/>
          <w:i w:val="0"/>
          <w:iCs w:val="0"/>
          <w:noProof/>
          <w:kern w:val="2"/>
          <w14:ligatures w14:val="standardContextual"/>
        </w:rPr>
      </w:pPr>
      <w:hyperlink w:anchor="_Toc176276951" w:history="1">
        <w:r w:rsidR="00CF1C4D" w:rsidRPr="00A7532F">
          <w:rPr>
            <w:rStyle w:val="Hyperlink"/>
            <w:rFonts w:cs="Times New Roman"/>
            <w:noProof/>
          </w:rPr>
          <w:t>6.</w:t>
        </w:r>
        <w:r w:rsidR="00CF1C4D">
          <w:rPr>
            <w:rFonts w:eastAsiaTheme="minorEastAsia" w:cstheme="minorBidi"/>
            <w:b w:val="0"/>
            <w:bCs w:val="0"/>
            <w:i w:val="0"/>
            <w:iCs w:val="0"/>
            <w:noProof/>
            <w:kern w:val="2"/>
            <w14:ligatures w14:val="standardContextual"/>
          </w:rPr>
          <w:tab/>
        </w:r>
        <w:r w:rsidR="00CF1C4D" w:rsidRPr="00A7532F">
          <w:rPr>
            <w:rStyle w:val="Hyperlink"/>
            <w:noProof/>
          </w:rPr>
          <w:t>EFFECTS IN HUMANS</w:t>
        </w:r>
        <w:r w:rsidR="00CF1C4D">
          <w:rPr>
            <w:noProof/>
            <w:webHidden/>
          </w:rPr>
          <w:tab/>
        </w:r>
        <w:r w:rsidR="00CF1C4D">
          <w:rPr>
            <w:noProof/>
            <w:webHidden/>
          </w:rPr>
          <w:fldChar w:fldCharType="begin"/>
        </w:r>
        <w:r w:rsidR="00CF1C4D">
          <w:rPr>
            <w:noProof/>
            <w:webHidden/>
          </w:rPr>
          <w:instrText xml:space="preserve"> PAGEREF _Toc176276951 \h </w:instrText>
        </w:r>
        <w:r w:rsidR="00CF1C4D">
          <w:rPr>
            <w:noProof/>
            <w:webHidden/>
          </w:rPr>
        </w:r>
        <w:r w:rsidR="00CF1C4D">
          <w:rPr>
            <w:noProof/>
            <w:webHidden/>
          </w:rPr>
          <w:fldChar w:fldCharType="separate"/>
        </w:r>
        <w:r w:rsidR="00CF1C4D">
          <w:rPr>
            <w:noProof/>
            <w:webHidden/>
          </w:rPr>
          <w:t>93</w:t>
        </w:r>
        <w:r w:rsidR="00CF1C4D">
          <w:rPr>
            <w:noProof/>
            <w:webHidden/>
          </w:rPr>
          <w:fldChar w:fldCharType="end"/>
        </w:r>
      </w:hyperlink>
    </w:p>
    <w:p w14:paraId="38388D3A" w14:textId="6ACD5210" w:rsidR="00CF1C4D" w:rsidRDefault="00955B21">
      <w:pPr>
        <w:pStyle w:val="TOC2"/>
        <w:tabs>
          <w:tab w:val="left" w:pos="880"/>
          <w:tab w:val="right" w:leader="dot" w:pos="9739"/>
        </w:tabs>
        <w:rPr>
          <w:rFonts w:eastAsiaTheme="minorEastAsia" w:cstheme="minorBidi"/>
          <w:b w:val="0"/>
          <w:bCs w:val="0"/>
          <w:noProof/>
          <w:kern w:val="2"/>
          <w:sz w:val="24"/>
          <w:szCs w:val="24"/>
          <w14:ligatures w14:val="standardContextual"/>
        </w:rPr>
      </w:pPr>
      <w:hyperlink w:anchor="_Toc176276952" w:history="1">
        <w:r w:rsidR="00CF1C4D" w:rsidRPr="00A7532F">
          <w:rPr>
            <w:rStyle w:val="Hyperlink"/>
            <w:noProof/>
          </w:rPr>
          <w:t xml:space="preserve">6.1 </w:t>
        </w:r>
        <w:r w:rsidR="00CF1C4D">
          <w:rPr>
            <w:rFonts w:eastAsiaTheme="minorEastAsia" w:cstheme="minorBidi"/>
            <w:b w:val="0"/>
            <w:bCs w:val="0"/>
            <w:noProof/>
            <w:kern w:val="2"/>
            <w:sz w:val="24"/>
            <w:szCs w:val="24"/>
            <w14:ligatures w14:val="standardContextual"/>
          </w:rPr>
          <w:tab/>
        </w:r>
        <w:r w:rsidR="00CF1C4D" w:rsidRPr="00A7532F">
          <w:rPr>
            <w:rStyle w:val="Hyperlink"/>
            <w:noProof/>
          </w:rPr>
          <w:t xml:space="preserve"> Beneficial effects of pyruvate infusions in patients</w:t>
        </w:r>
        <w:r w:rsidR="00CF1C4D">
          <w:rPr>
            <w:noProof/>
            <w:webHidden/>
          </w:rPr>
          <w:tab/>
        </w:r>
        <w:r w:rsidR="00CF1C4D">
          <w:rPr>
            <w:noProof/>
            <w:webHidden/>
          </w:rPr>
          <w:fldChar w:fldCharType="begin"/>
        </w:r>
        <w:r w:rsidR="00CF1C4D">
          <w:rPr>
            <w:noProof/>
            <w:webHidden/>
          </w:rPr>
          <w:instrText xml:space="preserve"> PAGEREF _Toc176276952 \h </w:instrText>
        </w:r>
        <w:r w:rsidR="00CF1C4D">
          <w:rPr>
            <w:noProof/>
            <w:webHidden/>
          </w:rPr>
        </w:r>
        <w:r w:rsidR="00CF1C4D">
          <w:rPr>
            <w:noProof/>
            <w:webHidden/>
          </w:rPr>
          <w:fldChar w:fldCharType="separate"/>
        </w:r>
        <w:r w:rsidR="00CF1C4D">
          <w:rPr>
            <w:noProof/>
            <w:webHidden/>
          </w:rPr>
          <w:t>93</w:t>
        </w:r>
        <w:r w:rsidR="00CF1C4D">
          <w:rPr>
            <w:noProof/>
            <w:webHidden/>
          </w:rPr>
          <w:fldChar w:fldCharType="end"/>
        </w:r>
      </w:hyperlink>
    </w:p>
    <w:p w14:paraId="6C8ECD20" w14:textId="3C985071" w:rsidR="00CF1C4D" w:rsidRDefault="00955B21">
      <w:pPr>
        <w:pStyle w:val="TOC2"/>
        <w:tabs>
          <w:tab w:val="left" w:pos="880"/>
          <w:tab w:val="right" w:leader="dot" w:pos="9739"/>
        </w:tabs>
        <w:rPr>
          <w:rFonts w:eastAsiaTheme="minorEastAsia" w:cstheme="minorBidi"/>
          <w:b w:val="0"/>
          <w:bCs w:val="0"/>
          <w:noProof/>
          <w:kern w:val="2"/>
          <w:sz w:val="24"/>
          <w:szCs w:val="24"/>
          <w14:ligatures w14:val="standardContextual"/>
        </w:rPr>
      </w:pPr>
      <w:hyperlink w:anchor="_Toc176276953" w:history="1">
        <w:r w:rsidR="00CF1C4D" w:rsidRPr="00A7532F">
          <w:rPr>
            <w:rStyle w:val="Hyperlink"/>
            <w:noProof/>
          </w:rPr>
          <w:t>6.2</w:t>
        </w:r>
        <w:r w:rsidR="00CF1C4D">
          <w:rPr>
            <w:rFonts w:eastAsiaTheme="minorEastAsia" w:cstheme="minorBidi"/>
            <w:b w:val="0"/>
            <w:bCs w:val="0"/>
            <w:noProof/>
            <w:kern w:val="2"/>
            <w:sz w:val="24"/>
            <w:szCs w:val="24"/>
            <w14:ligatures w14:val="standardContextual"/>
          </w:rPr>
          <w:tab/>
        </w:r>
        <w:r w:rsidR="00CF1C4D" w:rsidRPr="00A7532F">
          <w:rPr>
            <w:rStyle w:val="Hyperlink"/>
            <w:noProof/>
          </w:rPr>
          <w:t>Dosage and safety of pyruvate infusions in patients</w:t>
        </w:r>
        <w:r w:rsidR="00CF1C4D">
          <w:rPr>
            <w:noProof/>
            <w:webHidden/>
          </w:rPr>
          <w:tab/>
        </w:r>
        <w:r w:rsidR="00CF1C4D">
          <w:rPr>
            <w:noProof/>
            <w:webHidden/>
          </w:rPr>
          <w:fldChar w:fldCharType="begin"/>
        </w:r>
        <w:r w:rsidR="00CF1C4D">
          <w:rPr>
            <w:noProof/>
            <w:webHidden/>
          </w:rPr>
          <w:instrText xml:space="preserve"> PAGEREF _Toc176276953 \h </w:instrText>
        </w:r>
        <w:r w:rsidR="00CF1C4D">
          <w:rPr>
            <w:noProof/>
            <w:webHidden/>
          </w:rPr>
        </w:r>
        <w:r w:rsidR="00CF1C4D">
          <w:rPr>
            <w:noProof/>
            <w:webHidden/>
          </w:rPr>
          <w:fldChar w:fldCharType="separate"/>
        </w:r>
        <w:r w:rsidR="00CF1C4D">
          <w:rPr>
            <w:noProof/>
            <w:webHidden/>
          </w:rPr>
          <w:t>93</w:t>
        </w:r>
        <w:r w:rsidR="00CF1C4D">
          <w:rPr>
            <w:noProof/>
            <w:webHidden/>
          </w:rPr>
          <w:fldChar w:fldCharType="end"/>
        </w:r>
      </w:hyperlink>
    </w:p>
    <w:p w14:paraId="3D602369" w14:textId="4A750DAA" w:rsidR="00CF1C4D" w:rsidRDefault="00955B21">
      <w:pPr>
        <w:pStyle w:val="TOC2"/>
        <w:tabs>
          <w:tab w:val="left" w:pos="880"/>
          <w:tab w:val="right" w:leader="dot" w:pos="9739"/>
        </w:tabs>
        <w:rPr>
          <w:rFonts w:eastAsiaTheme="minorEastAsia" w:cstheme="minorBidi"/>
          <w:b w:val="0"/>
          <w:bCs w:val="0"/>
          <w:noProof/>
          <w:kern w:val="2"/>
          <w:sz w:val="24"/>
          <w:szCs w:val="24"/>
          <w14:ligatures w14:val="standardContextual"/>
        </w:rPr>
      </w:pPr>
      <w:hyperlink w:anchor="_Toc176276954" w:history="1">
        <w:r w:rsidR="00CF1C4D" w:rsidRPr="00A7532F">
          <w:rPr>
            <w:rStyle w:val="Hyperlink"/>
            <w:noProof/>
          </w:rPr>
          <w:t xml:space="preserve">6.3 </w:t>
        </w:r>
        <w:r w:rsidR="00CF1C4D">
          <w:rPr>
            <w:rFonts w:eastAsiaTheme="minorEastAsia" w:cstheme="minorBidi"/>
            <w:b w:val="0"/>
            <w:bCs w:val="0"/>
            <w:noProof/>
            <w:kern w:val="2"/>
            <w:sz w:val="24"/>
            <w:szCs w:val="24"/>
            <w14:ligatures w14:val="standardContextual"/>
          </w:rPr>
          <w:tab/>
        </w:r>
        <w:r w:rsidR="00CF1C4D" w:rsidRPr="00A7532F">
          <w:rPr>
            <w:rStyle w:val="Hyperlink"/>
            <w:noProof/>
          </w:rPr>
          <w:t>Clinical studies with Pyruvate Injection</w:t>
        </w:r>
        <w:r w:rsidR="00CF1C4D">
          <w:rPr>
            <w:noProof/>
            <w:webHidden/>
          </w:rPr>
          <w:tab/>
        </w:r>
        <w:r w:rsidR="00CF1C4D">
          <w:rPr>
            <w:noProof/>
            <w:webHidden/>
          </w:rPr>
          <w:fldChar w:fldCharType="begin"/>
        </w:r>
        <w:r w:rsidR="00CF1C4D">
          <w:rPr>
            <w:noProof/>
            <w:webHidden/>
          </w:rPr>
          <w:instrText xml:space="preserve"> PAGEREF _Toc176276954 \h </w:instrText>
        </w:r>
        <w:r w:rsidR="00CF1C4D">
          <w:rPr>
            <w:noProof/>
            <w:webHidden/>
          </w:rPr>
        </w:r>
        <w:r w:rsidR="00CF1C4D">
          <w:rPr>
            <w:noProof/>
            <w:webHidden/>
          </w:rPr>
          <w:fldChar w:fldCharType="separate"/>
        </w:r>
        <w:r w:rsidR="00CF1C4D">
          <w:rPr>
            <w:noProof/>
            <w:webHidden/>
          </w:rPr>
          <w:t>95</w:t>
        </w:r>
        <w:r w:rsidR="00CF1C4D">
          <w:rPr>
            <w:noProof/>
            <w:webHidden/>
          </w:rPr>
          <w:fldChar w:fldCharType="end"/>
        </w:r>
      </w:hyperlink>
    </w:p>
    <w:p w14:paraId="2C3B4471" w14:textId="5FF941DF" w:rsidR="00CF1C4D" w:rsidRDefault="00955B21">
      <w:pPr>
        <w:pStyle w:val="TOC3"/>
        <w:rPr>
          <w:rFonts w:eastAsiaTheme="minorEastAsia" w:cstheme="minorBidi"/>
          <w:noProof/>
          <w:kern w:val="2"/>
          <w:sz w:val="24"/>
          <w:szCs w:val="24"/>
          <w14:ligatures w14:val="standardContextual"/>
        </w:rPr>
      </w:pPr>
      <w:hyperlink w:anchor="_Toc176276955" w:history="1">
        <w:r w:rsidR="00CF1C4D" w:rsidRPr="00A7532F">
          <w:rPr>
            <w:rStyle w:val="Hyperlink"/>
            <w:noProof/>
          </w:rPr>
          <w:t>6.3.1</w:t>
        </w:r>
        <w:r w:rsidR="00CF1C4D">
          <w:rPr>
            <w:rFonts w:eastAsiaTheme="minorEastAsia" w:cstheme="minorBidi"/>
            <w:noProof/>
            <w:kern w:val="2"/>
            <w:sz w:val="24"/>
            <w:szCs w:val="24"/>
            <w14:ligatures w14:val="standardContextual"/>
          </w:rPr>
          <w:tab/>
        </w:r>
        <w:r w:rsidR="00CF1C4D" w:rsidRPr="00A7532F">
          <w:rPr>
            <w:rStyle w:val="Hyperlink"/>
            <w:noProof/>
          </w:rPr>
          <w:t>A phase 1, placebo-controlled, randomized, ascending-dose study to assess the safety and tolerability of Pyruvate Injection in healthy male and female</w:t>
        </w:r>
        <w:r w:rsidR="00CF1C4D" w:rsidRPr="00A7532F">
          <w:rPr>
            <w:rStyle w:val="Hyperlink"/>
            <w:noProof/>
            <w:w w:val="99"/>
          </w:rPr>
          <w:t xml:space="preserve"> </w:t>
        </w:r>
        <w:r w:rsidR="00CF1C4D" w:rsidRPr="00A7532F">
          <w:rPr>
            <w:rStyle w:val="Hyperlink"/>
            <w:noProof/>
          </w:rPr>
          <w:t>volunteers (GE-101-001)</w:t>
        </w:r>
        <w:r w:rsidR="00CF1C4D">
          <w:rPr>
            <w:noProof/>
            <w:webHidden/>
          </w:rPr>
          <w:tab/>
        </w:r>
        <w:r w:rsidR="00CF1C4D">
          <w:rPr>
            <w:noProof/>
            <w:webHidden/>
          </w:rPr>
          <w:fldChar w:fldCharType="begin"/>
        </w:r>
        <w:r w:rsidR="00CF1C4D">
          <w:rPr>
            <w:noProof/>
            <w:webHidden/>
          </w:rPr>
          <w:instrText xml:space="preserve"> PAGEREF _Toc176276955 \h </w:instrText>
        </w:r>
        <w:r w:rsidR="00CF1C4D">
          <w:rPr>
            <w:noProof/>
            <w:webHidden/>
          </w:rPr>
        </w:r>
        <w:r w:rsidR="00CF1C4D">
          <w:rPr>
            <w:noProof/>
            <w:webHidden/>
          </w:rPr>
          <w:fldChar w:fldCharType="separate"/>
        </w:r>
        <w:r w:rsidR="00CF1C4D">
          <w:rPr>
            <w:noProof/>
            <w:webHidden/>
          </w:rPr>
          <w:t>95</w:t>
        </w:r>
        <w:r w:rsidR="00CF1C4D">
          <w:rPr>
            <w:noProof/>
            <w:webHidden/>
          </w:rPr>
          <w:fldChar w:fldCharType="end"/>
        </w:r>
      </w:hyperlink>
    </w:p>
    <w:p w14:paraId="78BD7FF5" w14:textId="08B07171" w:rsidR="00CF1C4D" w:rsidRDefault="00955B21">
      <w:pPr>
        <w:pStyle w:val="TOC3"/>
        <w:rPr>
          <w:rFonts w:eastAsiaTheme="minorEastAsia" w:cstheme="minorBidi"/>
          <w:noProof/>
          <w:kern w:val="2"/>
          <w:sz w:val="24"/>
          <w:szCs w:val="24"/>
          <w14:ligatures w14:val="standardContextual"/>
        </w:rPr>
      </w:pPr>
      <w:hyperlink w:anchor="_Toc176276956" w:history="1">
        <w:r w:rsidR="00CF1C4D" w:rsidRPr="00A7532F">
          <w:rPr>
            <w:rStyle w:val="Hyperlink"/>
            <w:noProof/>
          </w:rPr>
          <w:t>6.3.2</w:t>
        </w:r>
        <w:r w:rsidR="00CF1C4D">
          <w:rPr>
            <w:rFonts w:eastAsiaTheme="minorEastAsia" w:cstheme="minorBidi"/>
            <w:noProof/>
            <w:kern w:val="2"/>
            <w:sz w:val="24"/>
            <w:szCs w:val="24"/>
            <w14:ligatures w14:val="standardContextual"/>
          </w:rPr>
          <w:tab/>
        </w:r>
        <w:r w:rsidR="00CF1C4D" w:rsidRPr="00A7532F">
          <w:rPr>
            <w:rStyle w:val="Hyperlink"/>
            <w:noProof/>
          </w:rPr>
          <w:t>A phase 1, placebo-controlled, randomized, ascending-dose study to assess the safety and tolerability of Pyruvate Injection in elderly male and female volunteers (GE-101-003)</w:t>
        </w:r>
        <w:r w:rsidR="00CF1C4D">
          <w:rPr>
            <w:noProof/>
            <w:webHidden/>
          </w:rPr>
          <w:tab/>
        </w:r>
        <w:r w:rsidR="00CF1C4D">
          <w:rPr>
            <w:noProof/>
            <w:webHidden/>
          </w:rPr>
          <w:fldChar w:fldCharType="begin"/>
        </w:r>
        <w:r w:rsidR="00CF1C4D">
          <w:rPr>
            <w:noProof/>
            <w:webHidden/>
          </w:rPr>
          <w:instrText xml:space="preserve"> PAGEREF _Toc176276956 \h </w:instrText>
        </w:r>
        <w:r w:rsidR="00CF1C4D">
          <w:rPr>
            <w:noProof/>
            <w:webHidden/>
          </w:rPr>
        </w:r>
        <w:r w:rsidR="00CF1C4D">
          <w:rPr>
            <w:noProof/>
            <w:webHidden/>
          </w:rPr>
          <w:fldChar w:fldCharType="separate"/>
        </w:r>
        <w:r w:rsidR="00CF1C4D">
          <w:rPr>
            <w:noProof/>
            <w:webHidden/>
          </w:rPr>
          <w:t>103</w:t>
        </w:r>
        <w:r w:rsidR="00CF1C4D">
          <w:rPr>
            <w:noProof/>
            <w:webHidden/>
          </w:rPr>
          <w:fldChar w:fldCharType="end"/>
        </w:r>
      </w:hyperlink>
    </w:p>
    <w:p w14:paraId="18E2E333" w14:textId="5E11F2CF" w:rsidR="00CF1C4D" w:rsidRDefault="00955B21">
      <w:pPr>
        <w:pStyle w:val="TOC3"/>
        <w:rPr>
          <w:rFonts w:eastAsiaTheme="minorEastAsia" w:cstheme="minorBidi"/>
          <w:noProof/>
          <w:kern w:val="2"/>
          <w:sz w:val="24"/>
          <w:szCs w:val="24"/>
          <w14:ligatures w14:val="standardContextual"/>
        </w:rPr>
      </w:pPr>
      <w:hyperlink w:anchor="_Toc176276957" w:history="1">
        <w:r w:rsidR="00CF1C4D" w:rsidRPr="00A7532F">
          <w:rPr>
            <w:rStyle w:val="Hyperlink"/>
            <w:rFonts w:cs="AdvTTaf7f9f4f.B"/>
            <w:noProof/>
          </w:rPr>
          <w:t xml:space="preserve">6.3.3 </w:t>
        </w:r>
        <w:r w:rsidR="00CF1C4D">
          <w:rPr>
            <w:rFonts w:eastAsiaTheme="minorEastAsia" w:cstheme="minorBidi"/>
            <w:noProof/>
            <w:kern w:val="2"/>
            <w:sz w:val="24"/>
            <w:szCs w:val="24"/>
            <w14:ligatures w14:val="standardContextual"/>
          </w:rPr>
          <w:tab/>
        </w:r>
        <w:r w:rsidR="00CF1C4D" w:rsidRPr="00A7532F">
          <w:rPr>
            <w:rStyle w:val="Hyperlink"/>
            <w:rFonts w:cs="AdvTTaf7f9f4f.B"/>
            <w:noProof/>
          </w:rPr>
          <w:t xml:space="preserve">A Phase 1/2, </w:t>
        </w:r>
        <w:r w:rsidR="00CF1C4D" w:rsidRPr="00A7532F">
          <w:rPr>
            <w:rStyle w:val="Hyperlink"/>
            <w:noProof/>
          </w:rPr>
          <w:t>Metabolic Imaging of patients with prostate cancer using hyperpolarized [1-13C]pyruvate (NCT01229618)</w:t>
        </w:r>
        <w:r w:rsidR="00CF1C4D">
          <w:rPr>
            <w:noProof/>
            <w:webHidden/>
          </w:rPr>
          <w:tab/>
        </w:r>
        <w:r w:rsidR="00CF1C4D">
          <w:rPr>
            <w:noProof/>
            <w:webHidden/>
          </w:rPr>
          <w:fldChar w:fldCharType="begin"/>
        </w:r>
        <w:r w:rsidR="00CF1C4D">
          <w:rPr>
            <w:noProof/>
            <w:webHidden/>
          </w:rPr>
          <w:instrText xml:space="preserve"> PAGEREF _Toc176276957 \h </w:instrText>
        </w:r>
        <w:r w:rsidR="00CF1C4D">
          <w:rPr>
            <w:noProof/>
            <w:webHidden/>
          </w:rPr>
        </w:r>
        <w:r w:rsidR="00CF1C4D">
          <w:rPr>
            <w:noProof/>
            <w:webHidden/>
          </w:rPr>
          <w:fldChar w:fldCharType="separate"/>
        </w:r>
        <w:r w:rsidR="00CF1C4D">
          <w:rPr>
            <w:noProof/>
            <w:webHidden/>
          </w:rPr>
          <w:t>108</w:t>
        </w:r>
        <w:r w:rsidR="00CF1C4D">
          <w:rPr>
            <w:noProof/>
            <w:webHidden/>
          </w:rPr>
          <w:fldChar w:fldCharType="end"/>
        </w:r>
      </w:hyperlink>
    </w:p>
    <w:p w14:paraId="5332E57B" w14:textId="4B96EBE1" w:rsidR="00CF1C4D" w:rsidRDefault="00955B21">
      <w:pPr>
        <w:pStyle w:val="TOC2"/>
        <w:tabs>
          <w:tab w:val="left" w:pos="880"/>
          <w:tab w:val="right" w:leader="dot" w:pos="9739"/>
        </w:tabs>
        <w:rPr>
          <w:rFonts w:eastAsiaTheme="minorEastAsia" w:cstheme="minorBidi"/>
          <w:b w:val="0"/>
          <w:bCs w:val="0"/>
          <w:noProof/>
          <w:kern w:val="2"/>
          <w:sz w:val="24"/>
          <w:szCs w:val="24"/>
          <w14:ligatures w14:val="standardContextual"/>
        </w:rPr>
      </w:pPr>
      <w:hyperlink w:anchor="_Toc176276958" w:history="1">
        <w:r w:rsidR="00CF1C4D" w:rsidRPr="00A7532F">
          <w:rPr>
            <w:rStyle w:val="Hyperlink"/>
            <w:noProof/>
          </w:rPr>
          <w:t xml:space="preserve">6.4 </w:t>
        </w:r>
        <w:r w:rsidR="00CF1C4D">
          <w:rPr>
            <w:rFonts w:eastAsiaTheme="minorEastAsia" w:cstheme="minorBidi"/>
            <w:b w:val="0"/>
            <w:bCs w:val="0"/>
            <w:noProof/>
            <w:kern w:val="2"/>
            <w:sz w:val="24"/>
            <w:szCs w:val="24"/>
            <w14:ligatures w14:val="standardContextual"/>
          </w:rPr>
          <w:tab/>
        </w:r>
        <w:r w:rsidR="00CF1C4D" w:rsidRPr="00A7532F">
          <w:rPr>
            <w:rStyle w:val="Hyperlink"/>
            <w:noProof/>
          </w:rPr>
          <w:t>Literature reported studies</w:t>
        </w:r>
        <w:r w:rsidR="00CF1C4D">
          <w:rPr>
            <w:noProof/>
            <w:webHidden/>
          </w:rPr>
          <w:tab/>
        </w:r>
        <w:r w:rsidR="00CF1C4D">
          <w:rPr>
            <w:noProof/>
            <w:webHidden/>
          </w:rPr>
          <w:fldChar w:fldCharType="begin"/>
        </w:r>
        <w:r w:rsidR="00CF1C4D">
          <w:rPr>
            <w:noProof/>
            <w:webHidden/>
          </w:rPr>
          <w:instrText xml:space="preserve"> PAGEREF _Toc176276958 \h </w:instrText>
        </w:r>
        <w:r w:rsidR="00CF1C4D">
          <w:rPr>
            <w:noProof/>
            <w:webHidden/>
          </w:rPr>
        </w:r>
        <w:r w:rsidR="00CF1C4D">
          <w:rPr>
            <w:noProof/>
            <w:webHidden/>
          </w:rPr>
          <w:fldChar w:fldCharType="separate"/>
        </w:r>
        <w:r w:rsidR="00CF1C4D">
          <w:rPr>
            <w:noProof/>
            <w:webHidden/>
          </w:rPr>
          <w:t>116</w:t>
        </w:r>
        <w:r w:rsidR="00CF1C4D">
          <w:rPr>
            <w:noProof/>
            <w:webHidden/>
          </w:rPr>
          <w:fldChar w:fldCharType="end"/>
        </w:r>
      </w:hyperlink>
    </w:p>
    <w:p w14:paraId="629A843C" w14:textId="01A6C452" w:rsidR="00CF1C4D" w:rsidRDefault="00955B21">
      <w:pPr>
        <w:pStyle w:val="TOC3"/>
        <w:rPr>
          <w:rFonts w:eastAsiaTheme="minorEastAsia" w:cstheme="minorBidi"/>
          <w:noProof/>
          <w:kern w:val="2"/>
          <w:sz w:val="24"/>
          <w:szCs w:val="24"/>
          <w14:ligatures w14:val="standardContextual"/>
        </w:rPr>
      </w:pPr>
      <w:hyperlink w:anchor="_Toc176276959" w:history="1">
        <w:r w:rsidR="00CF1C4D" w:rsidRPr="00A7532F">
          <w:rPr>
            <w:rStyle w:val="Hyperlink"/>
            <w:rFonts w:cs="AdvTTaf7f9f4f.B"/>
            <w:noProof/>
          </w:rPr>
          <w:t xml:space="preserve">6.4.1 </w:t>
        </w:r>
        <w:r w:rsidR="00CF1C4D">
          <w:rPr>
            <w:rFonts w:eastAsiaTheme="minorEastAsia" w:cstheme="minorBidi"/>
            <w:noProof/>
            <w:kern w:val="2"/>
            <w:sz w:val="24"/>
            <w:szCs w:val="24"/>
            <w14:ligatures w14:val="standardContextual"/>
          </w:rPr>
          <w:tab/>
        </w:r>
        <w:r w:rsidR="00CF1C4D" w:rsidRPr="00A7532F">
          <w:rPr>
            <w:rStyle w:val="Hyperlink"/>
            <w:noProof/>
          </w:rPr>
          <w:t>Hyperpolarized 13C Metabolic MRI of the Human Heart: Initial Experience (NCT02648009)</w:t>
        </w:r>
        <w:r w:rsidR="00CF1C4D">
          <w:rPr>
            <w:noProof/>
            <w:webHidden/>
          </w:rPr>
          <w:tab/>
        </w:r>
        <w:r w:rsidR="00CF1C4D">
          <w:rPr>
            <w:noProof/>
            <w:webHidden/>
          </w:rPr>
          <w:fldChar w:fldCharType="begin"/>
        </w:r>
        <w:r w:rsidR="00CF1C4D">
          <w:rPr>
            <w:noProof/>
            <w:webHidden/>
          </w:rPr>
          <w:instrText xml:space="preserve"> PAGEREF _Toc176276959 \h </w:instrText>
        </w:r>
        <w:r w:rsidR="00CF1C4D">
          <w:rPr>
            <w:noProof/>
            <w:webHidden/>
          </w:rPr>
        </w:r>
        <w:r w:rsidR="00CF1C4D">
          <w:rPr>
            <w:noProof/>
            <w:webHidden/>
          </w:rPr>
          <w:fldChar w:fldCharType="separate"/>
        </w:r>
        <w:r w:rsidR="00CF1C4D">
          <w:rPr>
            <w:noProof/>
            <w:webHidden/>
          </w:rPr>
          <w:t>116</w:t>
        </w:r>
        <w:r w:rsidR="00CF1C4D">
          <w:rPr>
            <w:noProof/>
            <w:webHidden/>
          </w:rPr>
          <w:fldChar w:fldCharType="end"/>
        </w:r>
      </w:hyperlink>
    </w:p>
    <w:p w14:paraId="5CCFE8DB" w14:textId="63821B57" w:rsidR="00CF1C4D" w:rsidRDefault="00955B21">
      <w:pPr>
        <w:pStyle w:val="TOC3"/>
        <w:rPr>
          <w:rFonts w:eastAsiaTheme="minorEastAsia" w:cstheme="minorBidi"/>
          <w:noProof/>
          <w:kern w:val="2"/>
          <w:sz w:val="24"/>
          <w:szCs w:val="24"/>
          <w14:ligatures w14:val="standardContextual"/>
        </w:rPr>
      </w:pPr>
      <w:hyperlink w:anchor="_Toc176276960" w:history="1">
        <w:r w:rsidR="00CF1C4D" w:rsidRPr="00A7532F">
          <w:rPr>
            <w:rStyle w:val="Hyperlink"/>
            <w:rFonts w:cs="AdvTTaf7f9f4f.B"/>
            <w:noProof/>
          </w:rPr>
          <w:t>6.4.2</w:t>
        </w:r>
        <w:r w:rsidR="00CF1C4D">
          <w:rPr>
            <w:rFonts w:eastAsiaTheme="minorEastAsia" w:cstheme="minorBidi"/>
            <w:noProof/>
            <w:kern w:val="2"/>
            <w:sz w:val="24"/>
            <w:szCs w:val="24"/>
            <w14:ligatures w14:val="standardContextual"/>
          </w:rPr>
          <w:tab/>
        </w:r>
        <w:r w:rsidR="00CF1C4D" w:rsidRPr="00A7532F">
          <w:rPr>
            <w:rStyle w:val="Hyperlink"/>
            <w:rFonts w:cs="AdvTTaf7f9f4f.B"/>
            <w:noProof/>
          </w:rPr>
          <w:t>Hyperpolarized 1-[13C]-Pyruvate Magnetic Resonance Imaging Detects an Early Metabolic Response to Androgen Ablation Therapy in Prostate Cancer</w:t>
        </w:r>
        <w:r w:rsidR="00CF1C4D">
          <w:rPr>
            <w:noProof/>
            <w:webHidden/>
          </w:rPr>
          <w:tab/>
        </w:r>
        <w:r w:rsidR="00CF1C4D">
          <w:rPr>
            <w:noProof/>
            <w:webHidden/>
          </w:rPr>
          <w:fldChar w:fldCharType="begin"/>
        </w:r>
        <w:r w:rsidR="00CF1C4D">
          <w:rPr>
            <w:noProof/>
            <w:webHidden/>
          </w:rPr>
          <w:instrText xml:space="preserve"> PAGEREF _Toc176276960 \h </w:instrText>
        </w:r>
        <w:r w:rsidR="00CF1C4D">
          <w:rPr>
            <w:noProof/>
            <w:webHidden/>
          </w:rPr>
        </w:r>
        <w:r w:rsidR="00CF1C4D">
          <w:rPr>
            <w:noProof/>
            <w:webHidden/>
          </w:rPr>
          <w:fldChar w:fldCharType="separate"/>
        </w:r>
        <w:r w:rsidR="00CF1C4D">
          <w:rPr>
            <w:noProof/>
            <w:webHidden/>
          </w:rPr>
          <w:t>116</w:t>
        </w:r>
        <w:r w:rsidR="00CF1C4D">
          <w:rPr>
            <w:noProof/>
            <w:webHidden/>
          </w:rPr>
          <w:fldChar w:fldCharType="end"/>
        </w:r>
      </w:hyperlink>
    </w:p>
    <w:p w14:paraId="2F250B73" w14:textId="05404589" w:rsidR="00CF1C4D" w:rsidRDefault="00955B21">
      <w:pPr>
        <w:pStyle w:val="TOC3"/>
        <w:rPr>
          <w:rFonts w:eastAsiaTheme="minorEastAsia" w:cstheme="minorBidi"/>
          <w:noProof/>
          <w:kern w:val="2"/>
          <w:sz w:val="24"/>
          <w:szCs w:val="24"/>
          <w14:ligatures w14:val="standardContextual"/>
        </w:rPr>
      </w:pPr>
      <w:hyperlink w:anchor="_Toc176276961" w:history="1">
        <w:r w:rsidR="00CF1C4D" w:rsidRPr="00A7532F">
          <w:rPr>
            <w:rStyle w:val="Hyperlink"/>
            <w:noProof/>
          </w:rPr>
          <w:t>6.4.3</w:t>
        </w:r>
        <w:r w:rsidR="00CF1C4D">
          <w:rPr>
            <w:rFonts w:eastAsiaTheme="minorEastAsia" w:cstheme="minorBidi"/>
            <w:noProof/>
            <w:kern w:val="2"/>
            <w:sz w:val="24"/>
            <w:szCs w:val="24"/>
            <w14:ligatures w14:val="standardContextual"/>
          </w:rPr>
          <w:tab/>
        </w:r>
        <w:r w:rsidR="00CF1C4D" w:rsidRPr="00A7532F">
          <w:rPr>
            <w:rStyle w:val="Hyperlink"/>
            <w:noProof/>
          </w:rPr>
          <w:t>Quantifying normal human brain metabolism using hyperpolarized [1–13C] pyruvate and magnetic resonance imaging</w:t>
        </w:r>
        <w:r w:rsidR="00CF1C4D">
          <w:rPr>
            <w:noProof/>
            <w:webHidden/>
          </w:rPr>
          <w:tab/>
        </w:r>
        <w:r w:rsidR="00CF1C4D">
          <w:rPr>
            <w:noProof/>
            <w:webHidden/>
          </w:rPr>
          <w:fldChar w:fldCharType="begin"/>
        </w:r>
        <w:r w:rsidR="00CF1C4D">
          <w:rPr>
            <w:noProof/>
            <w:webHidden/>
          </w:rPr>
          <w:instrText xml:space="preserve"> PAGEREF _Toc176276961 \h </w:instrText>
        </w:r>
        <w:r w:rsidR="00CF1C4D">
          <w:rPr>
            <w:noProof/>
            <w:webHidden/>
          </w:rPr>
        </w:r>
        <w:r w:rsidR="00CF1C4D">
          <w:rPr>
            <w:noProof/>
            <w:webHidden/>
          </w:rPr>
          <w:fldChar w:fldCharType="separate"/>
        </w:r>
        <w:r w:rsidR="00CF1C4D">
          <w:rPr>
            <w:noProof/>
            <w:webHidden/>
          </w:rPr>
          <w:t>116</w:t>
        </w:r>
        <w:r w:rsidR="00CF1C4D">
          <w:rPr>
            <w:noProof/>
            <w:webHidden/>
          </w:rPr>
          <w:fldChar w:fldCharType="end"/>
        </w:r>
      </w:hyperlink>
    </w:p>
    <w:p w14:paraId="3B351837" w14:textId="10F87FFE" w:rsidR="00CF1C4D" w:rsidRDefault="00955B21">
      <w:pPr>
        <w:pStyle w:val="TOC3"/>
        <w:rPr>
          <w:rFonts w:eastAsiaTheme="minorEastAsia" w:cstheme="minorBidi"/>
          <w:noProof/>
          <w:kern w:val="2"/>
          <w:sz w:val="24"/>
          <w:szCs w:val="24"/>
          <w14:ligatures w14:val="standardContextual"/>
        </w:rPr>
      </w:pPr>
      <w:hyperlink w:anchor="_Toc176276962" w:history="1">
        <w:r w:rsidR="00CF1C4D" w:rsidRPr="00A7532F">
          <w:rPr>
            <w:rStyle w:val="Hyperlink"/>
            <w:noProof/>
          </w:rPr>
          <w:t>6.5.4</w:t>
        </w:r>
        <w:r w:rsidR="00CF1C4D">
          <w:rPr>
            <w:rFonts w:eastAsiaTheme="minorEastAsia" w:cstheme="minorBidi"/>
            <w:noProof/>
            <w:kern w:val="2"/>
            <w:sz w:val="24"/>
            <w:szCs w:val="24"/>
            <w14:ligatures w14:val="standardContextual"/>
          </w:rPr>
          <w:tab/>
        </w:r>
        <w:r w:rsidR="00CF1C4D" w:rsidRPr="00A7532F">
          <w:rPr>
            <w:rStyle w:val="Hyperlink"/>
            <w:noProof/>
          </w:rPr>
          <w:t xml:space="preserve">Non-Invasive </w:t>
        </w:r>
        <w:r w:rsidR="00CF1C4D" w:rsidRPr="00A7532F">
          <w:rPr>
            <w:rStyle w:val="Hyperlink"/>
            <w:i/>
            <w:iCs/>
            <w:noProof/>
          </w:rPr>
          <w:t>In Vivo</w:t>
        </w:r>
        <w:r w:rsidR="00CF1C4D" w:rsidRPr="00A7532F">
          <w:rPr>
            <w:rStyle w:val="Hyperlink"/>
            <w:noProof/>
          </w:rPr>
          <w:t xml:space="preserve"> Assessment of Cardiac Metabolism in the Healthy and Diabetic Human Heart Using Hyperpolarized 13C MRI</w:t>
        </w:r>
        <w:r w:rsidR="00CF1C4D">
          <w:rPr>
            <w:noProof/>
            <w:webHidden/>
          </w:rPr>
          <w:tab/>
        </w:r>
        <w:r w:rsidR="00CF1C4D">
          <w:rPr>
            <w:noProof/>
            <w:webHidden/>
          </w:rPr>
          <w:fldChar w:fldCharType="begin"/>
        </w:r>
        <w:r w:rsidR="00CF1C4D">
          <w:rPr>
            <w:noProof/>
            <w:webHidden/>
          </w:rPr>
          <w:instrText xml:space="preserve"> PAGEREF _Toc176276962 \h </w:instrText>
        </w:r>
        <w:r w:rsidR="00CF1C4D">
          <w:rPr>
            <w:noProof/>
            <w:webHidden/>
          </w:rPr>
        </w:r>
        <w:r w:rsidR="00CF1C4D">
          <w:rPr>
            <w:noProof/>
            <w:webHidden/>
          </w:rPr>
          <w:fldChar w:fldCharType="separate"/>
        </w:r>
        <w:r w:rsidR="00CF1C4D">
          <w:rPr>
            <w:noProof/>
            <w:webHidden/>
          </w:rPr>
          <w:t>117</w:t>
        </w:r>
        <w:r w:rsidR="00CF1C4D">
          <w:rPr>
            <w:noProof/>
            <w:webHidden/>
          </w:rPr>
          <w:fldChar w:fldCharType="end"/>
        </w:r>
      </w:hyperlink>
    </w:p>
    <w:p w14:paraId="7EEEBCDC" w14:textId="438A33C2" w:rsidR="00CF1C4D" w:rsidRDefault="00955B21">
      <w:pPr>
        <w:pStyle w:val="TOC3"/>
        <w:rPr>
          <w:rFonts w:eastAsiaTheme="minorEastAsia" w:cstheme="minorBidi"/>
          <w:noProof/>
          <w:kern w:val="2"/>
          <w:sz w:val="24"/>
          <w:szCs w:val="24"/>
          <w14:ligatures w14:val="standardContextual"/>
        </w:rPr>
      </w:pPr>
      <w:hyperlink w:anchor="_Toc176276963" w:history="1">
        <w:r w:rsidR="00CF1C4D" w:rsidRPr="00A7532F">
          <w:rPr>
            <w:rStyle w:val="Hyperlink"/>
            <w:noProof/>
          </w:rPr>
          <w:t>6.4.5</w:t>
        </w:r>
        <w:r w:rsidR="00CF1C4D">
          <w:rPr>
            <w:rFonts w:eastAsiaTheme="minorEastAsia" w:cstheme="minorBidi"/>
            <w:noProof/>
            <w:kern w:val="2"/>
            <w:sz w:val="24"/>
            <w:szCs w:val="24"/>
            <w14:ligatures w14:val="standardContextual"/>
          </w:rPr>
          <w:tab/>
        </w:r>
        <w:r w:rsidR="00CF1C4D" w:rsidRPr="00A7532F">
          <w:rPr>
            <w:rStyle w:val="Hyperlink"/>
            <w:noProof/>
          </w:rPr>
          <w:t xml:space="preserve">First-in-human </w:t>
        </w:r>
        <w:r w:rsidR="00CF1C4D" w:rsidRPr="00A7532F">
          <w:rPr>
            <w:rStyle w:val="Hyperlink"/>
            <w:i/>
            <w:iCs/>
            <w:noProof/>
          </w:rPr>
          <w:t>in vivo</w:t>
        </w:r>
        <w:r w:rsidR="00CF1C4D" w:rsidRPr="00A7532F">
          <w:rPr>
            <w:rStyle w:val="Hyperlink"/>
            <w:noProof/>
          </w:rPr>
          <w:t xml:space="preserve"> non-invasive assessment of intertumoral metabolic heterogeneity in renal cell carcinoma</w:t>
        </w:r>
        <w:r w:rsidR="00CF1C4D">
          <w:rPr>
            <w:noProof/>
            <w:webHidden/>
          </w:rPr>
          <w:tab/>
        </w:r>
        <w:r w:rsidR="00CF1C4D">
          <w:rPr>
            <w:noProof/>
            <w:webHidden/>
          </w:rPr>
          <w:fldChar w:fldCharType="begin"/>
        </w:r>
        <w:r w:rsidR="00CF1C4D">
          <w:rPr>
            <w:noProof/>
            <w:webHidden/>
          </w:rPr>
          <w:instrText xml:space="preserve"> PAGEREF _Toc176276963 \h </w:instrText>
        </w:r>
        <w:r w:rsidR="00CF1C4D">
          <w:rPr>
            <w:noProof/>
            <w:webHidden/>
          </w:rPr>
        </w:r>
        <w:r w:rsidR="00CF1C4D">
          <w:rPr>
            <w:noProof/>
            <w:webHidden/>
          </w:rPr>
          <w:fldChar w:fldCharType="separate"/>
        </w:r>
        <w:r w:rsidR="00CF1C4D">
          <w:rPr>
            <w:noProof/>
            <w:webHidden/>
          </w:rPr>
          <w:t>117</w:t>
        </w:r>
        <w:r w:rsidR="00CF1C4D">
          <w:rPr>
            <w:noProof/>
            <w:webHidden/>
          </w:rPr>
          <w:fldChar w:fldCharType="end"/>
        </w:r>
      </w:hyperlink>
    </w:p>
    <w:p w14:paraId="27D03DAF" w14:textId="39F4DA0B" w:rsidR="00CF1C4D" w:rsidRDefault="00955B21">
      <w:pPr>
        <w:pStyle w:val="TOC3"/>
        <w:rPr>
          <w:rFonts w:eastAsiaTheme="minorEastAsia" w:cstheme="minorBidi"/>
          <w:noProof/>
          <w:kern w:val="2"/>
          <w:sz w:val="24"/>
          <w:szCs w:val="24"/>
          <w14:ligatures w14:val="standardContextual"/>
        </w:rPr>
      </w:pPr>
      <w:hyperlink w:anchor="_Toc176276964" w:history="1">
        <w:r w:rsidR="00CF1C4D" w:rsidRPr="00A7532F">
          <w:rPr>
            <w:rStyle w:val="Hyperlink"/>
            <w:noProof/>
          </w:rPr>
          <w:t>6.4.6</w:t>
        </w:r>
        <w:r w:rsidR="00CF1C4D">
          <w:rPr>
            <w:rFonts w:eastAsiaTheme="minorEastAsia" w:cstheme="minorBidi"/>
            <w:noProof/>
            <w:kern w:val="2"/>
            <w:sz w:val="24"/>
            <w:szCs w:val="24"/>
            <w14:ligatures w14:val="standardContextual"/>
          </w:rPr>
          <w:tab/>
        </w:r>
        <w:r w:rsidR="00CF1C4D" w:rsidRPr="00A7532F">
          <w:rPr>
            <w:rStyle w:val="Hyperlink"/>
            <w:noProof/>
          </w:rPr>
          <w:t>Hyperpolarized 13C MRI: a new horizon for noninvasive diagnosis of aggressive breast cancer.</w:t>
        </w:r>
        <w:r w:rsidR="00CF1C4D">
          <w:rPr>
            <w:noProof/>
            <w:webHidden/>
          </w:rPr>
          <w:tab/>
        </w:r>
        <w:r w:rsidR="00CF1C4D">
          <w:rPr>
            <w:noProof/>
            <w:webHidden/>
          </w:rPr>
          <w:fldChar w:fldCharType="begin"/>
        </w:r>
        <w:r w:rsidR="00CF1C4D">
          <w:rPr>
            <w:noProof/>
            <w:webHidden/>
          </w:rPr>
          <w:instrText xml:space="preserve"> PAGEREF _Toc176276964 \h </w:instrText>
        </w:r>
        <w:r w:rsidR="00CF1C4D">
          <w:rPr>
            <w:noProof/>
            <w:webHidden/>
          </w:rPr>
        </w:r>
        <w:r w:rsidR="00CF1C4D">
          <w:rPr>
            <w:noProof/>
            <w:webHidden/>
          </w:rPr>
          <w:fldChar w:fldCharType="separate"/>
        </w:r>
        <w:r w:rsidR="00CF1C4D">
          <w:rPr>
            <w:noProof/>
            <w:webHidden/>
          </w:rPr>
          <w:t>117</w:t>
        </w:r>
        <w:r w:rsidR="00CF1C4D">
          <w:rPr>
            <w:noProof/>
            <w:webHidden/>
          </w:rPr>
          <w:fldChar w:fldCharType="end"/>
        </w:r>
      </w:hyperlink>
    </w:p>
    <w:p w14:paraId="7ADB1C7E" w14:textId="3E336ABE" w:rsidR="00CF1C4D" w:rsidRDefault="00955B21">
      <w:pPr>
        <w:pStyle w:val="TOC3"/>
        <w:rPr>
          <w:rFonts w:eastAsiaTheme="minorEastAsia" w:cstheme="minorBidi"/>
          <w:noProof/>
          <w:kern w:val="2"/>
          <w:sz w:val="24"/>
          <w:szCs w:val="24"/>
          <w14:ligatures w14:val="standardContextual"/>
        </w:rPr>
      </w:pPr>
      <w:hyperlink w:anchor="_Toc176276965" w:history="1">
        <w:r w:rsidR="00CF1C4D" w:rsidRPr="00A7532F">
          <w:rPr>
            <w:rStyle w:val="Hyperlink"/>
            <w:noProof/>
          </w:rPr>
          <w:t>6.4.7</w:t>
        </w:r>
        <w:r w:rsidR="00CF1C4D">
          <w:rPr>
            <w:rFonts w:eastAsiaTheme="minorEastAsia" w:cstheme="minorBidi"/>
            <w:noProof/>
            <w:kern w:val="2"/>
            <w:sz w:val="24"/>
            <w:szCs w:val="24"/>
            <w14:ligatures w14:val="standardContextual"/>
          </w:rPr>
          <w:tab/>
        </w:r>
        <w:r w:rsidR="00CF1C4D" w:rsidRPr="00A7532F">
          <w:rPr>
            <w:rStyle w:val="Hyperlink"/>
            <w:noProof/>
          </w:rPr>
          <w:t>Hyperpolarized MRI of Human Prostate Cancer Reveals Increased Lactate with Tumor Grade Driven by Monocarboxylate Transporter 1</w:t>
        </w:r>
        <w:r w:rsidR="00CF1C4D">
          <w:rPr>
            <w:noProof/>
            <w:webHidden/>
          </w:rPr>
          <w:tab/>
        </w:r>
        <w:r w:rsidR="00CF1C4D">
          <w:rPr>
            <w:noProof/>
            <w:webHidden/>
          </w:rPr>
          <w:fldChar w:fldCharType="begin"/>
        </w:r>
        <w:r w:rsidR="00CF1C4D">
          <w:rPr>
            <w:noProof/>
            <w:webHidden/>
          </w:rPr>
          <w:instrText xml:space="preserve"> PAGEREF _Toc176276965 \h </w:instrText>
        </w:r>
        <w:r w:rsidR="00CF1C4D">
          <w:rPr>
            <w:noProof/>
            <w:webHidden/>
          </w:rPr>
        </w:r>
        <w:r w:rsidR="00CF1C4D">
          <w:rPr>
            <w:noProof/>
            <w:webHidden/>
          </w:rPr>
          <w:fldChar w:fldCharType="separate"/>
        </w:r>
        <w:r w:rsidR="00CF1C4D">
          <w:rPr>
            <w:noProof/>
            <w:webHidden/>
          </w:rPr>
          <w:t>118</w:t>
        </w:r>
        <w:r w:rsidR="00CF1C4D">
          <w:rPr>
            <w:noProof/>
            <w:webHidden/>
          </w:rPr>
          <w:fldChar w:fldCharType="end"/>
        </w:r>
      </w:hyperlink>
    </w:p>
    <w:p w14:paraId="42E0F746" w14:textId="668B6A68" w:rsidR="00CF1C4D" w:rsidRDefault="00955B21">
      <w:pPr>
        <w:pStyle w:val="TOC2"/>
        <w:tabs>
          <w:tab w:val="left" w:pos="880"/>
          <w:tab w:val="right" w:leader="dot" w:pos="9739"/>
        </w:tabs>
        <w:rPr>
          <w:rFonts w:eastAsiaTheme="minorEastAsia" w:cstheme="minorBidi"/>
          <w:b w:val="0"/>
          <w:bCs w:val="0"/>
          <w:noProof/>
          <w:kern w:val="2"/>
          <w:sz w:val="24"/>
          <w:szCs w:val="24"/>
          <w14:ligatures w14:val="standardContextual"/>
        </w:rPr>
      </w:pPr>
      <w:hyperlink w:anchor="_Toc176276966" w:history="1">
        <w:r w:rsidR="00CF1C4D" w:rsidRPr="00A7532F">
          <w:rPr>
            <w:rStyle w:val="Hyperlink"/>
            <w:noProof/>
          </w:rPr>
          <w:t>6.5</w:t>
        </w:r>
        <w:r w:rsidR="00CF1C4D">
          <w:rPr>
            <w:rFonts w:eastAsiaTheme="minorEastAsia" w:cstheme="minorBidi"/>
            <w:b w:val="0"/>
            <w:bCs w:val="0"/>
            <w:noProof/>
            <w:kern w:val="2"/>
            <w:sz w:val="24"/>
            <w:szCs w:val="24"/>
            <w14:ligatures w14:val="standardContextual"/>
          </w:rPr>
          <w:tab/>
        </w:r>
        <w:r w:rsidR="00CF1C4D" w:rsidRPr="00A7532F">
          <w:rPr>
            <w:rStyle w:val="Hyperlink"/>
            <w:noProof/>
          </w:rPr>
          <w:t>References:</w:t>
        </w:r>
        <w:r w:rsidR="00CF1C4D">
          <w:rPr>
            <w:noProof/>
            <w:webHidden/>
          </w:rPr>
          <w:tab/>
        </w:r>
        <w:r w:rsidR="00CF1C4D">
          <w:rPr>
            <w:noProof/>
            <w:webHidden/>
          </w:rPr>
          <w:fldChar w:fldCharType="begin"/>
        </w:r>
        <w:r w:rsidR="00CF1C4D">
          <w:rPr>
            <w:noProof/>
            <w:webHidden/>
          </w:rPr>
          <w:instrText xml:space="preserve"> PAGEREF _Toc176276966 \h </w:instrText>
        </w:r>
        <w:r w:rsidR="00CF1C4D">
          <w:rPr>
            <w:noProof/>
            <w:webHidden/>
          </w:rPr>
        </w:r>
        <w:r w:rsidR="00CF1C4D">
          <w:rPr>
            <w:noProof/>
            <w:webHidden/>
          </w:rPr>
          <w:fldChar w:fldCharType="separate"/>
        </w:r>
        <w:r w:rsidR="00CF1C4D">
          <w:rPr>
            <w:noProof/>
            <w:webHidden/>
          </w:rPr>
          <w:t>118</w:t>
        </w:r>
        <w:r w:rsidR="00CF1C4D">
          <w:rPr>
            <w:noProof/>
            <w:webHidden/>
          </w:rPr>
          <w:fldChar w:fldCharType="end"/>
        </w:r>
      </w:hyperlink>
    </w:p>
    <w:p w14:paraId="4B7B08AD" w14:textId="040082B4" w:rsidR="00CF1C4D" w:rsidRDefault="00955B21">
      <w:pPr>
        <w:pStyle w:val="TOC1"/>
        <w:tabs>
          <w:tab w:val="left" w:pos="660"/>
          <w:tab w:val="right" w:leader="dot" w:pos="9739"/>
        </w:tabs>
        <w:rPr>
          <w:rFonts w:eastAsiaTheme="minorEastAsia" w:cstheme="minorBidi"/>
          <w:b w:val="0"/>
          <w:bCs w:val="0"/>
          <w:i w:val="0"/>
          <w:iCs w:val="0"/>
          <w:noProof/>
          <w:kern w:val="2"/>
          <w14:ligatures w14:val="standardContextual"/>
        </w:rPr>
      </w:pPr>
      <w:hyperlink w:anchor="_Toc176276967" w:history="1">
        <w:r w:rsidR="00CF1C4D" w:rsidRPr="00A7532F">
          <w:rPr>
            <w:rStyle w:val="Hyperlink"/>
            <w:rFonts w:cs="Times New Roman"/>
            <w:noProof/>
          </w:rPr>
          <w:t>7.</w:t>
        </w:r>
        <w:r w:rsidR="00CF1C4D">
          <w:rPr>
            <w:rFonts w:eastAsiaTheme="minorEastAsia" w:cstheme="minorBidi"/>
            <w:b w:val="0"/>
            <w:bCs w:val="0"/>
            <w:i w:val="0"/>
            <w:iCs w:val="0"/>
            <w:noProof/>
            <w:kern w:val="2"/>
            <w14:ligatures w14:val="standardContextual"/>
          </w:rPr>
          <w:tab/>
        </w:r>
        <w:r w:rsidR="00CF1C4D" w:rsidRPr="00A7532F">
          <w:rPr>
            <w:rStyle w:val="Hyperlink"/>
            <w:noProof/>
          </w:rPr>
          <w:t>SUMMARY DATA AND GUIDANCE FOR THE INVESTIGATOR</w:t>
        </w:r>
        <w:r w:rsidR="00CF1C4D">
          <w:rPr>
            <w:noProof/>
            <w:webHidden/>
          </w:rPr>
          <w:tab/>
        </w:r>
        <w:r w:rsidR="00CF1C4D">
          <w:rPr>
            <w:noProof/>
            <w:webHidden/>
          </w:rPr>
          <w:fldChar w:fldCharType="begin"/>
        </w:r>
        <w:r w:rsidR="00CF1C4D">
          <w:rPr>
            <w:noProof/>
            <w:webHidden/>
          </w:rPr>
          <w:instrText xml:space="preserve"> PAGEREF _Toc176276967 \h </w:instrText>
        </w:r>
        <w:r w:rsidR="00CF1C4D">
          <w:rPr>
            <w:noProof/>
            <w:webHidden/>
          </w:rPr>
        </w:r>
        <w:r w:rsidR="00CF1C4D">
          <w:rPr>
            <w:noProof/>
            <w:webHidden/>
          </w:rPr>
          <w:fldChar w:fldCharType="separate"/>
        </w:r>
        <w:r w:rsidR="00CF1C4D">
          <w:rPr>
            <w:noProof/>
            <w:webHidden/>
          </w:rPr>
          <w:t>121</w:t>
        </w:r>
        <w:r w:rsidR="00CF1C4D">
          <w:rPr>
            <w:noProof/>
            <w:webHidden/>
          </w:rPr>
          <w:fldChar w:fldCharType="end"/>
        </w:r>
      </w:hyperlink>
    </w:p>
    <w:p w14:paraId="4A08C34B" w14:textId="0D3BCAFA" w:rsidR="00CF1C4D" w:rsidRDefault="00955B21">
      <w:pPr>
        <w:pStyle w:val="TOC2"/>
        <w:tabs>
          <w:tab w:val="left" w:pos="880"/>
          <w:tab w:val="right" w:leader="dot" w:pos="9739"/>
        </w:tabs>
        <w:rPr>
          <w:rFonts w:eastAsiaTheme="minorEastAsia" w:cstheme="minorBidi"/>
          <w:b w:val="0"/>
          <w:bCs w:val="0"/>
          <w:noProof/>
          <w:kern w:val="2"/>
          <w:sz w:val="24"/>
          <w:szCs w:val="24"/>
          <w14:ligatures w14:val="standardContextual"/>
        </w:rPr>
      </w:pPr>
      <w:hyperlink w:anchor="_Toc176276968" w:history="1">
        <w:r w:rsidR="00CF1C4D" w:rsidRPr="00A7532F">
          <w:rPr>
            <w:rStyle w:val="Hyperlink"/>
            <w:noProof/>
          </w:rPr>
          <w:t>7.1</w:t>
        </w:r>
        <w:r w:rsidR="00CF1C4D">
          <w:rPr>
            <w:rFonts w:eastAsiaTheme="minorEastAsia" w:cstheme="minorBidi"/>
            <w:b w:val="0"/>
            <w:bCs w:val="0"/>
            <w:noProof/>
            <w:kern w:val="2"/>
            <w:sz w:val="24"/>
            <w:szCs w:val="24"/>
            <w14:ligatures w14:val="standardContextual"/>
          </w:rPr>
          <w:tab/>
        </w:r>
        <w:r w:rsidR="00CF1C4D" w:rsidRPr="00A7532F">
          <w:rPr>
            <w:rStyle w:val="Hyperlink"/>
            <w:noProof/>
          </w:rPr>
          <w:t>Nonclinical Safety Information</w:t>
        </w:r>
        <w:r w:rsidR="00CF1C4D">
          <w:rPr>
            <w:noProof/>
            <w:webHidden/>
          </w:rPr>
          <w:tab/>
        </w:r>
        <w:r w:rsidR="00CF1C4D">
          <w:rPr>
            <w:noProof/>
            <w:webHidden/>
          </w:rPr>
          <w:fldChar w:fldCharType="begin"/>
        </w:r>
        <w:r w:rsidR="00CF1C4D">
          <w:rPr>
            <w:noProof/>
            <w:webHidden/>
          </w:rPr>
          <w:instrText xml:space="preserve"> PAGEREF _Toc176276968 \h </w:instrText>
        </w:r>
        <w:r w:rsidR="00CF1C4D">
          <w:rPr>
            <w:noProof/>
            <w:webHidden/>
          </w:rPr>
        </w:r>
        <w:r w:rsidR="00CF1C4D">
          <w:rPr>
            <w:noProof/>
            <w:webHidden/>
          </w:rPr>
          <w:fldChar w:fldCharType="separate"/>
        </w:r>
        <w:r w:rsidR="00CF1C4D">
          <w:rPr>
            <w:noProof/>
            <w:webHidden/>
          </w:rPr>
          <w:t>121</w:t>
        </w:r>
        <w:r w:rsidR="00CF1C4D">
          <w:rPr>
            <w:noProof/>
            <w:webHidden/>
          </w:rPr>
          <w:fldChar w:fldCharType="end"/>
        </w:r>
      </w:hyperlink>
    </w:p>
    <w:p w14:paraId="4D38E40B" w14:textId="5B6EDE7C" w:rsidR="00CF1C4D" w:rsidRDefault="00955B21">
      <w:pPr>
        <w:pStyle w:val="TOC2"/>
        <w:tabs>
          <w:tab w:val="left" w:pos="880"/>
          <w:tab w:val="right" w:leader="dot" w:pos="9739"/>
        </w:tabs>
        <w:rPr>
          <w:rFonts w:eastAsiaTheme="minorEastAsia" w:cstheme="minorBidi"/>
          <w:b w:val="0"/>
          <w:bCs w:val="0"/>
          <w:noProof/>
          <w:kern w:val="2"/>
          <w:sz w:val="24"/>
          <w:szCs w:val="24"/>
          <w14:ligatures w14:val="standardContextual"/>
        </w:rPr>
      </w:pPr>
      <w:hyperlink w:anchor="_Toc176276969" w:history="1">
        <w:r w:rsidR="00CF1C4D" w:rsidRPr="00A7532F">
          <w:rPr>
            <w:rStyle w:val="Hyperlink"/>
            <w:noProof/>
          </w:rPr>
          <w:t>7.2</w:t>
        </w:r>
        <w:r w:rsidR="00CF1C4D">
          <w:rPr>
            <w:rFonts w:eastAsiaTheme="minorEastAsia" w:cstheme="minorBidi"/>
            <w:b w:val="0"/>
            <w:bCs w:val="0"/>
            <w:noProof/>
            <w:kern w:val="2"/>
            <w:sz w:val="24"/>
            <w:szCs w:val="24"/>
            <w14:ligatures w14:val="standardContextual"/>
          </w:rPr>
          <w:tab/>
        </w:r>
        <w:r w:rsidR="00CF1C4D" w:rsidRPr="00A7532F">
          <w:rPr>
            <w:rStyle w:val="Hyperlink"/>
            <w:noProof/>
          </w:rPr>
          <w:t>Clinical Information</w:t>
        </w:r>
        <w:r w:rsidR="00CF1C4D">
          <w:rPr>
            <w:noProof/>
            <w:webHidden/>
          </w:rPr>
          <w:tab/>
        </w:r>
        <w:r w:rsidR="00CF1C4D">
          <w:rPr>
            <w:noProof/>
            <w:webHidden/>
          </w:rPr>
          <w:fldChar w:fldCharType="begin"/>
        </w:r>
        <w:r w:rsidR="00CF1C4D">
          <w:rPr>
            <w:noProof/>
            <w:webHidden/>
          </w:rPr>
          <w:instrText xml:space="preserve"> PAGEREF _Toc176276969 \h </w:instrText>
        </w:r>
        <w:r w:rsidR="00CF1C4D">
          <w:rPr>
            <w:noProof/>
            <w:webHidden/>
          </w:rPr>
        </w:r>
        <w:r w:rsidR="00CF1C4D">
          <w:rPr>
            <w:noProof/>
            <w:webHidden/>
          </w:rPr>
          <w:fldChar w:fldCharType="separate"/>
        </w:r>
        <w:r w:rsidR="00CF1C4D">
          <w:rPr>
            <w:noProof/>
            <w:webHidden/>
          </w:rPr>
          <w:t>121</w:t>
        </w:r>
        <w:r w:rsidR="00CF1C4D">
          <w:rPr>
            <w:noProof/>
            <w:webHidden/>
          </w:rPr>
          <w:fldChar w:fldCharType="end"/>
        </w:r>
      </w:hyperlink>
    </w:p>
    <w:p w14:paraId="1A9164FF" w14:textId="433BB2C2" w:rsidR="00CF1C4D" w:rsidRDefault="00955B21">
      <w:pPr>
        <w:pStyle w:val="TOC2"/>
        <w:tabs>
          <w:tab w:val="left" w:pos="880"/>
          <w:tab w:val="right" w:leader="dot" w:pos="9739"/>
        </w:tabs>
        <w:rPr>
          <w:rFonts w:eastAsiaTheme="minorEastAsia" w:cstheme="minorBidi"/>
          <w:b w:val="0"/>
          <w:bCs w:val="0"/>
          <w:noProof/>
          <w:kern w:val="2"/>
          <w:sz w:val="24"/>
          <w:szCs w:val="24"/>
          <w14:ligatures w14:val="standardContextual"/>
        </w:rPr>
      </w:pPr>
      <w:hyperlink w:anchor="_Toc176276970" w:history="1">
        <w:r w:rsidR="00CF1C4D" w:rsidRPr="00A7532F">
          <w:rPr>
            <w:rStyle w:val="Hyperlink"/>
            <w:noProof/>
          </w:rPr>
          <w:t>7.3</w:t>
        </w:r>
        <w:r w:rsidR="00CF1C4D">
          <w:rPr>
            <w:rFonts w:eastAsiaTheme="minorEastAsia" w:cstheme="minorBidi"/>
            <w:b w:val="0"/>
            <w:bCs w:val="0"/>
            <w:noProof/>
            <w:kern w:val="2"/>
            <w:sz w:val="24"/>
            <w:szCs w:val="24"/>
            <w14:ligatures w14:val="standardContextual"/>
          </w:rPr>
          <w:tab/>
        </w:r>
        <w:r w:rsidR="00CF1C4D" w:rsidRPr="00A7532F">
          <w:rPr>
            <w:rStyle w:val="Hyperlink"/>
            <w:noProof/>
          </w:rPr>
          <w:t>Possible Adverse Effects</w:t>
        </w:r>
        <w:r w:rsidR="00CF1C4D">
          <w:rPr>
            <w:noProof/>
            <w:webHidden/>
          </w:rPr>
          <w:tab/>
        </w:r>
        <w:r w:rsidR="00CF1C4D">
          <w:rPr>
            <w:noProof/>
            <w:webHidden/>
          </w:rPr>
          <w:fldChar w:fldCharType="begin"/>
        </w:r>
        <w:r w:rsidR="00CF1C4D">
          <w:rPr>
            <w:noProof/>
            <w:webHidden/>
          </w:rPr>
          <w:instrText xml:space="preserve"> PAGEREF _Toc176276970 \h </w:instrText>
        </w:r>
        <w:r w:rsidR="00CF1C4D">
          <w:rPr>
            <w:noProof/>
            <w:webHidden/>
          </w:rPr>
        </w:r>
        <w:r w:rsidR="00CF1C4D">
          <w:rPr>
            <w:noProof/>
            <w:webHidden/>
          </w:rPr>
          <w:fldChar w:fldCharType="separate"/>
        </w:r>
        <w:r w:rsidR="00CF1C4D">
          <w:rPr>
            <w:noProof/>
            <w:webHidden/>
          </w:rPr>
          <w:t>122</w:t>
        </w:r>
        <w:r w:rsidR="00CF1C4D">
          <w:rPr>
            <w:noProof/>
            <w:webHidden/>
          </w:rPr>
          <w:fldChar w:fldCharType="end"/>
        </w:r>
      </w:hyperlink>
    </w:p>
    <w:p w14:paraId="56DC4CCC" w14:textId="2A37B5A0" w:rsidR="00CF1C4D" w:rsidRDefault="00955B21">
      <w:pPr>
        <w:pStyle w:val="TOC2"/>
        <w:tabs>
          <w:tab w:val="left" w:pos="880"/>
          <w:tab w:val="right" w:leader="dot" w:pos="9739"/>
        </w:tabs>
        <w:rPr>
          <w:rFonts w:eastAsiaTheme="minorEastAsia" w:cstheme="minorBidi"/>
          <w:b w:val="0"/>
          <w:bCs w:val="0"/>
          <w:noProof/>
          <w:kern w:val="2"/>
          <w:sz w:val="24"/>
          <w:szCs w:val="24"/>
          <w14:ligatures w14:val="standardContextual"/>
        </w:rPr>
      </w:pPr>
      <w:hyperlink w:anchor="_Toc176276971" w:history="1">
        <w:r w:rsidR="00CF1C4D" w:rsidRPr="00A7532F">
          <w:rPr>
            <w:rStyle w:val="Hyperlink"/>
            <w:noProof/>
          </w:rPr>
          <w:t>7.4</w:t>
        </w:r>
        <w:r w:rsidR="00CF1C4D">
          <w:rPr>
            <w:rFonts w:eastAsiaTheme="minorEastAsia" w:cstheme="minorBidi"/>
            <w:b w:val="0"/>
            <w:bCs w:val="0"/>
            <w:noProof/>
            <w:kern w:val="2"/>
            <w:sz w:val="24"/>
            <w:szCs w:val="24"/>
            <w14:ligatures w14:val="standardContextual"/>
          </w:rPr>
          <w:tab/>
        </w:r>
        <w:r w:rsidR="00CF1C4D" w:rsidRPr="00A7532F">
          <w:rPr>
            <w:rStyle w:val="Hyperlink"/>
            <w:noProof/>
          </w:rPr>
          <w:t>Reference Safety Information for the assessment of expectedness of serious adverse reactions</w:t>
        </w:r>
        <w:r w:rsidR="00CF1C4D">
          <w:rPr>
            <w:noProof/>
            <w:webHidden/>
          </w:rPr>
          <w:tab/>
        </w:r>
        <w:r w:rsidR="00CF1C4D">
          <w:rPr>
            <w:noProof/>
            <w:webHidden/>
          </w:rPr>
          <w:fldChar w:fldCharType="begin"/>
        </w:r>
        <w:r w:rsidR="00CF1C4D">
          <w:rPr>
            <w:noProof/>
            <w:webHidden/>
          </w:rPr>
          <w:instrText xml:space="preserve"> PAGEREF _Toc176276971 \h </w:instrText>
        </w:r>
        <w:r w:rsidR="00CF1C4D">
          <w:rPr>
            <w:noProof/>
            <w:webHidden/>
          </w:rPr>
        </w:r>
        <w:r w:rsidR="00CF1C4D">
          <w:rPr>
            <w:noProof/>
            <w:webHidden/>
          </w:rPr>
          <w:fldChar w:fldCharType="separate"/>
        </w:r>
        <w:r w:rsidR="00CF1C4D">
          <w:rPr>
            <w:noProof/>
            <w:webHidden/>
          </w:rPr>
          <w:t>123</w:t>
        </w:r>
        <w:r w:rsidR="00CF1C4D">
          <w:rPr>
            <w:noProof/>
            <w:webHidden/>
          </w:rPr>
          <w:fldChar w:fldCharType="end"/>
        </w:r>
      </w:hyperlink>
    </w:p>
    <w:p w14:paraId="5C7B16DC" w14:textId="15EA3787" w:rsidR="00CF1C4D" w:rsidRDefault="00955B21">
      <w:pPr>
        <w:pStyle w:val="TOC2"/>
        <w:tabs>
          <w:tab w:val="left" w:pos="880"/>
          <w:tab w:val="right" w:leader="dot" w:pos="9739"/>
        </w:tabs>
        <w:rPr>
          <w:rFonts w:eastAsiaTheme="minorEastAsia" w:cstheme="minorBidi"/>
          <w:b w:val="0"/>
          <w:bCs w:val="0"/>
          <w:noProof/>
          <w:kern w:val="2"/>
          <w:sz w:val="24"/>
          <w:szCs w:val="24"/>
          <w14:ligatures w14:val="standardContextual"/>
        </w:rPr>
      </w:pPr>
      <w:hyperlink w:anchor="_Toc176276972" w:history="1">
        <w:r w:rsidR="00CF1C4D" w:rsidRPr="00A7532F">
          <w:rPr>
            <w:rStyle w:val="Hyperlink"/>
            <w:noProof/>
          </w:rPr>
          <w:t>7.5</w:t>
        </w:r>
        <w:r w:rsidR="00CF1C4D">
          <w:rPr>
            <w:rFonts w:eastAsiaTheme="minorEastAsia" w:cstheme="minorBidi"/>
            <w:b w:val="0"/>
            <w:bCs w:val="0"/>
            <w:noProof/>
            <w:kern w:val="2"/>
            <w:sz w:val="24"/>
            <w:szCs w:val="24"/>
            <w14:ligatures w14:val="standardContextual"/>
          </w:rPr>
          <w:tab/>
        </w:r>
        <w:r w:rsidR="00CF1C4D" w:rsidRPr="00A7532F">
          <w:rPr>
            <w:rStyle w:val="Hyperlink"/>
            <w:noProof/>
          </w:rPr>
          <w:t>Conclusion</w:t>
        </w:r>
        <w:r w:rsidR="00CF1C4D">
          <w:rPr>
            <w:noProof/>
            <w:webHidden/>
          </w:rPr>
          <w:tab/>
        </w:r>
        <w:r w:rsidR="00CF1C4D">
          <w:rPr>
            <w:noProof/>
            <w:webHidden/>
          </w:rPr>
          <w:fldChar w:fldCharType="begin"/>
        </w:r>
        <w:r w:rsidR="00CF1C4D">
          <w:rPr>
            <w:noProof/>
            <w:webHidden/>
          </w:rPr>
          <w:instrText xml:space="preserve"> PAGEREF _Toc176276972 \h </w:instrText>
        </w:r>
        <w:r w:rsidR="00CF1C4D">
          <w:rPr>
            <w:noProof/>
            <w:webHidden/>
          </w:rPr>
        </w:r>
        <w:r w:rsidR="00CF1C4D">
          <w:rPr>
            <w:noProof/>
            <w:webHidden/>
          </w:rPr>
          <w:fldChar w:fldCharType="separate"/>
        </w:r>
        <w:r w:rsidR="00CF1C4D">
          <w:rPr>
            <w:noProof/>
            <w:webHidden/>
          </w:rPr>
          <w:t>123</w:t>
        </w:r>
        <w:r w:rsidR="00CF1C4D">
          <w:rPr>
            <w:noProof/>
            <w:webHidden/>
          </w:rPr>
          <w:fldChar w:fldCharType="end"/>
        </w:r>
      </w:hyperlink>
    </w:p>
    <w:p w14:paraId="65972061" w14:textId="7D26267E" w:rsidR="00957F89" w:rsidRPr="00B6436C" w:rsidRDefault="00970C68" w:rsidP="003F4FAF">
      <w:pPr>
        <w:spacing w:line="20" w:lineRule="atLeast"/>
        <w:ind w:left="107"/>
        <w:rPr>
          <w:rFonts w:eastAsia="Times New Roman" w:cstheme="minorHAnsi"/>
        </w:rPr>
      </w:pPr>
      <w:r>
        <w:rPr>
          <w:rFonts w:eastAsia="Times New Roman" w:cstheme="minorHAnsi"/>
        </w:rPr>
        <w:fldChar w:fldCharType="end"/>
      </w:r>
    </w:p>
    <w:p w14:paraId="71C226AA" w14:textId="77777777" w:rsidR="000F455B" w:rsidRPr="00B6436C" w:rsidRDefault="000F455B">
      <w:pPr>
        <w:rPr>
          <w:rFonts w:eastAsia="Times New Roman" w:cstheme="minorHAnsi"/>
        </w:rPr>
      </w:pPr>
      <w:r w:rsidRPr="00B6436C">
        <w:rPr>
          <w:rFonts w:eastAsia="Times New Roman" w:cstheme="minorHAnsi"/>
        </w:rPr>
        <w:br w:type="page"/>
      </w:r>
    </w:p>
    <w:p w14:paraId="40524A82" w14:textId="77777777" w:rsidR="00957F89" w:rsidRPr="00C73849" w:rsidRDefault="00957F89">
      <w:pPr>
        <w:rPr>
          <w:rFonts w:ascii="Times New Roman" w:eastAsia="Times New Roman" w:hAnsi="Times New Roman" w:cs="Times New Roman"/>
          <w:sz w:val="20"/>
          <w:szCs w:val="20"/>
        </w:rPr>
      </w:pPr>
    </w:p>
    <w:p w14:paraId="300135B8" w14:textId="77777777" w:rsidR="00957F89" w:rsidRPr="00C73849" w:rsidRDefault="00D92D87" w:rsidP="0058353A">
      <w:pPr>
        <w:pStyle w:val="Heading1"/>
        <w:rPr>
          <w:rFonts w:cs="Times New Roman"/>
          <w:szCs w:val="28"/>
        </w:rPr>
      </w:pPr>
      <w:bookmarkStart w:id="5" w:name="_Toc34899949"/>
      <w:bookmarkStart w:id="6" w:name="_Toc33702478"/>
      <w:bookmarkStart w:id="7" w:name="_Toc176276912"/>
      <w:r w:rsidRPr="00C73849">
        <w:t>LIST OF ABBREVIATIONS</w:t>
      </w:r>
      <w:bookmarkEnd w:id="5"/>
      <w:bookmarkEnd w:id="6"/>
      <w:bookmarkEnd w:id="7"/>
    </w:p>
    <w:p w14:paraId="39769B2D" w14:textId="77777777" w:rsidR="004B7424" w:rsidRPr="00C73849" w:rsidRDefault="004B7424"/>
    <w:p w14:paraId="162BE431" w14:textId="77777777" w:rsidR="00957F89" w:rsidRPr="00C73849" w:rsidRDefault="00957F89">
      <w:pPr>
        <w:spacing w:line="20" w:lineRule="atLeast"/>
        <w:ind w:left="187"/>
        <w:rPr>
          <w:rFonts w:ascii="Times New Roman" w:eastAsia="Times New Roman" w:hAnsi="Times New Roman" w:cs="Times New Roman"/>
          <w:sz w:val="2"/>
          <w:szCs w:val="2"/>
        </w:rPr>
      </w:pPr>
    </w:p>
    <w:tbl>
      <w:tblPr>
        <w:tblW w:w="9426" w:type="dxa"/>
        <w:tblInd w:w="108" w:type="dxa"/>
        <w:tblLayout w:type="fixed"/>
        <w:tblCellMar>
          <w:left w:w="0" w:type="dxa"/>
          <w:right w:w="0" w:type="dxa"/>
        </w:tblCellMar>
        <w:tblLook w:val="06A0" w:firstRow="1" w:lastRow="0" w:firstColumn="1" w:lastColumn="0" w:noHBand="1" w:noVBand="1"/>
      </w:tblPr>
      <w:tblGrid>
        <w:gridCol w:w="2942"/>
        <w:gridCol w:w="6484"/>
      </w:tblGrid>
      <w:tr w:rsidR="002938C9" w:rsidRPr="00C73849" w14:paraId="5A49B76D" w14:textId="77777777" w:rsidTr="00C627EB">
        <w:trPr>
          <w:cantSplit/>
          <w:trHeight w:hRule="exact" w:val="382"/>
          <w:tblHeader/>
        </w:trPr>
        <w:tc>
          <w:tcPr>
            <w:tcW w:w="2942" w:type="dxa"/>
            <w:tcBorders>
              <w:top w:val="single" w:sz="6" w:space="0" w:color="000000"/>
              <w:left w:val="single" w:sz="5" w:space="0" w:color="000000"/>
              <w:bottom w:val="single" w:sz="5" w:space="0" w:color="000000"/>
              <w:right w:val="single" w:sz="5" w:space="0" w:color="000000"/>
            </w:tcBorders>
          </w:tcPr>
          <w:p w14:paraId="2CDDF349" w14:textId="77777777" w:rsidR="002938C9" w:rsidRPr="00C73849" w:rsidRDefault="002938C9" w:rsidP="007E444D">
            <w:pPr>
              <w:pStyle w:val="TableParagraph"/>
              <w:spacing w:line="251" w:lineRule="exact"/>
              <w:ind w:left="102"/>
              <w:rPr>
                <w:rFonts w:ascii="Times New Roman" w:eastAsia="Times New Roman" w:hAnsi="Times New Roman" w:cs="Times New Roman"/>
              </w:rPr>
            </w:pPr>
            <w:r w:rsidRPr="00C73849">
              <w:rPr>
                <w:rFonts w:ascii="Times New Roman"/>
                <w:b/>
              </w:rPr>
              <w:t>Term</w:t>
            </w:r>
          </w:p>
        </w:tc>
        <w:tc>
          <w:tcPr>
            <w:tcW w:w="6484" w:type="dxa"/>
            <w:tcBorders>
              <w:top w:val="single" w:sz="6" w:space="0" w:color="000000"/>
              <w:left w:val="single" w:sz="5" w:space="0" w:color="000000"/>
              <w:bottom w:val="single" w:sz="5" w:space="0" w:color="000000"/>
              <w:right w:val="single" w:sz="5" w:space="0" w:color="000000"/>
            </w:tcBorders>
          </w:tcPr>
          <w:p w14:paraId="59CAF5EF" w14:textId="77777777" w:rsidR="002938C9" w:rsidRPr="00C73849" w:rsidRDefault="002938C9" w:rsidP="007E444D">
            <w:pPr>
              <w:pStyle w:val="TableParagraph"/>
              <w:spacing w:line="251" w:lineRule="exact"/>
              <w:ind w:left="100"/>
              <w:rPr>
                <w:rFonts w:ascii="Times New Roman" w:eastAsia="Times New Roman" w:hAnsi="Times New Roman" w:cs="Times New Roman"/>
              </w:rPr>
            </w:pPr>
            <w:r w:rsidRPr="00C73849">
              <w:rPr>
                <w:rFonts w:ascii="Times New Roman"/>
                <w:b/>
              </w:rPr>
              <w:t>Meaning</w:t>
            </w:r>
          </w:p>
        </w:tc>
      </w:tr>
      <w:tr w:rsidR="002938C9" w:rsidRPr="00C73849" w14:paraId="22A595C2" w14:textId="77777777" w:rsidTr="00C627EB">
        <w:trPr>
          <w:trHeight w:hRule="exact" w:val="264"/>
        </w:trPr>
        <w:tc>
          <w:tcPr>
            <w:tcW w:w="2942" w:type="dxa"/>
            <w:tcBorders>
              <w:top w:val="single" w:sz="5" w:space="0" w:color="000000"/>
              <w:left w:val="single" w:sz="5" w:space="0" w:color="000000"/>
              <w:bottom w:val="single" w:sz="5" w:space="0" w:color="000000"/>
              <w:right w:val="single" w:sz="5" w:space="0" w:color="000000"/>
            </w:tcBorders>
          </w:tcPr>
          <w:p w14:paraId="590EB620" w14:textId="77777777" w:rsidR="002938C9" w:rsidRPr="00C73849" w:rsidRDefault="002938C9" w:rsidP="007E444D">
            <w:pPr>
              <w:pStyle w:val="TableParagraph"/>
              <w:spacing w:line="246" w:lineRule="exact"/>
              <w:ind w:left="102"/>
              <w:rPr>
                <w:rFonts w:ascii="Times New Roman" w:eastAsia="Times New Roman" w:hAnsi="Times New Roman" w:cs="Times New Roman"/>
              </w:rPr>
            </w:pPr>
            <w:r w:rsidRPr="00C73849">
              <w:rPr>
                <w:rFonts w:ascii="Times New Roman"/>
                <w:w w:val="110"/>
              </w:rPr>
              <w:t>3</w:t>
            </w:r>
            <w:r w:rsidR="003232DF">
              <w:rPr>
                <w:rFonts w:ascii="Times New Roman"/>
                <w:w w:val="110"/>
              </w:rPr>
              <w:t>D</w:t>
            </w:r>
            <w:r w:rsidRPr="00C73849">
              <w:rPr>
                <w:rFonts w:ascii="Times New Roman"/>
                <w:w w:val="110"/>
              </w:rPr>
              <w:t xml:space="preserve"> EPSI</w:t>
            </w:r>
          </w:p>
        </w:tc>
        <w:tc>
          <w:tcPr>
            <w:tcW w:w="6484" w:type="dxa"/>
            <w:tcBorders>
              <w:top w:val="single" w:sz="5" w:space="0" w:color="000000"/>
              <w:left w:val="single" w:sz="5" w:space="0" w:color="000000"/>
              <w:bottom w:val="single" w:sz="5" w:space="0" w:color="000000"/>
              <w:right w:val="single" w:sz="5" w:space="0" w:color="000000"/>
            </w:tcBorders>
          </w:tcPr>
          <w:p w14:paraId="246DC830" w14:textId="77777777" w:rsidR="002938C9" w:rsidRPr="00C73849" w:rsidRDefault="002938C9" w:rsidP="007E444D">
            <w:pPr>
              <w:pStyle w:val="TableParagraph"/>
              <w:spacing w:line="246" w:lineRule="exact"/>
              <w:ind w:left="104"/>
              <w:rPr>
                <w:rFonts w:ascii="Times New Roman" w:eastAsia="Times New Roman" w:hAnsi="Times New Roman" w:cs="Times New Roman"/>
              </w:rPr>
            </w:pPr>
            <w:r w:rsidRPr="00C73849">
              <w:rPr>
                <w:rFonts w:ascii="Times New Roman"/>
              </w:rPr>
              <w:t>Three-dimensional echo planar spectroscopic imaging</w:t>
            </w:r>
          </w:p>
        </w:tc>
      </w:tr>
      <w:tr w:rsidR="002938C9" w:rsidRPr="00C73849" w14:paraId="7B8AC418" w14:textId="77777777" w:rsidTr="00C627EB">
        <w:trPr>
          <w:trHeight w:hRule="exact" w:val="264"/>
        </w:trPr>
        <w:tc>
          <w:tcPr>
            <w:tcW w:w="2942" w:type="dxa"/>
            <w:tcBorders>
              <w:top w:val="single" w:sz="5" w:space="0" w:color="000000"/>
              <w:left w:val="single" w:sz="5" w:space="0" w:color="000000"/>
              <w:bottom w:val="single" w:sz="5" w:space="0" w:color="000000"/>
              <w:right w:val="single" w:sz="5" w:space="0" w:color="000000"/>
            </w:tcBorders>
          </w:tcPr>
          <w:p w14:paraId="456EEF6B" w14:textId="77777777" w:rsidR="002938C9" w:rsidRPr="00C73849" w:rsidRDefault="002938C9" w:rsidP="007E444D">
            <w:pPr>
              <w:pStyle w:val="TableParagraph"/>
              <w:spacing w:line="246" w:lineRule="exact"/>
              <w:ind w:left="102"/>
              <w:rPr>
                <w:rFonts w:ascii="Times New Roman" w:eastAsia="Times New Roman" w:hAnsi="Times New Roman" w:cs="Times New Roman"/>
              </w:rPr>
            </w:pPr>
            <w:r w:rsidRPr="00C73849">
              <w:rPr>
                <w:rFonts w:ascii="Times New Roman"/>
              </w:rPr>
              <w:t>AE</w:t>
            </w:r>
          </w:p>
        </w:tc>
        <w:tc>
          <w:tcPr>
            <w:tcW w:w="6484" w:type="dxa"/>
            <w:tcBorders>
              <w:top w:val="single" w:sz="5" w:space="0" w:color="000000"/>
              <w:left w:val="single" w:sz="5" w:space="0" w:color="000000"/>
              <w:bottom w:val="single" w:sz="5" w:space="0" w:color="000000"/>
              <w:right w:val="single" w:sz="5" w:space="0" w:color="000000"/>
            </w:tcBorders>
          </w:tcPr>
          <w:p w14:paraId="4BE3C1B3" w14:textId="77777777" w:rsidR="002938C9" w:rsidRPr="00C73849" w:rsidRDefault="002938C9" w:rsidP="007E444D">
            <w:pPr>
              <w:pStyle w:val="TableParagraph"/>
              <w:spacing w:line="246" w:lineRule="exact"/>
              <w:ind w:left="102"/>
              <w:rPr>
                <w:rFonts w:ascii="Times New Roman" w:eastAsia="Times New Roman" w:hAnsi="Times New Roman" w:cs="Times New Roman"/>
              </w:rPr>
            </w:pPr>
            <w:r w:rsidRPr="00C73849">
              <w:rPr>
                <w:rFonts w:ascii="Times New Roman"/>
              </w:rPr>
              <w:t>Adverse event</w:t>
            </w:r>
          </w:p>
        </w:tc>
      </w:tr>
      <w:tr w:rsidR="002938C9" w:rsidRPr="00C73849" w14:paraId="4A210A45" w14:textId="77777777" w:rsidTr="000819C5">
        <w:trPr>
          <w:trHeight w:hRule="exact" w:val="3184"/>
        </w:trPr>
        <w:tc>
          <w:tcPr>
            <w:tcW w:w="2942" w:type="dxa"/>
            <w:tcBorders>
              <w:top w:val="single" w:sz="5" w:space="0" w:color="000000"/>
              <w:left w:val="single" w:sz="5" w:space="0" w:color="000000"/>
              <w:bottom w:val="single" w:sz="5" w:space="0" w:color="000000"/>
              <w:right w:val="single" w:sz="5" w:space="0" w:color="000000"/>
            </w:tcBorders>
          </w:tcPr>
          <w:p w14:paraId="1591C548" w14:textId="77777777" w:rsidR="002938C9" w:rsidRPr="00C73849" w:rsidRDefault="002938C9" w:rsidP="007E444D">
            <w:pPr>
              <w:pStyle w:val="TableParagraph"/>
              <w:spacing w:line="246" w:lineRule="exact"/>
              <w:ind w:left="102"/>
              <w:rPr>
                <w:rFonts w:ascii="Times New Roman" w:eastAsia="Times New Roman" w:hAnsi="Times New Roman" w:cs="Times New Roman"/>
              </w:rPr>
            </w:pPr>
            <w:r w:rsidRPr="00C73849">
              <w:rPr>
                <w:rFonts w:ascii="Times New Roman"/>
              </w:rPr>
              <w:t>AH110896</w:t>
            </w:r>
          </w:p>
        </w:tc>
        <w:tc>
          <w:tcPr>
            <w:tcW w:w="6484" w:type="dxa"/>
            <w:tcBorders>
              <w:top w:val="single" w:sz="5" w:space="0" w:color="000000"/>
              <w:left w:val="single" w:sz="5" w:space="0" w:color="000000"/>
              <w:bottom w:val="single" w:sz="5" w:space="0" w:color="000000"/>
              <w:right w:val="single" w:sz="5" w:space="0" w:color="000000"/>
            </w:tcBorders>
          </w:tcPr>
          <w:p w14:paraId="144A18AD" w14:textId="77777777" w:rsidR="002938C9" w:rsidRPr="00C73849" w:rsidRDefault="002938C9" w:rsidP="007E444D">
            <w:pPr>
              <w:pStyle w:val="TableParagraph"/>
              <w:spacing w:line="233" w:lineRule="exact"/>
              <w:ind w:left="103"/>
              <w:rPr>
                <w:rFonts w:ascii="Times New Roman" w:eastAsia="Times New Roman" w:hAnsi="Times New Roman" w:cs="Times New Roman"/>
              </w:rPr>
            </w:pPr>
            <w:r w:rsidRPr="00C73849">
              <w:rPr>
                <w:rFonts w:ascii="Times New Roman"/>
              </w:rPr>
              <w:t>Pyruvic acid (2-oxopropanoic acid) (enriched with</w:t>
            </w:r>
          </w:p>
          <w:p w14:paraId="79A15D31" w14:textId="77777777" w:rsidR="002938C9" w:rsidRPr="00C73849" w:rsidRDefault="002938C9" w:rsidP="007E444D">
            <w:pPr>
              <w:pStyle w:val="TableParagraph"/>
              <w:spacing w:line="265" w:lineRule="exact"/>
              <w:ind w:left="102"/>
              <w:rPr>
                <w:rFonts w:ascii="Times New Roman" w:eastAsia="Times New Roman" w:hAnsi="Times New Roman" w:cs="Times New Roman"/>
              </w:rPr>
            </w:pPr>
            <w:r w:rsidRPr="00C73849">
              <w:rPr>
                <w:rFonts w:ascii="Times New Roman"/>
                <w:position w:val="10"/>
                <w:sz w:val="14"/>
              </w:rPr>
              <w:t>13</w:t>
            </w:r>
            <w:r w:rsidRPr="00C73849">
              <w:rPr>
                <w:rFonts w:ascii="Times New Roman"/>
              </w:rPr>
              <w:t xml:space="preserve">C </w:t>
            </w:r>
            <w:r w:rsidR="007769D0">
              <w:rPr>
                <w:rFonts w:ascii="Times New Roman"/>
              </w:rPr>
              <w:t xml:space="preserve">either the </w:t>
            </w:r>
            <w:r w:rsidRPr="00C73849">
              <w:rPr>
                <w:rFonts w:ascii="Times New Roman"/>
              </w:rPr>
              <w:t>C-1 position</w:t>
            </w:r>
            <w:r w:rsidR="007769D0">
              <w:rPr>
                <w:rFonts w:ascii="Times New Roman"/>
              </w:rPr>
              <w:t>, C-2 position, or both C1 and C2 positions,</w:t>
            </w:r>
            <w:r w:rsidRPr="00C73849">
              <w:rPr>
                <w:rFonts w:ascii="Times New Roman"/>
              </w:rPr>
              <w:t xml:space="preserve"> to NLT 99 %).</w:t>
            </w:r>
          </w:p>
          <w:p w14:paraId="3E81116B" w14:textId="77777777" w:rsidR="005D5C67" w:rsidRPr="00C73849" w:rsidRDefault="00DF2891" w:rsidP="007E444D">
            <w:pPr>
              <w:pStyle w:val="TableParagraph"/>
              <w:spacing w:before="33" w:line="218" w:lineRule="auto"/>
              <w:ind w:left="102" w:right="280"/>
              <w:rPr>
                <w:rFonts w:ascii="Times New Roman"/>
              </w:rPr>
            </w:pPr>
            <w:r w:rsidRPr="000819C5">
              <w:rPr>
                <w:rFonts w:ascii="Times New Roman"/>
                <w:noProof/>
              </w:rPr>
              <w:drawing>
                <wp:inline distT="0" distB="0" distL="0" distR="0" wp14:anchorId="02C845B3" wp14:editId="5826A164">
                  <wp:extent cx="3048635" cy="9359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yruvic_acid_structu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3950" cy="943748"/>
                          </a:xfrm>
                          <a:prstGeom prst="rect">
                            <a:avLst/>
                          </a:prstGeom>
                        </pic:spPr>
                      </pic:pic>
                    </a:graphicData>
                  </a:graphic>
                </wp:inline>
              </w:drawing>
            </w:r>
          </w:p>
          <w:p w14:paraId="78861002" w14:textId="77777777" w:rsidR="002938C9" w:rsidRPr="00C73849" w:rsidRDefault="002938C9" w:rsidP="007E444D">
            <w:pPr>
              <w:pStyle w:val="TableParagraph"/>
              <w:spacing w:before="33" w:line="218" w:lineRule="auto"/>
              <w:ind w:left="102" w:right="280"/>
              <w:rPr>
                <w:rFonts w:ascii="Times New Roman" w:eastAsia="Times New Roman" w:hAnsi="Times New Roman" w:cs="Times New Roman"/>
              </w:rPr>
            </w:pPr>
            <w:r w:rsidRPr="00C73849">
              <w:rPr>
                <w:rFonts w:ascii="Times New Roman"/>
              </w:rPr>
              <w:t>Initially, one AH number covered both [1-</w:t>
            </w:r>
            <w:r w:rsidRPr="00C73849">
              <w:rPr>
                <w:rFonts w:ascii="Times New Roman"/>
                <w:position w:val="10"/>
                <w:sz w:val="14"/>
              </w:rPr>
              <w:t>13</w:t>
            </w:r>
            <w:proofErr w:type="gramStart"/>
            <w:r w:rsidRPr="00C73849">
              <w:rPr>
                <w:rFonts w:ascii="Times New Roman"/>
              </w:rPr>
              <w:t>C]pyruvic</w:t>
            </w:r>
            <w:proofErr w:type="gramEnd"/>
            <w:r w:rsidRPr="00C73849">
              <w:rPr>
                <w:rFonts w:ascii="Times New Roman"/>
              </w:rPr>
              <w:t xml:space="preserve"> acid and pyruvic acid in its natural abundance. The terms </w:t>
            </w:r>
            <w:r w:rsidRPr="00C73849">
              <w:rPr>
                <w:rFonts w:ascii="Times New Roman"/>
                <w:position w:val="10"/>
                <w:sz w:val="14"/>
              </w:rPr>
              <w:t>13</w:t>
            </w:r>
            <w:r w:rsidRPr="00C73849">
              <w:rPr>
                <w:rFonts w:ascii="Times New Roman"/>
              </w:rPr>
              <w:t xml:space="preserve">C- AH110896 and </w:t>
            </w:r>
            <w:r w:rsidRPr="00C73849">
              <w:rPr>
                <w:rFonts w:ascii="Times New Roman"/>
                <w:position w:val="10"/>
                <w:sz w:val="14"/>
              </w:rPr>
              <w:t>12</w:t>
            </w:r>
            <w:r w:rsidRPr="00C73849">
              <w:rPr>
                <w:rFonts w:ascii="Times New Roman"/>
              </w:rPr>
              <w:t>C-AH110896 were then used.</w:t>
            </w:r>
          </w:p>
        </w:tc>
      </w:tr>
      <w:tr w:rsidR="005D5C67" w:rsidRPr="00C73849" w14:paraId="6560D406" w14:textId="77777777" w:rsidTr="00C627EB">
        <w:trPr>
          <w:trHeight w:hRule="exact" w:val="4770"/>
        </w:trPr>
        <w:tc>
          <w:tcPr>
            <w:tcW w:w="2942" w:type="dxa"/>
            <w:tcBorders>
              <w:top w:val="single" w:sz="5" w:space="0" w:color="000000"/>
              <w:left w:val="single" w:sz="5" w:space="0" w:color="000000"/>
              <w:bottom w:val="single" w:sz="5" w:space="0" w:color="000000"/>
              <w:right w:val="single" w:sz="5" w:space="0" w:color="000000"/>
            </w:tcBorders>
          </w:tcPr>
          <w:p w14:paraId="7093E87B" w14:textId="77777777" w:rsidR="005D5C67" w:rsidRPr="00C73849" w:rsidRDefault="005D5C67" w:rsidP="007E444D">
            <w:pPr>
              <w:pStyle w:val="TableParagraph"/>
              <w:spacing w:line="246" w:lineRule="exact"/>
              <w:ind w:left="102"/>
              <w:rPr>
                <w:rFonts w:ascii="Times New Roman"/>
              </w:rPr>
            </w:pPr>
            <w:r w:rsidRPr="00C73849">
              <w:rPr>
                <w:rFonts w:ascii="Times New Roman"/>
              </w:rPr>
              <w:t>AH111501</w:t>
            </w:r>
          </w:p>
        </w:tc>
        <w:tc>
          <w:tcPr>
            <w:tcW w:w="6484" w:type="dxa"/>
            <w:tcBorders>
              <w:top w:val="single" w:sz="5" w:space="0" w:color="000000"/>
              <w:left w:val="single" w:sz="5" w:space="0" w:color="000000"/>
              <w:bottom w:val="single" w:sz="5" w:space="0" w:color="000000"/>
              <w:right w:val="single" w:sz="5" w:space="0" w:color="000000"/>
            </w:tcBorders>
          </w:tcPr>
          <w:p w14:paraId="754ABAB4" w14:textId="35701CA9" w:rsidR="005D5C67" w:rsidRPr="00C73849" w:rsidRDefault="005D5C67" w:rsidP="005D5C67">
            <w:pPr>
              <w:pStyle w:val="TableParagraph"/>
              <w:spacing w:line="233" w:lineRule="exact"/>
              <w:ind w:left="103"/>
              <w:rPr>
                <w:rFonts w:ascii="Times New Roman"/>
              </w:rPr>
            </w:pPr>
            <w:r w:rsidRPr="00C73849">
              <w:rPr>
                <w:rFonts w:ascii="Times New Roman"/>
                <w:noProof/>
              </w:rPr>
              <w:drawing>
                <wp:anchor distT="0" distB="0" distL="114300" distR="114300" simplePos="0" relativeHeight="251649536" behindDoc="0" locked="0" layoutInCell="1" allowOverlap="1" wp14:anchorId="5D0A7077" wp14:editId="74896EBA">
                  <wp:simplePos x="0" y="0"/>
                  <wp:positionH relativeFrom="column">
                    <wp:posOffset>212090</wp:posOffset>
                  </wp:positionH>
                  <wp:positionV relativeFrom="paragraph">
                    <wp:posOffset>381635</wp:posOffset>
                  </wp:positionV>
                  <wp:extent cx="2517775" cy="2369185"/>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7775" cy="2369185"/>
                          </a:xfrm>
                          <a:prstGeom prst="rect">
                            <a:avLst/>
                          </a:prstGeom>
                          <a:noFill/>
                          <a:ln>
                            <a:noFill/>
                          </a:ln>
                        </pic:spPr>
                      </pic:pic>
                    </a:graphicData>
                  </a:graphic>
                </wp:anchor>
              </w:drawing>
            </w:r>
            <w:r w:rsidRPr="00C73849">
              <w:rPr>
                <w:rFonts w:ascii="Times New Roman"/>
              </w:rPr>
              <w:t>Methyl, tris[8-carboxyl-2,2,6,6-tetrakis(2-methoxyethyl) benzo[1,2-d:4,5-d</w:t>
            </w:r>
            <w:proofErr w:type="gramStart"/>
            <w:r w:rsidRPr="00C73849">
              <w:rPr>
                <w:rFonts w:ascii="Times New Roman"/>
              </w:rPr>
              <w:t>']bis</w:t>
            </w:r>
            <w:proofErr w:type="gramEnd"/>
            <w:r w:rsidRPr="00C73849">
              <w:rPr>
                <w:rFonts w:ascii="Times New Roman"/>
              </w:rPr>
              <w:t>[1,3]dithiol-4-yl]-, trisodium salt</w:t>
            </w:r>
          </w:p>
          <w:p w14:paraId="4EE98DB1" w14:textId="77777777" w:rsidR="005D5C67" w:rsidRPr="00C73849" w:rsidRDefault="005D5C67" w:rsidP="005D5C67">
            <w:pPr>
              <w:pStyle w:val="TableParagraph"/>
              <w:spacing w:line="233" w:lineRule="exact"/>
              <w:ind w:left="103"/>
              <w:rPr>
                <w:rFonts w:ascii="Times New Roman"/>
              </w:rPr>
            </w:pPr>
          </w:p>
          <w:p w14:paraId="70ED9457" w14:textId="77777777" w:rsidR="005D5C67" w:rsidRPr="00C73849" w:rsidRDefault="005D5C67" w:rsidP="005D5C67">
            <w:pPr>
              <w:pStyle w:val="TableParagraph"/>
              <w:spacing w:line="233" w:lineRule="exact"/>
              <w:ind w:left="103"/>
              <w:rPr>
                <w:rFonts w:ascii="Times New Roman"/>
              </w:rPr>
            </w:pPr>
          </w:p>
        </w:tc>
      </w:tr>
      <w:tr w:rsidR="005D5C67" w:rsidRPr="00C73849" w14:paraId="35C2CD41" w14:textId="77777777" w:rsidTr="00C627EB">
        <w:trPr>
          <w:trHeight w:hRule="exact" w:val="540"/>
        </w:trPr>
        <w:tc>
          <w:tcPr>
            <w:tcW w:w="2942" w:type="dxa"/>
            <w:tcBorders>
              <w:top w:val="single" w:sz="5" w:space="0" w:color="000000"/>
              <w:left w:val="single" w:sz="5" w:space="0" w:color="000000"/>
              <w:bottom w:val="single" w:sz="5" w:space="0" w:color="000000"/>
              <w:right w:val="single" w:sz="5" w:space="0" w:color="000000"/>
            </w:tcBorders>
          </w:tcPr>
          <w:p w14:paraId="4EB2E549" w14:textId="77777777" w:rsidR="005D5C67" w:rsidRPr="00C73849" w:rsidRDefault="005D5C67" w:rsidP="005D5C67">
            <w:pPr>
              <w:pStyle w:val="TableParagraph"/>
              <w:spacing w:line="246" w:lineRule="exact"/>
              <w:ind w:left="102"/>
              <w:rPr>
                <w:rFonts w:ascii="Times New Roman"/>
              </w:rPr>
            </w:pPr>
            <w:r w:rsidRPr="00C73849">
              <w:rPr>
                <w:rFonts w:ascii="Times New Roman"/>
              </w:rPr>
              <w:t>AH111501 sodium salt</w:t>
            </w:r>
          </w:p>
        </w:tc>
        <w:tc>
          <w:tcPr>
            <w:tcW w:w="6484" w:type="dxa"/>
            <w:tcBorders>
              <w:top w:val="single" w:sz="5" w:space="0" w:color="000000"/>
              <w:left w:val="single" w:sz="5" w:space="0" w:color="000000"/>
              <w:bottom w:val="single" w:sz="5" w:space="0" w:color="000000"/>
              <w:right w:val="single" w:sz="5" w:space="0" w:color="000000"/>
            </w:tcBorders>
          </w:tcPr>
          <w:p w14:paraId="40130C11" w14:textId="77777777" w:rsidR="005D5C67" w:rsidRPr="00C73849" w:rsidRDefault="005D5C67" w:rsidP="005D5C67">
            <w:pPr>
              <w:pStyle w:val="TableParagraph"/>
              <w:spacing w:line="233" w:lineRule="exact"/>
              <w:ind w:left="103"/>
              <w:rPr>
                <w:rFonts w:ascii="Times New Roman"/>
                <w:noProof/>
              </w:rPr>
            </w:pPr>
            <w:r w:rsidRPr="00C73849">
              <w:rPr>
                <w:rFonts w:ascii="Times New Roman"/>
                <w:noProof/>
              </w:rPr>
              <w:t>Trisodium salt of AH111501, enables hyperpolarization of [1-13C]pyruvic acid</w:t>
            </w:r>
          </w:p>
        </w:tc>
      </w:tr>
      <w:tr w:rsidR="005D5C67" w:rsidRPr="00C73849" w14:paraId="77C7B6AC" w14:textId="77777777" w:rsidTr="00C627EB">
        <w:trPr>
          <w:trHeight w:hRule="exact" w:val="1800"/>
        </w:trPr>
        <w:tc>
          <w:tcPr>
            <w:tcW w:w="2942" w:type="dxa"/>
            <w:tcBorders>
              <w:top w:val="single" w:sz="5" w:space="0" w:color="000000"/>
              <w:left w:val="single" w:sz="5" w:space="0" w:color="000000"/>
              <w:bottom w:val="single" w:sz="5" w:space="0" w:color="000000"/>
              <w:right w:val="single" w:sz="5" w:space="0" w:color="000000"/>
            </w:tcBorders>
          </w:tcPr>
          <w:p w14:paraId="0D4911BB" w14:textId="77777777" w:rsidR="005D5C67" w:rsidRPr="00C73849" w:rsidRDefault="005D5C67" w:rsidP="005D5C67">
            <w:pPr>
              <w:pStyle w:val="TableParagraph"/>
              <w:spacing w:line="246" w:lineRule="exact"/>
              <w:ind w:left="102"/>
              <w:rPr>
                <w:rFonts w:ascii="Times New Roman"/>
              </w:rPr>
            </w:pPr>
            <w:r w:rsidRPr="00C73849">
              <w:rPr>
                <w:rFonts w:ascii="Times New Roman"/>
              </w:rPr>
              <w:t>AH111710</w:t>
            </w:r>
          </w:p>
        </w:tc>
        <w:tc>
          <w:tcPr>
            <w:tcW w:w="6484" w:type="dxa"/>
            <w:tcBorders>
              <w:top w:val="single" w:sz="5" w:space="0" w:color="000000"/>
              <w:left w:val="single" w:sz="5" w:space="0" w:color="000000"/>
              <w:bottom w:val="single" w:sz="5" w:space="0" w:color="000000"/>
              <w:right w:val="single" w:sz="5" w:space="0" w:color="000000"/>
            </w:tcBorders>
          </w:tcPr>
          <w:p w14:paraId="4739E19D" w14:textId="77777777" w:rsidR="005D5C67" w:rsidRPr="00C73849" w:rsidRDefault="005D5C67" w:rsidP="005D5C67">
            <w:pPr>
              <w:pStyle w:val="TableParagraph"/>
              <w:spacing w:line="233" w:lineRule="exact"/>
              <w:ind w:left="103"/>
              <w:rPr>
                <w:rFonts w:ascii="Times New Roman"/>
                <w:b/>
                <w:noProof/>
              </w:rPr>
            </w:pPr>
            <w:r w:rsidRPr="00C73849">
              <w:rPr>
                <w:rFonts w:ascii="Times New Roman"/>
                <w:b/>
                <w:noProof/>
              </w:rPr>
              <w:t>Pyruvic Acid</w:t>
            </w:r>
          </w:p>
          <w:p w14:paraId="12912419" w14:textId="77777777" w:rsidR="005D5C67" w:rsidRPr="00C73849" w:rsidRDefault="005D5C67" w:rsidP="005D5C67">
            <w:pPr>
              <w:pStyle w:val="TableParagraph"/>
              <w:spacing w:line="233" w:lineRule="exact"/>
              <w:ind w:left="103"/>
              <w:rPr>
                <w:rFonts w:ascii="Times New Roman"/>
                <w:b/>
                <w:noProof/>
              </w:rPr>
            </w:pPr>
            <w:r w:rsidRPr="00C73849">
              <w:rPr>
                <w:rFonts w:ascii="Times New Roman"/>
                <w:b/>
                <w:noProof/>
              </w:rPr>
              <w:drawing>
                <wp:anchor distT="0" distB="0" distL="114300" distR="114300" simplePos="0" relativeHeight="251651584" behindDoc="0" locked="0" layoutInCell="1" allowOverlap="1" wp14:anchorId="5769CC2E" wp14:editId="10CAEF3C">
                  <wp:simplePos x="0" y="0"/>
                  <wp:positionH relativeFrom="column">
                    <wp:posOffset>424815</wp:posOffset>
                  </wp:positionH>
                  <wp:positionV relativeFrom="paragraph">
                    <wp:posOffset>144780</wp:posOffset>
                  </wp:positionV>
                  <wp:extent cx="1009015" cy="736600"/>
                  <wp:effectExtent l="0" t="0" r="635"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9015" cy="736600"/>
                          </a:xfrm>
                          <a:prstGeom prst="rect">
                            <a:avLst/>
                          </a:prstGeom>
                          <a:noFill/>
                          <a:ln>
                            <a:noFill/>
                          </a:ln>
                        </pic:spPr>
                      </pic:pic>
                    </a:graphicData>
                  </a:graphic>
                </wp:anchor>
              </w:drawing>
            </w:r>
          </w:p>
          <w:p w14:paraId="65228150" w14:textId="77777777" w:rsidR="005D5C67" w:rsidRPr="00C73849" w:rsidRDefault="005D5C67" w:rsidP="005D5C67">
            <w:pPr>
              <w:pStyle w:val="TableParagraph"/>
              <w:spacing w:line="233" w:lineRule="exact"/>
              <w:ind w:left="103"/>
              <w:rPr>
                <w:rFonts w:ascii="Times New Roman"/>
                <w:b/>
                <w:noProof/>
              </w:rPr>
            </w:pPr>
          </w:p>
        </w:tc>
      </w:tr>
      <w:tr w:rsidR="005D5C67" w:rsidRPr="00C73849" w14:paraId="470FAE7C" w14:textId="77777777" w:rsidTr="00C627EB">
        <w:trPr>
          <w:trHeight w:hRule="exact" w:val="450"/>
        </w:trPr>
        <w:tc>
          <w:tcPr>
            <w:tcW w:w="2942" w:type="dxa"/>
            <w:tcBorders>
              <w:top w:val="single" w:sz="5" w:space="0" w:color="000000"/>
              <w:left w:val="single" w:sz="5" w:space="0" w:color="000000"/>
              <w:bottom w:val="single" w:sz="5" w:space="0" w:color="000000"/>
              <w:right w:val="single" w:sz="5" w:space="0" w:color="000000"/>
            </w:tcBorders>
          </w:tcPr>
          <w:p w14:paraId="43B7D1CE" w14:textId="77777777" w:rsidR="005D5C67" w:rsidRPr="00C73849" w:rsidRDefault="005D5C67" w:rsidP="007E444D">
            <w:pPr>
              <w:pStyle w:val="TableParagraph"/>
              <w:spacing w:line="246" w:lineRule="exact"/>
              <w:ind w:left="102"/>
              <w:rPr>
                <w:rFonts w:ascii="Times New Roman"/>
              </w:rPr>
            </w:pPr>
            <w:r w:rsidRPr="00C73849">
              <w:rPr>
                <w:rFonts w:ascii="Times New Roman"/>
              </w:rPr>
              <w:t>AH111710 sodium salt</w:t>
            </w:r>
          </w:p>
        </w:tc>
        <w:tc>
          <w:tcPr>
            <w:tcW w:w="6484" w:type="dxa"/>
            <w:tcBorders>
              <w:top w:val="single" w:sz="5" w:space="0" w:color="000000"/>
              <w:left w:val="single" w:sz="5" w:space="0" w:color="000000"/>
              <w:bottom w:val="single" w:sz="5" w:space="0" w:color="000000"/>
              <w:right w:val="single" w:sz="5" w:space="0" w:color="000000"/>
            </w:tcBorders>
          </w:tcPr>
          <w:p w14:paraId="7DF8A645" w14:textId="77777777" w:rsidR="005D5C67" w:rsidRPr="00C73849" w:rsidRDefault="005D5C67" w:rsidP="005D5C67">
            <w:pPr>
              <w:pStyle w:val="TableParagraph"/>
              <w:spacing w:line="233" w:lineRule="exact"/>
              <w:ind w:left="103"/>
              <w:rPr>
                <w:rFonts w:ascii="Times New Roman"/>
                <w:b/>
                <w:noProof/>
              </w:rPr>
            </w:pPr>
            <w:r w:rsidRPr="00C73849">
              <w:rPr>
                <w:rFonts w:ascii="Times New Roman"/>
                <w:b/>
                <w:noProof/>
              </w:rPr>
              <w:t>Sodium pyruvate</w:t>
            </w:r>
          </w:p>
        </w:tc>
      </w:tr>
      <w:tr w:rsidR="005D5C67" w:rsidRPr="00C73849" w14:paraId="5F4014CB" w14:textId="77777777" w:rsidTr="00C627EB">
        <w:trPr>
          <w:trHeight w:hRule="exact" w:val="1800"/>
        </w:trPr>
        <w:tc>
          <w:tcPr>
            <w:tcW w:w="2942" w:type="dxa"/>
            <w:tcBorders>
              <w:top w:val="single" w:sz="5" w:space="0" w:color="000000"/>
              <w:left w:val="single" w:sz="5" w:space="0" w:color="000000"/>
              <w:bottom w:val="single" w:sz="5" w:space="0" w:color="000000"/>
              <w:right w:val="single" w:sz="5" w:space="0" w:color="000000"/>
            </w:tcBorders>
          </w:tcPr>
          <w:p w14:paraId="3FA5A9FB" w14:textId="77777777" w:rsidR="005D5C67" w:rsidRPr="00C73849" w:rsidRDefault="005D5C67" w:rsidP="007E444D">
            <w:pPr>
              <w:pStyle w:val="TableParagraph"/>
              <w:spacing w:line="246" w:lineRule="exact"/>
              <w:ind w:left="102"/>
              <w:rPr>
                <w:rFonts w:ascii="Times New Roman"/>
              </w:rPr>
            </w:pPr>
            <w:r w:rsidRPr="00C73849">
              <w:rPr>
                <w:rFonts w:ascii="Times New Roman"/>
              </w:rPr>
              <w:lastRenderedPageBreak/>
              <w:t>AH112623</w:t>
            </w:r>
          </w:p>
        </w:tc>
        <w:tc>
          <w:tcPr>
            <w:tcW w:w="6484" w:type="dxa"/>
            <w:tcBorders>
              <w:top w:val="single" w:sz="5" w:space="0" w:color="000000"/>
              <w:left w:val="single" w:sz="5" w:space="0" w:color="000000"/>
              <w:bottom w:val="single" w:sz="5" w:space="0" w:color="000000"/>
              <w:right w:val="single" w:sz="5" w:space="0" w:color="000000"/>
            </w:tcBorders>
          </w:tcPr>
          <w:p w14:paraId="5176E157" w14:textId="77777777" w:rsidR="005D5C67" w:rsidRPr="00C73849" w:rsidRDefault="005D5C67" w:rsidP="005D5C67">
            <w:pPr>
              <w:pStyle w:val="TableParagraph"/>
              <w:spacing w:line="233" w:lineRule="exact"/>
              <w:ind w:left="103"/>
              <w:rPr>
                <w:rFonts w:ascii="Times New Roman"/>
                <w:b/>
                <w:noProof/>
              </w:rPr>
            </w:pPr>
            <w:r w:rsidRPr="00C73849">
              <w:rPr>
                <w:rFonts w:ascii="Times New Roman"/>
                <w:b/>
                <w:noProof/>
              </w:rPr>
              <w:t>Parapyruvate,</w:t>
            </w:r>
          </w:p>
          <w:p w14:paraId="58AFBAAB" w14:textId="4E869235" w:rsidR="005D5C67" w:rsidRPr="00C73849" w:rsidRDefault="005D5C67" w:rsidP="005D5C67">
            <w:pPr>
              <w:pStyle w:val="TableParagraph"/>
              <w:spacing w:line="233" w:lineRule="exact"/>
              <w:ind w:left="103"/>
              <w:rPr>
                <w:rFonts w:ascii="Times New Roman"/>
                <w:b/>
                <w:noProof/>
              </w:rPr>
            </w:pPr>
            <w:r w:rsidRPr="00C73849">
              <w:rPr>
                <w:rFonts w:ascii="Times New Roman"/>
                <w:b/>
                <w:noProof/>
              </w:rPr>
              <w:drawing>
                <wp:anchor distT="0" distB="0" distL="114300" distR="114300" simplePos="0" relativeHeight="251653632" behindDoc="0" locked="0" layoutInCell="1" allowOverlap="1" wp14:anchorId="54488133" wp14:editId="7C916867">
                  <wp:simplePos x="0" y="0"/>
                  <wp:positionH relativeFrom="column">
                    <wp:posOffset>203200</wp:posOffset>
                  </wp:positionH>
                  <wp:positionV relativeFrom="paragraph">
                    <wp:posOffset>207645</wp:posOffset>
                  </wp:positionV>
                  <wp:extent cx="1560830" cy="698500"/>
                  <wp:effectExtent l="0" t="0" r="1270" b="635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60830" cy="698500"/>
                          </a:xfrm>
                          <a:prstGeom prst="rect">
                            <a:avLst/>
                          </a:prstGeom>
                        </pic:spPr>
                      </pic:pic>
                    </a:graphicData>
                  </a:graphic>
                </wp:anchor>
              </w:drawing>
            </w:r>
            <w:r w:rsidRPr="00C73849">
              <w:rPr>
                <w:rFonts w:ascii="Times New Roman"/>
                <w:b/>
                <w:noProof/>
              </w:rPr>
              <w:t>2-hydroxy-2-methyl-4-oxo-pentanedioic acid</w:t>
            </w:r>
          </w:p>
          <w:p w14:paraId="689919D2" w14:textId="77777777" w:rsidR="005D5C67" w:rsidRPr="00C73849" w:rsidRDefault="005D5C67" w:rsidP="005D5C67">
            <w:pPr>
              <w:pStyle w:val="TableParagraph"/>
              <w:spacing w:line="233" w:lineRule="exact"/>
              <w:ind w:left="103"/>
              <w:rPr>
                <w:rFonts w:ascii="Times New Roman"/>
                <w:b/>
                <w:noProof/>
              </w:rPr>
            </w:pPr>
          </w:p>
          <w:p w14:paraId="5480761D" w14:textId="77777777" w:rsidR="005D5C67" w:rsidRPr="00C73849" w:rsidRDefault="005D5C67" w:rsidP="005D5C67">
            <w:pPr>
              <w:pStyle w:val="TableParagraph"/>
              <w:spacing w:line="233" w:lineRule="exact"/>
              <w:ind w:left="103"/>
              <w:rPr>
                <w:rFonts w:ascii="Times New Roman"/>
                <w:b/>
                <w:noProof/>
              </w:rPr>
            </w:pPr>
          </w:p>
        </w:tc>
      </w:tr>
      <w:tr w:rsidR="002938C9" w:rsidRPr="00C73849" w14:paraId="1720F48E" w14:textId="77777777" w:rsidTr="00A602A5">
        <w:trPr>
          <w:trHeight w:hRule="exact" w:val="2646"/>
        </w:trPr>
        <w:tc>
          <w:tcPr>
            <w:tcW w:w="2942" w:type="dxa"/>
            <w:tcBorders>
              <w:top w:val="single" w:sz="5" w:space="0" w:color="000000"/>
              <w:left w:val="single" w:sz="5" w:space="0" w:color="000000"/>
              <w:bottom w:val="single" w:sz="5" w:space="0" w:color="000000"/>
              <w:right w:val="single" w:sz="5" w:space="0" w:color="000000"/>
            </w:tcBorders>
          </w:tcPr>
          <w:p w14:paraId="386A9CEB" w14:textId="77777777" w:rsidR="002938C9" w:rsidRPr="00C73849" w:rsidRDefault="002938C9" w:rsidP="002938C9">
            <w:r w:rsidRPr="00C73849">
              <w:t>AH112615</w:t>
            </w:r>
          </w:p>
        </w:tc>
        <w:tc>
          <w:tcPr>
            <w:tcW w:w="6484" w:type="dxa"/>
            <w:tcBorders>
              <w:top w:val="single" w:sz="5" w:space="0" w:color="000000"/>
              <w:left w:val="single" w:sz="5" w:space="0" w:color="000000"/>
              <w:bottom w:val="single" w:sz="5" w:space="0" w:color="000000"/>
              <w:right w:val="single" w:sz="5" w:space="0" w:color="000000"/>
            </w:tcBorders>
          </w:tcPr>
          <w:p w14:paraId="6D12AFCC" w14:textId="68B1A94F" w:rsidR="002938C9" w:rsidRPr="00C73849" w:rsidRDefault="002938C9" w:rsidP="002938C9">
            <w:pPr>
              <w:pStyle w:val="TableParagraph"/>
              <w:spacing w:line="246" w:lineRule="exact"/>
              <w:ind w:left="102"/>
              <w:rPr>
                <w:rFonts w:ascii="Times New Roman"/>
              </w:rPr>
            </w:pPr>
            <w:r w:rsidRPr="00C73849">
              <w:rPr>
                <w:rFonts w:ascii="Times New Roman" w:eastAsia="Times New Roman" w:hAnsi="Times New Roman" w:cs="Times New Roman"/>
                <w:noProof/>
                <w:sz w:val="20"/>
                <w:szCs w:val="20"/>
              </w:rPr>
              <w:drawing>
                <wp:anchor distT="0" distB="0" distL="114300" distR="114300" simplePos="0" relativeHeight="251647488" behindDoc="0" locked="0" layoutInCell="1" allowOverlap="1" wp14:anchorId="715F2051" wp14:editId="6967A8A7">
                  <wp:simplePos x="0" y="0"/>
                  <wp:positionH relativeFrom="column">
                    <wp:posOffset>1084580</wp:posOffset>
                  </wp:positionH>
                  <wp:positionV relativeFrom="page">
                    <wp:posOffset>228600</wp:posOffset>
                  </wp:positionV>
                  <wp:extent cx="749808" cy="1261872"/>
                  <wp:effectExtent l="0" t="0" r="0" b="0"/>
                  <wp:wrapTopAndBottom/>
                  <wp:docPr id="2"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2.png"/>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749808" cy="1261872"/>
                          </a:xfrm>
                          <a:prstGeom prst="rect">
                            <a:avLst/>
                          </a:prstGeom>
                        </pic:spPr>
                      </pic:pic>
                    </a:graphicData>
                  </a:graphic>
                </wp:anchor>
              </w:drawing>
            </w:r>
            <w:r w:rsidRPr="00C73849">
              <w:rPr>
                <w:rFonts w:ascii="Times New Roman"/>
              </w:rPr>
              <w:t>4,4-Bis-hydroxymethyl-2-methyl-oxazolidine-2-carboxylic acid</w:t>
            </w:r>
          </w:p>
          <w:p w14:paraId="00EF0971" w14:textId="77777777" w:rsidR="002938C9" w:rsidRPr="00C73849" w:rsidRDefault="002938C9" w:rsidP="002938C9">
            <w:pPr>
              <w:pStyle w:val="TableParagraph"/>
              <w:spacing w:line="246" w:lineRule="exact"/>
              <w:ind w:left="102"/>
              <w:rPr>
                <w:rFonts w:ascii="Times New Roman"/>
              </w:rPr>
            </w:pPr>
          </w:p>
          <w:p w14:paraId="6D49EFEB" w14:textId="77777777" w:rsidR="002938C9" w:rsidRPr="00C73849" w:rsidRDefault="002938C9" w:rsidP="002938C9">
            <w:pPr>
              <w:pStyle w:val="TableParagraph"/>
              <w:spacing w:line="246" w:lineRule="exact"/>
              <w:ind w:left="102"/>
              <w:rPr>
                <w:rFonts w:ascii="Times New Roman"/>
              </w:rPr>
            </w:pPr>
          </w:p>
          <w:p w14:paraId="4885E93B" w14:textId="77777777" w:rsidR="002938C9" w:rsidRPr="00C73849" w:rsidRDefault="002938C9" w:rsidP="002938C9">
            <w:pPr>
              <w:pStyle w:val="TableParagraph"/>
              <w:spacing w:line="246" w:lineRule="exact"/>
              <w:ind w:left="102"/>
              <w:rPr>
                <w:rFonts w:ascii="Times New Roman"/>
              </w:rPr>
            </w:pPr>
          </w:p>
          <w:p w14:paraId="5451602A" w14:textId="77777777" w:rsidR="002938C9" w:rsidRPr="00C73849" w:rsidRDefault="002938C9" w:rsidP="002938C9">
            <w:pPr>
              <w:pStyle w:val="TableParagraph"/>
              <w:spacing w:line="246" w:lineRule="exact"/>
              <w:ind w:left="102"/>
              <w:rPr>
                <w:rFonts w:ascii="Times New Roman"/>
              </w:rPr>
            </w:pPr>
          </w:p>
          <w:p w14:paraId="50E2FC08" w14:textId="77777777" w:rsidR="002938C9" w:rsidRPr="00C73849" w:rsidRDefault="002938C9" w:rsidP="002938C9">
            <w:pPr>
              <w:pStyle w:val="TableParagraph"/>
              <w:spacing w:line="246" w:lineRule="exact"/>
              <w:ind w:left="102"/>
              <w:rPr>
                <w:rFonts w:ascii="Times New Roman"/>
              </w:rPr>
            </w:pPr>
          </w:p>
          <w:p w14:paraId="2EEB9167" w14:textId="77777777" w:rsidR="002938C9" w:rsidRPr="00C73849" w:rsidRDefault="002938C9" w:rsidP="002938C9">
            <w:pPr>
              <w:pStyle w:val="TableParagraph"/>
              <w:spacing w:line="246" w:lineRule="exact"/>
              <w:ind w:left="102"/>
              <w:rPr>
                <w:rFonts w:ascii="Times New Roman"/>
              </w:rPr>
            </w:pPr>
          </w:p>
          <w:p w14:paraId="1E35F5BC" w14:textId="77777777" w:rsidR="002938C9" w:rsidRPr="00C73849" w:rsidRDefault="002938C9" w:rsidP="002938C9">
            <w:pPr>
              <w:pStyle w:val="TableParagraph"/>
              <w:spacing w:line="246" w:lineRule="exact"/>
              <w:ind w:left="102"/>
              <w:rPr>
                <w:rFonts w:ascii="Times New Roman"/>
              </w:rPr>
            </w:pPr>
          </w:p>
        </w:tc>
      </w:tr>
      <w:tr w:rsidR="002938C9" w:rsidRPr="00C73849" w14:paraId="6B5104FF"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6652BB75" w14:textId="77777777" w:rsidR="002938C9" w:rsidRPr="00C73849" w:rsidRDefault="002938C9" w:rsidP="002938C9">
            <w:r w:rsidRPr="00C73849">
              <w:t>AUC</w:t>
            </w:r>
          </w:p>
        </w:tc>
        <w:tc>
          <w:tcPr>
            <w:tcW w:w="6484" w:type="dxa"/>
            <w:tcBorders>
              <w:top w:val="single" w:sz="5" w:space="0" w:color="000000"/>
              <w:left w:val="single" w:sz="5" w:space="0" w:color="000000"/>
              <w:bottom w:val="single" w:sz="5" w:space="0" w:color="000000"/>
              <w:right w:val="single" w:sz="5" w:space="0" w:color="000000"/>
            </w:tcBorders>
          </w:tcPr>
          <w:p w14:paraId="0EEE6979" w14:textId="77777777" w:rsidR="002938C9" w:rsidRPr="00C73849" w:rsidRDefault="002938C9" w:rsidP="002938C9">
            <w:pPr>
              <w:pStyle w:val="TableParagraph"/>
              <w:spacing w:line="246" w:lineRule="exact"/>
              <w:ind w:left="102"/>
              <w:rPr>
                <w:rFonts w:ascii="Times New Roman"/>
              </w:rPr>
            </w:pPr>
            <w:r w:rsidRPr="00C73849">
              <w:rPr>
                <w:rFonts w:ascii="Times New Roman"/>
              </w:rPr>
              <w:t>Area under the curve</w:t>
            </w:r>
          </w:p>
        </w:tc>
      </w:tr>
      <w:tr w:rsidR="002938C9" w:rsidRPr="00C73849" w14:paraId="20F0E43B"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1E3993C3" w14:textId="77777777" w:rsidR="002938C9" w:rsidRPr="00C73849" w:rsidRDefault="002938C9" w:rsidP="002938C9">
            <w:r w:rsidRPr="00C73849">
              <w:t>BPH</w:t>
            </w:r>
          </w:p>
        </w:tc>
        <w:tc>
          <w:tcPr>
            <w:tcW w:w="6484" w:type="dxa"/>
            <w:tcBorders>
              <w:top w:val="single" w:sz="5" w:space="0" w:color="000000"/>
              <w:left w:val="single" w:sz="5" w:space="0" w:color="000000"/>
              <w:bottom w:val="single" w:sz="5" w:space="0" w:color="000000"/>
              <w:right w:val="single" w:sz="5" w:space="0" w:color="000000"/>
            </w:tcBorders>
          </w:tcPr>
          <w:p w14:paraId="21E673B0" w14:textId="77777777" w:rsidR="002938C9" w:rsidRPr="00C73849" w:rsidRDefault="002938C9" w:rsidP="002938C9">
            <w:pPr>
              <w:pStyle w:val="TableParagraph"/>
              <w:spacing w:line="246" w:lineRule="exact"/>
              <w:ind w:left="102"/>
              <w:rPr>
                <w:rFonts w:ascii="Times New Roman"/>
              </w:rPr>
            </w:pPr>
            <w:r w:rsidRPr="00C73849">
              <w:rPr>
                <w:rFonts w:ascii="Times New Roman"/>
              </w:rPr>
              <w:t>Benign prostatic hyperplasia</w:t>
            </w:r>
          </w:p>
        </w:tc>
      </w:tr>
      <w:tr w:rsidR="002938C9" w:rsidRPr="00C73849" w14:paraId="52EF5A3B"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5470753D" w14:textId="77777777" w:rsidR="002938C9" w:rsidRPr="00C73849" w:rsidRDefault="002938C9" w:rsidP="002938C9">
            <w:proofErr w:type="spellStart"/>
            <w:r w:rsidRPr="00C73849">
              <w:t>Bw</w:t>
            </w:r>
            <w:proofErr w:type="spellEnd"/>
          </w:p>
        </w:tc>
        <w:tc>
          <w:tcPr>
            <w:tcW w:w="6484" w:type="dxa"/>
            <w:tcBorders>
              <w:top w:val="single" w:sz="5" w:space="0" w:color="000000"/>
              <w:left w:val="single" w:sz="5" w:space="0" w:color="000000"/>
              <w:bottom w:val="single" w:sz="5" w:space="0" w:color="000000"/>
              <w:right w:val="single" w:sz="5" w:space="0" w:color="000000"/>
            </w:tcBorders>
          </w:tcPr>
          <w:p w14:paraId="794E7BC6" w14:textId="77777777" w:rsidR="002938C9" w:rsidRPr="00C73849" w:rsidRDefault="002938C9" w:rsidP="002938C9">
            <w:pPr>
              <w:pStyle w:val="TableParagraph"/>
              <w:spacing w:line="246" w:lineRule="exact"/>
              <w:ind w:left="102"/>
              <w:rPr>
                <w:rFonts w:ascii="Times New Roman"/>
              </w:rPr>
            </w:pPr>
            <w:r w:rsidRPr="00C73849">
              <w:rPr>
                <w:rFonts w:ascii="Times New Roman"/>
              </w:rPr>
              <w:t>Body weight</w:t>
            </w:r>
          </w:p>
        </w:tc>
      </w:tr>
      <w:tr w:rsidR="002938C9" w:rsidRPr="00C73849" w14:paraId="6FC53AB8"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43657AA6" w14:textId="77777777" w:rsidR="002938C9" w:rsidRPr="00C73849" w:rsidRDefault="002938C9" w:rsidP="002938C9">
            <w:r w:rsidRPr="00C73849">
              <w:t>CNS</w:t>
            </w:r>
          </w:p>
        </w:tc>
        <w:tc>
          <w:tcPr>
            <w:tcW w:w="6484" w:type="dxa"/>
            <w:tcBorders>
              <w:top w:val="single" w:sz="5" w:space="0" w:color="000000"/>
              <w:left w:val="single" w:sz="5" w:space="0" w:color="000000"/>
              <w:bottom w:val="single" w:sz="5" w:space="0" w:color="000000"/>
              <w:right w:val="single" w:sz="5" w:space="0" w:color="000000"/>
            </w:tcBorders>
          </w:tcPr>
          <w:p w14:paraId="271F1DC1" w14:textId="77777777" w:rsidR="002938C9" w:rsidRPr="00C73849" w:rsidRDefault="002938C9" w:rsidP="002938C9">
            <w:pPr>
              <w:pStyle w:val="TableParagraph"/>
              <w:spacing w:line="246" w:lineRule="exact"/>
              <w:ind w:left="102"/>
              <w:rPr>
                <w:rFonts w:ascii="Times New Roman"/>
              </w:rPr>
            </w:pPr>
            <w:r w:rsidRPr="00C73849">
              <w:rPr>
                <w:rFonts w:ascii="Times New Roman"/>
              </w:rPr>
              <w:t>Central nervous system</w:t>
            </w:r>
          </w:p>
        </w:tc>
      </w:tr>
      <w:tr w:rsidR="002938C9" w:rsidRPr="00C73849" w14:paraId="3355CFB2"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7C6A9B3A" w14:textId="77777777" w:rsidR="002938C9" w:rsidRPr="00C73849" w:rsidRDefault="002938C9" w:rsidP="002938C9">
            <w:proofErr w:type="spellStart"/>
            <w:r w:rsidRPr="00C73849">
              <w:t>Cmax</w:t>
            </w:r>
            <w:proofErr w:type="spellEnd"/>
          </w:p>
        </w:tc>
        <w:tc>
          <w:tcPr>
            <w:tcW w:w="6484" w:type="dxa"/>
            <w:tcBorders>
              <w:top w:val="single" w:sz="5" w:space="0" w:color="000000"/>
              <w:left w:val="single" w:sz="5" w:space="0" w:color="000000"/>
              <w:bottom w:val="single" w:sz="5" w:space="0" w:color="000000"/>
              <w:right w:val="single" w:sz="5" w:space="0" w:color="000000"/>
            </w:tcBorders>
          </w:tcPr>
          <w:p w14:paraId="20D1FFFA" w14:textId="77777777" w:rsidR="002938C9" w:rsidRPr="00C73849" w:rsidRDefault="002938C9" w:rsidP="007E444D">
            <w:pPr>
              <w:pStyle w:val="TableParagraph"/>
              <w:spacing w:line="246" w:lineRule="exact"/>
              <w:ind w:left="102"/>
              <w:rPr>
                <w:rFonts w:ascii="Times New Roman"/>
              </w:rPr>
            </w:pPr>
            <w:r w:rsidRPr="00C73849">
              <w:rPr>
                <w:rFonts w:ascii="Times New Roman"/>
              </w:rPr>
              <w:t>Maximum concentration</w:t>
            </w:r>
          </w:p>
        </w:tc>
      </w:tr>
      <w:tr w:rsidR="002938C9" w:rsidRPr="00C73849" w14:paraId="0E6BA4A7"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7E0DAA24" w14:textId="77777777" w:rsidR="002938C9" w:rsidRPr="00C73849" w:rsidRDefault="002938C9" w:rsidP="002938C9">
            <w:r w:rsidRPr="00C73849">
              <w:t>CVS</w:t>
            </w:r>
          </w:p>
        </w:tc>
        <w:tc>
          <w:tcPr>
            <w:tcW w:w="6484" w:type="dxa"/>
            <w:tcBorders>
              <w:top w:val="single" w:sz="5" w:space="0" w:color="000000"/>
              <w:left w:val="single" w:sz="5" w:space="0" w:color="000000"/>
              <w:bottom w:val="single" w:sz="5" w:space="0" w:color="000000"/>
              <w:right w:val="single" w:sz="5" w:space="0" w:color="000000"/>
            </w:tcBorders>
          </w:tcPr>
          <w:p w14:paraId="6D45160B" w14:textId="77777777" w:rsidR="002938C9" w:rsidRPr="00C73849" w:rsidRDefault="002938C9" w:rsidP="002938C9">
            <w:pPr>
              <w:pStyle w:val="TableParagraph"/>
              <w:spacing w:line="246" w:lineRule="exact"/>
              <w:ind w:left="102"/>
              <w:rPr>
                <w:rFonts w:ascii="Times New Roman"/>
              </w:rPr>
            </w:pPr>
            <w:r w:rsidRPr="00C73849">
              <w:rPr>
                <w:rFonts w:ascii="Times New Roman"/>
              </w:rPr>
              <w:t>Cardiovascular system</w:t>
            </w:r>
          </w:p>
        </w:tc>
      </w:tr>
      <w:tr w:rsidR="002938C9" w:rsidRPr="00C73849" w14:paraId="72A893B3"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5298497F" w14:textId="77777777" w:rsidR="002938C9" w:rsidRPr="00C73849" w:rsidRDefault="002938C9" w:rsidP="002938C9">
            <w:r w:rsidRPr="00C73849">
              <w:t>CRO</w:t>
            </w:r>
          </w:p>
        </w:tc>
        <w:tc>
          <w:tcPr>
            <w:tcW w:w="6484" w:type="dxa"/>
            <w:tcBorders>
              <w:top w:val="single" w:sz="5" w:space="0" w:color="000000"/>
              <w:left w:val="single" w:sz="5" w:space="0" w:color="000000"/>
              <w:bottom w:val="single" w:sz="5" w:space="0" w:color="000000"/>
              <w:right w:val="single" w:sz="5" w:space="0" w:color="000000"/>
            </w:tcBorders>
          </w:tcPr>
          <w:p w14:paraId="37487B22" w14:textId="77777777" w:rsidR="002938C9" w:rsidRPr="00C73849" w:rsidRDefault="002938C9" w:rsidP="002938C9">
            <w:pPr>
              <w:pStyle w:val="TableParagraph"/>
              <w:spacing w:line="246" w:lineRule="exact"/>
              <w:ind w:left="102"/>
              <w:rPr>
                <w:rFonts w:ascii="Times New Roman"/>
              </w:rPr>
            </w:pPr>
            <w:r w:rsidRPr="00C73849">
              <w:rPr>
                <w:rFonts w:ascii="Times New Roman"/>
              </w:rPr>
              <w:t>Contract research organization</w:t>
            </w:r>
          </w:p>
        </w:tc>
      </w:tr>
      <w:tr w:rsidR="002938C9" w:rsidRPr="00C73849" w14:paraId="272704CD"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48373DC0" w14:textId="77777777" w:rsidR="002938C9" w:rsidRPr="00C73849" w:rsidRDefault="002938C9" w:rsidP="002938C9">
            <w:r w:rsidRPr="00C73849">
              <w:t>CT</w:t>
            </w:r>
          </w:p>
        </w:tc>
        <w:tc>
          <w:tcPr>
            <w:tcW w:w="6484" w:type="dxa"/>
            <w:tcBorders>
              <w:top w:val="single" w:sz="5" w:space="0" w:color="000000"/>
              <w:left w:val="single" w:sz="5" w:space="0" w:color="000000"/>
              <w:bottom w:val="single" w:sz="5" w:space="0" w:color="000000"/>
              <w:right w:val="single" w:sz="5" w:space="0" w:color="000000"/>
            </w:tcBorders>
          </w:tcPr>
          <w:p w14:paraId="0A48D52E" w14:textId="77777777" w:rsidR="002938C9" w:rsidRPr="00C73849" w:rsidRDefault="002938C9" w:rsidP="002938C9">
            <w:pPr>
              <w:pStyle w:val="TableParagraph"/>
              <w:spacing w:line="246" w:lineRule="exact"/>
              <w:ind w:left="102"/>
              <w:rPr>
                <w:rFonts w:ascii="Times New Roman"/>
              </w:rPr>
            </w:pPr>
            <w:r w:rsidRPr="00C73849">
              <w:rPr>
                <w:rFonts w:ascii="Times New Roman"/>
              </w:rPr>
              <w:t>Computed tomography</w:t>
            </w:r>
          </w:p>
        </w:tc>
      </w:tr>
      <w:tr w:rsidR="002938C9" w:rsidRPr="00C73849" w14:paraId="2E6228F8"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1EF00411" w14:textId="77777777" w:rsidR="002938C9" w:rsidRPr="00C73849" w:rsidRDefault="003232DF" w:rsidP="002938C9">
            <w:r>
              <w:t>D</w:t>
            </w:r>
            <w:r w:rsidR="002938C9" w:rsidRPr="00C73849">
              <w:t>issolution medium</w:t>
            </w:r>
          </w:p>
        </w:tc>
        <w:tc>
          <w:tcPr>
            <w:tcW w:w="6484" w:type="dxa"/>
            <w:tcBorders>
              <w:top w:val="single" w:sz="5" w:space="0" w:color="000000"/>
              <w:left w:val="single" w:sz="5" w:space="0" w:color="000000"/>
              <w:bottom w:val="single" w:sz="5" w:space="0" w:color="000000"/>
              <w:right w:val="single" w:sz="5" w:space="0" w:color="000000"/>
            </w:tcBorders>
          </w:tcPr>
          <w:p w14:paraId="78D8C09C" w14:textId="77777777" w:rsidR="002938C9" w:rsidRPr="00C73849" w:rsidRDefault="002938C9" w:rsidP="002938C9">
            <w:pPr>
              <w:pStyle w:val="TableParagraph"/>
              <w:spacing w:line="246" w:lineRule="exact"/>
              <w:ind w:left="102"/>
              <w:rPr>
                <w:rFonts w:ascii="Times New Roman"/>
              </w:rPr>
            </w:pPr>
            <w:r w:rsidRPr="00C73849">
              <w:rPr>
                <w:rFonts w:ascii="Times New Roman"/>
              </w:rPr>
              <w:t>TRIS/EDTA dissolution medium</w:t>
            </w:r>
          </w:p>
        </w:tc>
      </w:tr>
      <w:tr w:rsidR="002938C9" w:rsidRPr="00C73849" w14:paraId="52DF1FC4"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06CA7529" w14:textId="77777777" w:rsidR="002938C9" w:rsidRPr="00C73849" w:rsidRDefault="003232DF" w:rsidP="002938C9">
            <w:r>
              <w:t>D</w:t>
            </w:r>
            <w:r w:rsidR="002938C9" w:rsidRPr="00C73849">
              <w:t>NP</w:t>
            </w:r>
          </w:p>
        </w:tc>
        <w:tc>
          <w:tcPr>
            <w:tcW w:w="6484" w:type="dxa"/>
            <w:tcBorders>
              <w:top w:val="single" w:sz="5" w:space="0" w:color="000000"/>
              <w:left w:val="single" w:sz="5" w:space="0" w:color="000000"/>
              <w:bottom w:val="single" w:sz="5" w:space="0" w:color="000000"/>
              <w:right w:val="single" w:sz="5" w:space="0" w:color="000000"/>
            </w:tcBorders>
          </w:tcPr>
          <w:p w14:paraId="1FFD48D0" w14:textId="77777777" w:rsidR="002938C9" w:rsidRPr="00C73849" w:rsidRDefault="003232DF" w:rsidP="002938C9">
            <w:pPr>
              <w:pStyle w:val="TableParagraph"/>
              <w:spacing w:line="246" w:lineRule="exact"/>
              <w:ind w:left="102"/>
              <w:rPr>
                <w:rFonts w:ascii="Times New Roman"/>
              </w:rPr>
            </w:pPr>
            <w:r>
              <w:rPr>
                <w:rFonts w:ascii="Times New Roman"/>
              </w:rPr>
              <w:t>D</w:t>
            </w:r>
            <w:r w:rsidR="002938C9" w:rsidRPr="00C73849">
              <w:rPr>
                <w:rFonts w:ascii="Times New Roman"/>
              </w:rPr>
              <w:t>ynamic nuclear polarization</w:t>
            </w:r>
          </w:p>
        </w:tc>
      </w:tr>
      <w:tr w:rsidR="002938C9" w:rsidRPr="00C73849" w14:paraId="65D3B3A1"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54D271A0" w14:textId="77777777" w:rsidR="002938C9" w:rsidRPr="00C73849" w:rsidRDefault="003232DF" w:rsidP="002938C9">
            <w:r>
              <w:t>D</w:t>
            </w:r>
            <w:r w:rsidR="002938C9" w:rsidRPr="00C73849">
              <w:t>rug product</w:t>
            </w:r>
          </w:p>
        </w:tc>
        <w:tc>
          <w:tcPr>
            <w:tcW w:w="6484" w:type="dxa"/>
            <w:tcBorders>
              <w:top w:val="single" w:sz="5" w:space="0" w:color="000000"/>
              <w:left w:val="single" w:sz="5" w:space="0" w:color="000000"/>
              <w:bottom w:val="single" w:sz="5" w:space="0" w:color="000000"/>
              <w:right w:val="single" w:sz="5" w:space="0" w:color="000000"/>
            </w:tcBorders>
          </w:tcPr>
          <w:p w14:paraId="285DF5A5" w14:textId="77777777" w:rsidR="002938C9" w:rsidRPr="00C73849" w:rsidRDefault="002938C9" w:rsidP="002938C9">
            <w:pPr>
              <w:pStyle w:val="TableParagraph"/>
              <w:spacing w:line="246" w:lineRule="exact"/>
              <w:ind w:left="102"/>
              <w:rPr>
                <w:rFonts w:ascii="Times New Roman"/>
              </w:rPr>
            </w:pPr>
            <w:r w:rsidRPr="00C73849">
              <w:rPr>
                <w:rFonts w:ascii="Times New Roman"/>
              </w:rPr>
              <w:t>Hyperpolarized Pyruvate (13C) Injection (clinical study</w:t>
            </w:r>
          </w:p>
          <w:p w14:paraId="37A591B6" w14:textId="77777777" w:rsidR="002938C9" w:rsidRPr="00C73849" w:rsidRDefault="002938C9" w:rsidP="002938C9">
            <w:pPr>
              <w:pStyle w:val="TableParagraph"/>
              <w:spacing w:line="246" w:lineRule="exact"/>
              <w:ind w:left="102"/>
              <w:rPr>
                <w:rFonts w:ascii="Times New Roman"/>
              </w:rPr>
            </w:pPr>
            <w:r w:rsidRPr="00C73849">
              <w:rPr>
                <w:rFonts w:ascii="Times New Roman"/>
              </w:rPr>
              <w:t>GE-1</w:t>
            </w:r>
            <w:r w:rsidR="003232DF">
              <w:rPr>
                <w:rFonts w:ascii="Times New Roman"/>
              </w:rPr>
              <w:t>D</w:t>
            </w:r>
            <w:r w:rsidRPr="00C73849">
              <w:rPr>
                <w:rFonts w:ascii="Times New Roman"/>
              </w:rPr>
              <w:t>1-</w:t>
            </w:r>
            <w:r w:rsidR="003232DF">
              <w:rPr>
                <w:rFonts w:ascii="Times New Roman"/>
              </w:rPr>
              <w:t>DD</w:t>
            </w:r>
            <w:r w:rsidRPr="00C73849">
              <w:rPr>
                <w:rFonts w:ascii="Times New Roman"/>
              </w:rPr>
              <w:t>2) or Pyruvate Injection (clinical studies GE- 1</w:t>
            </w:r>
            <w:r w:rsidR="003232DF">
              <w:rPr>
                <w:rFonts w:ascii="Times New Roman"/>
              </w:rPr>
              <w:t>D</w:t>
            </w:r>
            <w:r w:rsidRPr="00C73849">
              <w:rPr>
                <w:rFonts w:ascii="Times New Roman"/>
              </w:rPr>
              <w:t>1-</w:t>
            </w:r>
            <w:r w:rsidR="003232DF">
              <w:rPr>
                <w:rFonts w:ascii="Times New Roman"/>
              </w:rPr>
              <w:t>DD</w:t>
            </w:r>
            <w:r w:rsidRPr="00C73849">
              <w:rPr>
                <w:rFonts w:ascii="Times New Roman"/>
              </w:rPr>
              <w:t>1/GE-101-003)</w:t>
            </w:r>
          </w:p>
        </w:tc>
      </w:tr>
      <w:tr w:rsidR="002938C9" w:rsidRPr="00C73849" w14:paraId="3EBB6640"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059F1064" w14:textId="77777777" w:rsidR="002938C9" w:rsidRPr="00C73849" w:rsidRDefault="003232DF" w:rsidP="002938C9">
            <w:r>
              <w:t>D</w:t>
            </w:r>
            <w:r w:rsidR="002938C9" w:rsidRPr="00C73849">
              <w:t>rug product kit</w:t>
            </w:r>
          </w:p>
        </w:tc>
        <w:tc>
          <w:tcPr>
            <w:tcW w:w="6484" w:type="dxa"/>
            <w:tcBorders>
              <w:top w:val="single" w:sz="5" w:space="0" w:color="000000"/>
              <w:left w:val="single" w:sz="5" w:space="0" w:color="000000"/>
              <w:bottom w:val="single" w:sz="5" w:space="0" w:color="000000"/>
              <w:right w:val="single" w:sz="5" w:space="0" w:color="000000"/>
            </w:tcBorders>
          </w:tcPr>
          <w:p w14:paraId="42448B31" w14:textId="02B91DB6" w:rsidR="002938C9" w:rsidRPr="00C73849" w:rsidRDefault="002938C9" w:rsidP="002938C9">
            <w:pPr>
              <w:pStyle w:val="TableParagraph"/>
              <w:spacing w:line="246" w:lineRule="exact"/>
              <w:ind w:left="102"/>
              <w:rPr>
                <w:rFonts w:ascii="Times New Roman"/>
              </w:rPr>
            </w:pPr>
            <w:r w:rsidRPr="00C73849">
              <w:rPr>
                <w:rFonts w:ascii="Times New Roman"/>
              </w:rPr>
              <w:t>For clinical studies GE-101-001/GE-101-003, kit containing</w:t>
            </w:r>
          </w:p>
          <w:p w14:paraId="5A9CBFD9" w14:textId="77777777" w:rsidR="002938C9" w:rsidRPr="00C73849" w:rsidRDefault="002938C9" w:rsidP="00F670E8">
            <w:pPr>
              <w:pStyle w:val="ListParagraph"/>
              <w:numPr>
                <w:ilvl w:val="0"/>
                <w:numId w:val="6"/>
              </w:numPr>
              <w:tabs>
                <w:tab w:val="left" w:pos="463"/>
              </w:tabs>
              <w:ind w:right="153"/>
              <w:rPr>
                <w:rFonts w:ascii="Times New Roman"/>
              </w:rPr>
            </w:pPr>
            <w:r w:rsidRPr="00C73849">
              <w:rPr>
                <w:rFonts w:ascii="Times New Roman"/>
              </w:rPr>
              <w:t>Mixture of pyruvic acid and 0.2 mM AH111501 sodium salt</w:t>
            </w:r>
          </w:p>
          <w:p w14:paraId="4A78DAFF" w14:textId="77777777" w:rsidR="002938C9" w:rsidRPr="00C73849" w:rsidRDefault="002938C9" w:rsidP="00F670E8">
            <w:pPr>
              <w:pStyle w:val="ListParagraph"/>
              <w:numPr>
                <w:ilvl w:val="0"/>
                <w:numId w:val="6"/>
              </w:numPr>
              <w:tabs>
                <w:tab w:val="left" w:pos="463"/>
              </w:tabs>
              <w:spacing w:line="252" w:lineRule="exact"/>
              <w:rPr>
                <w:rFonts w:ascii="Times New Roman"/>
              </w:rPr>
            </w:pPr>
            <w:r w:rsidRPr="00C73849">
              <w:rPr>
                <w:rFonts w:ascii="Times New Roman"/>
              </w:rPr>
              <w:t>TRIS/E0TA dissolution medium</w:t>
            </w:r>
          </w:p>
          <w:p w14:paraId="19764972" w14:textId="77777777" w:rsidR="002938C9" w:rsidRPr="00C73849" w:rsidRDefault="002938C9" w:rsidP="002938C9">
            <w:pPr>
              <w:pStyle w:val="TableParagraph"/>
              <w:spacing w:line="246" w:lineRule="exact"/>
              <w:ind w:left="102"/>
              <w:rPr>
                <w:rFonts w:ascii="Times New Roman"/>
              </w:rPr>
            </w:pPr>
          </w:p>
          <w:p w14:paraId="69EC67F6" w14:textId="77777777" w:rsidR="002938C9" w:rsidRPr="00C73849" w:rsidRDefault="002938C9" w:rsidP="002938C9">
            <w:pPr>
              <w:pStyle w:val="TableParagraph"/>
              <w:spacing w:line="246" w:lineRule="exact"/>
              <w:ind w:left="102"/>
              <w:rPr>
                <w:rFonts w:ascii="Times New Roman"/>
              </w:rPr>
            </w:pPr>
            <w:r w:rsidRPr="00C73849">
              <w:rPr>
                <w:rFonts w:ascii="Times New Roman"/>
              </w:rPr>
              <w:t xml:space="preserve">For clinical study GE-101-002, kit </w:t>
            </w:r>
            <w:proofErr w:type="gramStart"/>
            <w:r w:rsidRPr="00C73849">
              <w:rPr>
                <w:rFonts w:ascii="Times New Roman"/>
              </w:rPr>
              <w:t>containing;</w:t>
            </w:r>
            <w:proofErr w:type="gramEnd"/>
          </w:p>
          <w:p w14:paraId="2D5D487F" w14:textId="77777777" w:rsidR="002938C9" w:rsidRPr="00C73849" w:rsidRDefault="002938C9" w:rsidP="00F670E8">
            <w:pPr>
              <w:pStyle w:val="ListParagraph"/>
              <w:numPr>
                <w:ilvl w:val="0"/>
                <w:numId w:val="5"/>
              </w:numPr>
              <w:tabs>
                <w:tab w:val="left" w:pos="463"/>
              </w:tabs>
              <w:spacing w:before="17" w:line="252" w:lineRule="exact"/>
              <w:ind w:right="292" w:hanging="360"/>
              <w:rPr>
                <w:rFonts w:ascii="Times New Roman"/>
              </w:rPr>
            </w:pPr>
            <w:r w:rsidRPr="00C73849">
              <w:rPr>
                <w:rFonts w:ascii="Times New Roman"/>
              </w:rPr>
              <w:t>Mixture of [1-13</w:t>
            </w:r>
            <w:proofErr w:type="gramStart"/>
            <w:r w:rsidRPr="00C73849">
              <w:rPr>
                <w:rFonts w:ascii="Times New Roman"/>
              </w:rPr>
              <w:t>C]pyruvic</w:t>
            </w:r>
            <w:proofErr w:type="gramEnd"/>
            <w:r w:rsidRPr="00C73849">
              <w:rPr>
                <w:rFonts w:ascii="Times New Roman"/>
              </w:rPr>
              <w:t xml:space="preserve"> acid and 15 mM AH111501 sodium salt</w:t>
            </w:r>
          </w:p>
          <w:p w14:paraId="6EB2FAD6" w14:textId="77777777" w:rsidR="002938C9" w:rsidRPr="00C73849" w:rsidRDefault="002938C9" w:rsidP="00F670E8">
            <w:pPr>
              <w:pStyle w:val="ListParagraph"/>
              <w:numPr>
                <w:ilvl w:val="0"/>
                <w:numId w:val="5"/>
              </w:numPr>
              <w:tabs>
                <w:tab w:val="left" w:pos="463"/>
              </w:tabs>
              <w:spacing w:line="249" w:lineRule="exact"/>
              <w:ind w:hanging="360"/>
              <w:rPr>
                <w:rFonts w:ascii="Times New Roman"/>
              </w:rPr>
            </w:pPr>
            <w:r w:rsidRPr="00C73849">
              <w:rPr>
                <w:rFonts w:ascii="Times New Roman"/>
              </w:rPr>
              <w:t>TRIS/E0TA buffer solution</w:t>
            </w:r>
          </w:p>
          <w:p w14:paraId="634DE79D" w14:textId="77777777" w:rsidR="002938C9" w:rsidRPr="00C73849" w:rsidRDefault="002938C9" w:rsidP="00F670E8">
            <w:pPr>
              <w:pStyle w:val="ListParagraph"/>
              <w:numPr>
                <w:ilvl w:val="0"/>
                <w:numId w:val="5"/>
              </w:numPr>
              <w:tabs>
                <w:tab w:val="left" w:pos="463"/>
              </w:tabs>
              <w:spacing w:before="1"/>
              <w:ind w:hanging="360"/>
              <w:rPr>
                <w:rFonts w:ascii="Times New Roman"/>
              </w:rPr>
            </w:pPr>
            <w:r w:rsidRPr="00C73849">
              <w:rPr>
                <w:rFonts w:ascii="Times New Roman"/>
              </w:rPr>
              <w:t>Sterile water for injection</w:t>
            </w:r>
          </w:p>
        </w:tc>
      </w:tr>
      <w:tr w:rsidR="002938C9" w:rsidRPr="00C73849" w14:paraId="3BEC8276"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364E7486" w14:textId="77777777" w:rsidR="002938C9" w:rsidRPr="00C73849" w:rsidRDefault="002938C9" w:rsidP="002938C9">
            <w:r w:rsidRPr="00C73849">
              <w:t>Drug substance</w:t>
            </w:r>
          </w:p>
        </w:tc>
        <w:tc>
          <w:tcPr>
            <w:tcW w:w="6484" w:type="dxa"/>
            <w:tcBorders>
              <w:top w:val="single" w:sz="5" w:space="0" w:color="000000"/>
              <w:left w:val="single" w:sz="5" w:space="0" w:color="000000"/>
              <w:bottom w:val="single" w:sz="5" w:space="0" w:color="000000"/>
              <w:right w:val="single" w:sz="5" w:space="0" w:color="000000"/>
            </w:tcBorders>
          </w:tcPr>
          <w:p w14:paraId="7AD91942" w14:textId="77777777" w:rsidR="002938C9" w:rsidRPr="00C73849" w:rsidRDefault="002938C9" w:rsidP="002938C9">
            <w:pPr>
              <w:pStyle w:val="TableParagraph"/>
              <w:spacing w:line="246" w:lineRule="exact"/>
              <w:ind w:left="102"/>
              <w:rPr>
                <w:rFonts w:ascii="Times New Roman"/>
              </w:rPr>
            </w:pPr>
            <w:r w:rsidRPr="00C73849">
              <w:rPr>
                <w:rFonts w:ascii="Times New Roman"/>
              </w:rPr>
              <w:t>Active pharmaceutical ingredient, here [1-13</w:t>
            </w:r>
            <w:proofErr w:type="gramStart"/>
            <w:r w:rsidRPr="00C73849">
              <w:rPr>
                <w:rFonts w:ascii="Times New Roman"/>
              </w:rPr>
              <w:t>C]pyruvic</w:t>
            </w:r>
            <w:proofErr w:type="gramEnd"/>
            <w:r w:rsidRPr="00C73849">
              <w:rPr>
                <w:rFonts w:ascii="Times New Roman"/>
              </w:rPr>
              <w:t xml:space="preserve"> acid</w:t>
            </w:r>
          </w:p>
          <w:p w14:paraId="75AAFE59" w14:textId="77777777" w:rsidR="002938C9" w:rsidRPr="00C73849" w:rsidRDefault="002938C9" w:rsidP="002938C9">
            <w:pPr>
              <w:pStyle w:val="TableParagraph"/>
              <w:spacing w:line="246" w:lineRule="exact"/>
              <w:ind w:left="102"/>
              <w:rPr>
                <w:rFonts w:ascii="Times New Roman"/>
              </w:rPr>
            </w:pPr>
            <w:r w:rsidRPr="00C73849">
              <w:rPr>
                <w:rFonts w:ascii="Times New Roman"/>
              </w:rPr>
              <w:t>(AH110896) or pyruvic acid (AH111710) in the clinical studies GE-101-001/GE-101-003</w:t>
            </w:r>
          </w:p>
        </w:tc>
      </w:tr>
      <w:tr w:rsidR="002938C9" w:rsidRPr="00C73849" w14:paraId="3F8BB5C1"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7B55B285" w14:textId="77777777" w:rsidR="002938C9" w:rsidRPr="00C73849" w:rsidRDefault="002938C9" w:rsidP="002938C9">
            <w:r w:rsidRPr="00C73849">
              <w:t>ECG</w:t>
            </w:r>
          </w:p>
        </w:tc>
        <w:tc>
          <w:tcPr>
            <w:tcW w:w="6484" w:type="dxa"/>
            <w:tcBorders>
              <w:top w:val="single" w:sz="5" w:space="0" w:color="000000"/>
              <w:left w:val="single" w:sz="5" w:space="0" w:color="000000"/>
              <w:bottom w:val="single" w:sz="5" w:space="0" w:color="000000"/>
              <w:right w:val="single" w:sz="5" w:space="0" w:color="000000"/>
            </w:tcBorders>
          </w:tcPr>
          <w:p w14:paraId="21AE875D" w14:textId="77777777" w:rsidR="002938C9" w:rsidRPr="00C73849" w:rsidRDefault="002938C9" w:rsidP="002938C9">
            <w:pPr>
              <w:pStyle w:val="TableParagraph"/>
              <w:spacing w:line="246" w:lineRule="exact"/>
              <w:ind w:left="102"/>
              <w:rPr>
                <w:rFonts w:ascii="Times New Roman"/>
              </w:rPr>
            </w:pPr>
            <w:r w:rsidRPr="00C73849">
              <w:rPr>
                <w:rFonts w:ascii="Times New Roman"/>
              </w:rPr>
              <w:t>Electrocardiogram</w:t>
            </w:r>
          </w:p>
        </w:tc>
      </w:tr>
      <w:tr w:rsidR="002938C9" w:rsidRPr="00C73849" w14:paraId="43144F43"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6DC88514" w14:textId="12B572B6" w:rsidR="002938C9" w:rsidRPr="00C73849" w:rsidRDefault="00BF0C46" w:rsidP="002938C9">
            <w:r w:rsidRPr="00C73849">
              <w:t>E</w:t>
            </w:r>
            <w:r>
              <w:t>D</w:t>
            </w:r>
            <w:r w:rsidRPr="00C73849">
              <w:t>TA</w:t>
            </w:r>
          </w:p>
        </w:tc>
        <w:tc>
          <w:tcPr>
            <w:tcW w:w="6484" w:type="dxa"/>
            <w:tcBorders>
              <w:top w:val="single" w:sz="5" w:space="0" w:color="000000"/>
              <w:left w:val="single" w:sz="5" w:space="0" w:color="000000"/>
              <w:bottom w:val="single" w:sz="5" w:space="0" w:color="000000"/>
              <w:right w:val="single" w:sz="5" w:space="0" w:color="000000"/>
            </w:tcBorders>
          </w:tcPr>
          <w:p w14:paraId="40A6338C" w14:textId="55FE6E4F" w:rsidR="002938C9" w:rsidRPr="00C73849" w:rsidRDefault="00C273FB" w:rsidP="002938C9">
            <w:pPr>
              <w:pStyle w:val="TableParagraph"/>
              <w:spacing w:line="246" w:lineRule="exact"/>
              <w:ind w:left="102"/>
              <w:rPr>
                <w:rFonts w:ascii="Times New Roman"/>
              </w:rPr>
            </w:pPr>
            <w:r w:rsidRPr="00C73849">
              <w:rPr>
                <w:rFonts w:ascii="Times New Roman"/>
              </w:rPr>
              <w:t>Ethylenediaminetetraacetic</w:t>
            </w:r>
            <w:r w:rsidR="002938C9" w:rsidRPr="00C73849">
              <w:rPr>
                <w:rFonts w:ascii="Times New Roman"/>
              </w:rPr>
              <w:t xml:space="preserve"> acid</w:t>
            </w:r>
          </w:p>
        </w:tc>
      </w:tr>
      <w:tr w:rsidR="002938C9" w:rsidRPr="00C73849" w14:paraId="6243DC83"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7D31892A" w14:textId="77777777" w:rsidR="002938C9" w:rsidRPr="00C73849" w:rsidRDefault="002938C9" w:rsidP="002938C9">
            <w:r w:rsidRPr="00C73849">
              <w:t>EPA</w:t>
            </w:r>
          </w:p>
        </w:tc>
        <w:tc>
          <w:tcPr>
            <w:tcW w:w="6484" w:type="dxa"/>
            <w:tcBorders>
              <w:top w:val="single" w:sz="5" w:space="0" w:color="000000"/>
              <w:left w:val="single" w:sz="5" w:space="0" w:color="000000"/>
              <w:bottom w:val="single" w:sz="5" w:space="0" w:color="000000"/>
              <w:right w:val="single" w:sz="5" w:space="0" w:color="000000"/>
            </w:tcBorders>
          </w:tcPr>
          <w:p w14:paraId="70680990" w14:textId="77777777" w:rsidR="002938C9" w:rsidRPr="00C73849" w:rsidRDefault="002938C9" w:rsidP="002938C9">
            <w:pPr>
              <w:pStyle w:val="TableParagraph"/>
              <w:spacing w:line="246" w:lineRule="exact"/>
              <w:ind w:left="102"/>
              <w:rPr>
                <w:rFonts w:ascii="Times New Roman"/>
              </w:rPr>
            </w:pPr>
            <w:r w:rsidRPr="00C73849">
              <w:rPr>
                <w:rFonts w:ascii="Times New Roman"/>
              </w:rPr>
              <w:t>Electron paramagnetic agent, see AH111501 sodium salt</w:t>
            </w:r>
          </w:p>
        </w:tc>
      </w:tr>
      <w:tr w:rsidR="002938C9" w:rsidRPr="00C73849" w14:paraId="2D6E8D2E"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606F6986" w14:textId="77777777" w:rsidR="002938C9" w:rsidRPr="00C73849" w:rsidRDefault="002938C9" w:rsidP="002938C9">
            <w:proofErr w:type="spellStart"/>
            <w:r w:rsidRPr="00C73849">
              <w:t>FastCSI</w:t>
            </w:r>
            <w:proofErr w:type="spellEnd"/>
          </w:p>
        </w:tc>
        <w:tc>
          <w:tcPr>
            <w:tcW w:w="6484" w:type="dxa"/>
            <w:tcBorders>
              <w:top w:val="single" w:sz="5" w:space="0" w:color="000000"/>
              <w:left w:val="single" w:sz="5" w:space="0" w:color="000000"/>
              <w:bottom w:val="single" w:sz="5" w:space="0" w:color="000000"/>
              <w:right w:val="single" w:sz="5" w:space="0" w:color="000000"/>
            </w:tcBorders>
          </w:tcPr>
          <w:p w14:paraId="2D303503" w14:textId="77777777" w:rsidR="002938C9" w:rsidRPr="00C73849" w:rsidRDefault="002938C9" w:rsidP="007E444D">
            <w:pPr>
              <w:pStyle w:val="TableParagraph"/>
              <w:spacing w:line="246" w:lineRule="exact"/>
              <w:ind w:left="102"/>
              <w:rPr>
                <w:rFonts w:ascii="Times New Roman"/>
              </w:rPr>
            </w:pPr>
            <w:r w:rsidRPr="00C73849">
              <w:rPr>
                <w:rFonts w:ascii="Times New Roman"/>
              </w:rPr>
              <w:t>Fast chemical shift imaging</w:t>
            </w:r>
          </w:p>
        </w:tc>
      </w:tr>
      <w:tr w:rsidR="002938C9" w:rsidRPr="00C73849" w14:paraId="1A66CF39"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052AF66E" w14:textId="77777777" w:rsidR="002938C9" w:rsidRPr="00C73849" w:rsidRDefault="002938C9" w:rsidP="002938C9">
            <w:r w:rsidRPr="00C73849">
              <w:t>FI</w:t>
            </w:r>
            <w:r w:rsidR="003232DF">
              <w:t>D</w:t>
            </w:r>
            <w:r w:rsidRPr="00C73849">
              <w:t>CSI</w:t>
            </w:r>
          </w:p>
        </w:tc>
        <w:tc>
          <w:tcPr>
            <w:tcW w:w="6484" w:type="dxa"/>
            <w:tcBorders>
              <w:top w:val="single" w:sz="5" w:space="0" w:color="000000"/>
              <w:left w:val="single" w:sz="5" w:space="0" w:color="000000"/>
              <w:bottom w:val="single" w:sz="5" w:space="0" w:color="000000"/>
              <w:right w:val="single" w:sz="5" w:space="0" w:color="000000"/>
            </w:tcBorders>
          </w:tcPr>
          <w:p w14:paraId="5C3C8FD5" w14:textId="77777777" w:rsidR="002938C9" w:rsidRPr="00C73849" w:rsidRDefault="002938C9" w:rsidP="002938C9">
            <w:pPr>
              <w:pStyle w:val="TableParagraph"/>
              <w:spacing w:line="246" w:lineRule="exact"/>
              <w:ind w:left="102"/>
              <w:rPr>
                <w:rFonts w:ascii="Times New Roman"/>
              </w:rPr>
            </w:pPr>
            <w:r w:rsidRPr="00C73849">
              <w:rPr>
                <w:rFonts w:ascii="Times New Roman"/>
              </w:rPr>
              <w:t>Free induction decay chemical shift imaging</w:t>
            </w:r>
          </w:p>
        </w:tc>
      </w:tr>
      <w:tr w:rsidR="002938C9" w:rsidRPr="00C73849" w14:paraId="04C6C2F2"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7528864F" w14:textId="77777777" w:rsidR="002938C9" w:rsidRPr="00C73849" w:rsidRDefault="002938C9" w:rsidP="002938C9">
            <w:r w:rsidRPr="00C73849">
              <w:t>GLP</w:t>
            </w:r>
          </w:p>
        </w:tc>
        <w:tc>
          <w:tcPr>
            <w:tcW w:w="6484" w:type="dxa"/>
            <w:tcBorders>
              <w:top w:val="single" w:sz="5" w:space="0" w:color="000000"/>
              <w:left w:val="single" w:sz="5" w:space="0" w:color="000000"/>
              <w:bottom w:val="single" w:sz="5" w:space="0" w:color="000000"/>
              <w:right w:val="single" w:sz="5" w:space="0" w:color="000000"/>
            </w:tcBorders>
          </w:tcPr>
          <w:p w14:paraId="2EB58547" w14:textId="77777777" w:rsidR="002938C9" w:rsidRPr="00C73849" w:rsidRDefault="002938C9" w:rsidP="002938C9">
            <w:pPr>
              <w:pStyle w:val="TableParagraph"/>
              <w:spacing w:line="246" w:lineRule="exact"/>
              <w:ind w:left="102"/>
              <w:rPr>
                <w:rFonts w:ascii="Times New Roman"/>
              </w:rPr>
            </w:pPr>
            <w:r w:rsidRPr="00C73849">
              <w:rPr>
                <w:rFonts w:ascii="Times New Roman"/>
              </w:rPr>
              <w:t>Good laboratory practice</w:t>
            </w:r>
          </w:p>
        </w:tc>
      </w:tr>
      <w:tr w:rsidR="002938C9" w:rsidRPr="00C73849" w14:paraId="2482F522"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583182B2" w14:textId="77777777" w:rsidR="002938C9" w:rsidRPr="00C73849" w:rsidRDefault="002938C9" w:rsidP="002938C9">
            <w:r w:rsidRPr="00C73849">
              <w:t>GMP</w:t>
            </w:r>
          </w:p>
        </w:tc>
        <w:tc>
          <w:tcPr>
            <w:tcW w:w="6484" w:type="dxa"/>
            <w:tcBorders>
              <w:top w:val="single" w:sz="5" w:space="0" w:color="000000"/>
              <w:left w:val="single" w:sz="5" w:space="0" w:color="000000"/>
              <w:bottom w:val="single" w:sz="5" w:space="0" w:color="000000"/>
              <w:right w:val="single" w:sz="5" w:space="0" w:color="000000"/>
            </w:tcBorders>
          </w:tcPr>
          <w:p w14:paraId="7E6FDD1F" w14:textId="77777777" w:rsidR="002938C9" w:rsidRPr="00C73849" w:rsidRDefault="002938C9" w:rsidP="002938C9">
            <w:pPr>
              <w:pStyle w:val="TableParagraph"/>
              <w:spacing w:line="246" w:lineRule="exact"/>
              <w:ind w:left="102"/>
              <w:rPr>
                <w:rFonts w:ascii="Times New Roman"/>
              </w:rPr>
            </w:pPr>
            <w:r w:rsidRPr="00C73849">
              <w:rPr>
                <w:rFonts w:ascii="Times New Roman"/>
              </w:rPr>
              <w:t>Good manufacturing practice</w:t>
            </w:r>
          </w:p>
        </w:tc>
      </w:tr>
      <w:tr w:rsidR="002938C9" w:rsidRPr="00C73849" w14:paraId="1CA5BDF9"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4F02F164" w14:textId="77777777" w:rsidR="002938C9" w:rsidRPr="00C73849" w:rsidRDefault="002938C9" w:rsidP="002938C9">
            <w:r w:rsidRPr="00C73849">
              <w:t>HE</w:t>
            </w:r>
            <w:r w:rsidR="003232DF">
              <w:t>D</w:t>
            </w:r>
          </w:p>
        </w:tc>
        <w:tc>
          <w:tcPr>
            <w:tcW w:w="6484" w:type="dxa"/>
            <w:tcBorders>
              <w:top w:val="single" w:sz="5" w:space="0" w:color="000000"/>
              <w:left w:val="single" w:sz="5" w:space="0" w:color="000000"/>
              <w:bottom w:val="single" w:sz="5" w:space="0" w:color="000000"/>
              <w:right w:val="single" w:sz="5" w:space="0" w:color="000000"/>
            </w:tcBorders>
          </w:tcPr>
          <w:p w14:paraId="3EF37394" w14:textId="77777777" w:rsidR="002938C9" w:rsidRPr="00C73849" w:rsidRDefault="002938C9" w:rsidP="002938C9">
            <w:pPr>
              <w:pStyle w:val="TableParagraph"/>
              <w:spacing w:line="246" w:lineRule="exact"/>
              <w:ind w:left="102"/>
              <w:rPr>
                <w:rFonts w:ascii="Times New Roman"/>
              </w:rPr>
            </w:pPr>
            <w:r w:rsidRPr="00C73849">
              <w:rPr>
                <w:rFonts w:ascii="Times New Roman"/>
              </w:rPr>
              <w:t xml:space="preserve">Human equivalent </w:t>
            </w:r>
            <w:proofErr w:type="gramStart"/>
            <w:r w:rsidRPr="00C73849">
              <w:rPr>
                <w:rFonts w:ascii="Times New Roman"/>
              </w:rPr>
              <w:t>dose;</w:t>
            </w:r>
            <w:proofErr w:type="gramEnd"/>
            <w:r w:rsidRPr="00C73849">
              <w:rPr>
                <w:rFonts w:ascii="Times New Roman"/>
              </w:rPr>
              <w:t xml:space="preserve"> the doses (in mg/kg) used in preclinical studies may be expressed as HE0 (in mg/kg) after correction for differences in relative body surface areas. (defined by F0A Guidance document)</w:t>
            </w:r>
          </w:p>
        </w:tc>
      </w:tr>
      <w:tr w:rsidR="000F455B" w:rsidRPr="00C73849" w14:paraId="2066CF9E"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1D75BEB1" w14:textId="77777777" w:rsidR="000F455B" w:rsidRPr="00C73849" w:rsidRDefault="000F455B" w:rsidP="000F455B">
            <w:proofErr w:type="spellStart"/>
            <w:r w:rsidRPr="00C73849">
              <w:t>hERG</w:t>
            </w:r>
            <w:proofErr w:type="spellEnd"/>
          </w:p>
        </w:tc>
        <w:tc>
          <w:tcPr>
            <w:tcW w:w="6484" w:type="dxa"/>
            <w:tcBorders>
              <w:top w:val="single" w:sz="5" w:space="0" w:color="000000"/>
              <w:left w:val="single" w:sz="5" w:space="0" w:color="000000"/>
              <w:bottom w:val="single" w:sz="5" w:space="0" w:color="000000"/>
              <w:right w:val="single" w:sz="5" w:space="0" w:color="000000"/>
            </w:tcBorders>
          </w:tcPr>
          <w:p w14:paraId="49215FD8" w14:textId="77777777" w:rsidR="000F455B" w:rsidRPr="00C73849" w:rsidRDefault="000F455B" w:rsidP="000F455B">
            <w:pPr>
              <w:pStyle w:val="TableParagraph"/>
              <w:spacing w:line="246" w:lineRule="exact"/>
              <w:ind w:left="102"/>
              <w:rPr>
                <w:rFonts w:ascii="Times New Roman"/>
              </w:rPr>
            </w:pPr>
            <w:r w:rsidRPr="00C73849">
              <w:rPr>
                <w:rFonts w:ascii="Times New Roman"/>
              </w:rPr>
              <w:t xml:space="preserve">Human Ether-a-go-go Related Gene; defined by ICH as the gene encoding a pore-forming protein that is thought to represent the </w:t>
            </w:r>
            <w:r w:rsidRPr="00C73849">
              <w:rPr>
                <w:rFonts w:ascii="Times New Roman"/>
              </w:rPr>
              <w:t>α</w:t>
            </w:r>
            <w:r w:rsidRPr="00C73849">
              <w:rPr>
                <w:rFonts w:ascii="Times New Roman"/>
              </w:rPr>
              <w:t>-subunit of the human potassium channel responsible for the rapid delayed cardiac rectifier current</w:t>
            </w:r>
          </w:p>
        </w:tc>
      </w:tr>
      <w:tr w:rsidR="000F455B" w:rsidRPr="00C73849" w14:paraId="4E6A8318"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23379453" w14:textId="77777777" w:rsidR="000F455B" w:rsidRPr="00C73849" w:rsidRDefault="000F455B" w:rsidP="000F455B">
            <w:r w:rsidRPr="00C73849">
              <w:t>HPLC</w:t>
            </w:r>
          </w:p>
        </w:tc>
        <w:tc>
          <w:tcPr>
            <w:tcW w:w="6484" w:type="dxa"/>
            <w:tcBorders>
              <w:top w:val="single" w:sz="5" w:space="0" w:color="000000"/>
              <w:left w:val="single" w:sz="5" w:space="0" w:color="000000"/>
              <w:bottom w:val="single" w:sz="5" w:space="0" w:color="000000"/>
              <w:right w:val="single" w:sz="5" w:space="0" w:color="000000"/>
            </w:tcBorders>
          </w:tcPr>
          <w:p w14:paraId="26420946" w14:textId="77777777" w:rsidR="000F455B" w:rsidRPr="00C73849" w:rsidRDefault="000F455B" w:rsidP="000F455B">
            <w:pPr>
              <w:pStyle w:val="TableParagraph"/>
              <w:spacing w:line="246" w:lineRule="exact"/>
              <w:ind w:left="102"/>
              <w:rPr>
                <w:rFonts w:ascii="Times New Roman"/>
              </w:rPr>
            </w:pPr>
            <w:r w:rsidRPr="00C73849">
              <w:rPr>
                <w:rFonts w:ascii="Times New Roman"/>
              </w:rPr>
              <w:t>High-performance liquid chromatography</w:t>
            </w:r>
          </w:p>
        </w:tc>
      </w:tr>
      <w:tr w:rsidR="000F455B" w:rsidRPr="00C73849" w14:paraId="5D0DECD1"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67340031" w14:textId="77777777" w:rsidR="000F455B" w:rsidRPr="00C73849" w:rsidRDefault="000F455B" w:rsidP="000F455B">
            <w:r w:rsidRPr="00C73849">
              <w:t>ICH</w:t>
            </w:r>
          </w:p>
        </w:tc>
        <w:tc>
          <w:tcPr>
            <w:tcW w:w="6484" w:type="dxa"/>
            <w:tcBorders>
              <w:top w:val="single" w:sz="5" w:space="0" w:color="000000"/>
              <w:left w:val="single" w:sz="5" w:space="0" w:color="000000"/>
              <w:bottom w:val="single" w:sz="5" w:space="0" w:color="000000"/>
              <w:right w:val="single" w:sz="5" w:space="0" w:color="000000"/>
            </w:tcBorders>
          </w:tcPr>
          <w:p w14:paraId="50F834C9" w14:textId="77777777" w:rsidR="000F455B" w:rsidRPr="00C73849" w:rsidRDefault="000F455B" w:rsidP="000F455B">
            <w:pPr>
              <w:pStyle w:val="TableParagraph"/>
              <w:spacing w:line="246" w:lineRule="exact"/>
              <w:ind w:left="102"/>
              <w:rPr>
                <w:rFonts w:ascii="Times New Roman"/>
              </w:rPr>
            </w:pPr>
            <w:r w:rsidRPr="00C73849">
              <w:rPr>
                <w:rFonts w:ascii="Times New Roman"/>
              </w:rPr>
              <w:t>International Conference on Harmonization</w:t>
            </w:r>
          </w:p>
        </w:tc>
      </w:tr>
      <w:tr w:rsidR="000F455B" w:rsidRPr="00C73849" w14:paraId="13D1273D"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7A42FA0B" w14:textId="77777777" w:rsidR="000F455B" w:rsidRPr="00C73849" w:rsidRDefault="000F455B" w:rsidP="000F455B">
            <w:r w:rsidRPr="00C73849">
              <w:t>id</w:t>
            </w:r>
          </w:p>
        </w:tc>
        <w:tc>
          <w:tcPr>
            <w:tcW w:w="6484" w:type="dxa"/>
            <w:tcBorders>
              <w:top w:val="single" w:sz="5" w:space="0" w:color="000000"/>
              <w:left w:val="single" w:sz="5" w:space="0" w:color="000000"/>
              <w:bottom w:val="single" w:sz="5" w:space="0" w:color="000000"/>
              <w:right w:val="single" w:sz="5" w:space="0" w:color="000000"/>
            </w:tcBorders>
          </w:tcPr>
          <w:p w14:paraId="767F7C51" w14:textId="77777777" w:rsidR="000F455B" w:rsidRPr="00C73849" w:rsidRDefault="000F455B" w:rsidP="000F455B">
            <w:pPr>
              <w:pStyle w:val="TableParagraph"/>
              <w:spacing w:line="246" w:lineRule="exact"/>
              <w:ind w:left="102"/>
              <w:rPr>
                <w:rFonts w:ascii="Times New Roman"/>
              </w:rPr>
            </w:pPr>
            <w:r w:rsidRPr="00C73849">
              <w:rPr>
                <w:rFonts w:ascii="Times New Roman"/>
              </w:rPr>
              <w:t>Injected dose</w:t>
            </w:r>
          </w:p>
        </w:tc>
      </w:tr>
      <w:tr w:rsidR="000F455B" w:rsidRPr="00C73849" w14:paraId="710F44EC"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59DB13B8" w14:textId="77777777" w:rsidR="000F455B" w:rsidRPr="00C73849" w:rsidRDefault="000F455B" w:rsidP="000F455B">
            <w:proofErr w:type="spellStart"/>
            <w:r w:rsidRPr="00C73849">
              <w:t>im</w:t>
            </w:r>
            <w:proofErr w:type="spellEnd"/>
          </w:p>
        </w:tc>
        <w:tc>
          <w:tcPr>
            <w:tcW w:w="6484" w:type="dxa"/>
            <w:tcBorders>
              <w:top w:val="single" w:sz="5" w:space="0" w:color="000000"/>
              <w:left w:val="single" w:sz="5" w:space="0" w:color="000000"/>
              <w:bottom w:val="single" w:sz="5" w:space="0" w:color="000000"/>
              <w:right w:val="single" w:sz="5" w:space="0" w:color="000000"/>
            </w:tcBorders>
          </w:tcPr>
          <w:p w14:paraId="44905B67" w14:textId="77777777" w:rsidR="000F455B" w:rsidRPr="00C73849" w:rsidRDefault="000F455B" w:rsidP="000F455B">
            <w:pPr>
              <w:pStyle w:val="TableParagraph"/>
              <w:spacing w:line="246" w:lineRule="exact"/>
              <w:ind w:left="102"/>
              <w:rPr>
                <w:rFonts w:ascii="Times New Roman"/>
              </w:rPr>
            </w:pPr>
            <w:r w:rsidRPr="00C73849">
              <w:rPr>
                <w:rFonts w:ascii="Times New Roman"/>
              </w:rPr>
              <w:t>Intramuscular</w:t>
            </w:r>
          </w:p>
        </w:tc>
      </w:tr>
      <w:tr w:rsidR="000F455B" w:rsidRPr="00C73849" w14:paraId="0BEAB0A7"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71D40F03" w14:textId="77777777" w:rsidR="000F455B" w:rsidRPr="00C73849" w:rsidRDefault="000F455B" w:rsidP="000F455B">
            <w:proofErr w:type="spellStart"/>
            <w:r w:rsidRPr="00C73849">
              <w:t>ip</w:t>
            </w:r>
            <w:proofErr w:type="spellEnd"/>
          </w:p>
        </w:tc>
        <w:tc>
          <w:tcPr>
            <w:tcW w:w="6484" w:type="dxa"/>
            <w:tcBorders>
              <w:top w:val="single" w:sz="5" w:space="0" w:color="000000"/>
              <w:left w:val="single" w:sz="5" w:space="0" w:color="000000"/>
              <w:bottom w:val="single" w:sz="5" w:space="0" w:color="000000"/>
              <w:right w:val="single" w:sz="5" w:space="0" w:color="000000"/>
            </w:tcBorders>
          </w:tcPr>
          <w:p w14:paraId="6F50DAE7" w14:textId="77777777" w:rsidR="000F455B" w:rsidRPr="00C73849" w:rsidRDefault="000F455B" w:rsidP="000F455B">
            <w:pPr>
              <w:pStyle w:val="TableParagraph"/>
              <w:spacing w:line="246" w:lineRule="exact"/>
              <w:ind w:left="102"/>
              <w:rPr>
                <w:rFonts w:ascii="Times New Roman"/>
              </w:rPr>
            </w:pPr>
            <w:r w:rsidRPr="00C73849">
              <w:rPr>
                <w:rFonts w:ascii="Times New Roman"/>
              </w:rPr>
              <w:t>Intraperitoneal</w:t>
            </w:r>
          </w:p>
        </w:tc>
      </w:tr>
      <w:tr w:rsidR="000F455B" w:rsidRPr="00C73849" w14:paraId="06FB58F0"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4587BD53" w14:textId="0203B431" w:rsidR="000F455B" w:rsidRPr="00C73849" w:rsidRDefault="00D52AAE" w:rsidP="000F455B">
            <w:r w:rsidRPr="00C73849">
              <w:t>I</w:t>
            </w:r>
            <w:r w:rsidR="000F455B" w:rsidRPr="00C73849">
              <w:t>v</w:t>
            </w:r>
          </w:p>
        </w:tc>
        <w:tc>
          <w:tcPr>
            <w:tcW w:w="6484" w:type="dxa"/>
            <w:tcBorders>
              <w:top w:val="single" w:sz="5" w:space="0" w:color="000000"/>
              <w:left w:val="single" w:sz="5" w:space="0" w:color="000000"/>
              <w:bottom w:val="single" w:sz="5" w:space="0" w:color="000000"/>
              <w:right w:val="single" w:sz="5" w:space="0" w:color="000000"/>
            </w:tcBorders>
          </w:tcPr>
          <w:p w14:paraId="0376FE03" w14:textId="77777777" w:rsidR="000F455B" w:rsidRPr="00C73849" w:rsidRDefault="000F455B" w:rsidP="000F455B">
            <w:pPr>
              <w:pStyle w:val="TableParagraph"/>
              <w:spacing w:line="246" w:lineRule="exact"/>
              <w:ind w:left="102"/>
              <w:rPr>
                <w:rFonts w:ascii="Times New Roman"/>
              </w:rPr>
            </w:pPr>
            <w:r w:rsidRPr="00C73849">
              <w:rPr>
                <w:rFonts w:ascii="Times New Roman"/>
              </w:rPr>
              <w:t>Intravenous</w:t>
            </w:r>
          </w:p>
        </w:tc>
      </w:tr>
      <w:tr w:rsidR="000F455B" w:rsidRPr="00C73849" w14:paraId="4D508D62"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738FAA3A" w14:textId="77777777" w:rsidR="000F455B" w:rsidRPr="00C73849" w:rsidRDefault="000F455B" w:rsidP="000F455B">
            <w:r w:rsidRPr="00C73849">
              <w:t>K</w:t>
            </w:r>
          </w:p>
        </w:tc>
        <w:tc>
          <w:tcPr>
            <w:tcW w:w="6484" w:type="dxa"/>
            <w:tcBorders>
              <w:top w:val="single" w:sz="5" w:space="0" w:color="000000"/>
              <w:left w:val="single" w:sz="5" w:space="0" w:color="000000"/>
              <w:bottom w:val="single" w:sz="5" w:space="0" w:color="000000"/>
              <w:right w:val="single" w:sz="5" w:space="0" w:color="000000"/>
            </w:tcBorders>
          </w:tcPr>
          <w:p w14:paraId="6982785E" w14:textId="77777777" w:rsidR="000F455B" w:rsidRPr="00C73849" w:rsidRDefault="000F455B" w:rsidP="000F455B">
            <w:pPr>
              <w:pStyle w:val="TableParagraph"/>
              <w:spacing w:line="246" w:lineRule="exact"/>
              <w:ind w:left="102"/>
              <w:rPr>
                <w:rFonts w:ascii="Times New Roman"/>
              </w:rPr>
            </w:pPr>
            <w:r w:rsidRPr="00C73849">
              <w:rPr>
                <w:rFonts w:ascii="Times New Roman"/>
              </w:rPr>
              <w:t>(degrees) Kelvin</w:t>
            </w:r>
          </w:p>
        </w:tc>
      </w:tr>
      <w:tr w:rsidR="000F455B" w:rsidRPr="00C73849" w14:paraId="21FB1A25"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264CBD46" w14:textId="77777777" w:rsidR="000F455B" w:rsidRPr="00C73849" w:rsidRDefault="000F455B" w:rsidP="000F455B">
            <w:r w:rsidRPr="00C73849">
              <w:t>LAF</w:t>
            </w:r>
          </w:p>
        </w:tc>
        <w:tc>
          <w:tcPr>
            <w:tcW w:w="6484" w:type="dxa"/>
            <w:tcBorders>
              <w:top w:val="single" w:sz="5" w:space="0" w:color="000000"/>
              <w:left w:val="single" w:sz="5" w:space="0" w:color="000000"/>
              <w:bottom w:val="single" w:sz="5" w:space="0" w:color="000000"/>
              <w:right w:val="single" w:sz="5" w:space="0" w:color="000000"/>
            </w:tcBorders>
          </w:tcPr>
          <w:p w14:paraId="6905E3A5" w14:textId="77777777" w:rsidR="000F455B" w:rsidRPr="00C73849" w:rsidRDefault="000F455B" w:rsidP="000F455B">
            <w:pPr>
              <w:pStyle w:val="TableParagraph"/>
              <w:spacing w:line="246" w:lineRule="exact"/>
              <w:ind w:left="102"/>
              <w:rPr>
                <w:rFonts w:ascii="Times New Roman"/>
              </w:rPr>
            </w:pPr>
            <w:r w:rsidRPr="00C73849">
              <w:rPr>
                <w:rFonts w:ascii="Times New Roman"/>
              </w:rPr>
              <w:t>Laminar air flow</w:t>
            </w:r>
          </w:p>
        </w:tc>
      </w:tr>
      <w:tr w:rsidR="000F455B" w:rsidRPr="00C73849" w14:paraId="0774EB14"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3926B1D1" w14:textId="77777777" w:rsidR="000F455B" w:rsidRPr="00C73849" w:rsidRDefault="000F455B" w:rsidP="000F455B">
            <w:r w:rsidRPr="00C73849">
              <w:t>LC-MS</w:t>
            </w:r>
          </w:p>
        </w:tc>
        <w:tc>
          <w:tcPr>
            <w:tcW w:w="6484" w:type="dxa"/>
            <w:tcBorders>
              <w:top w:val="single" w:sz="5" w:space="0" w:color="000000"/>
              <w:left w:val="single" w:sz="5" w:space="0" w:color="000000"/>
              <w:bottom w:val="single" w:sz="5" w:space="0" w:color="000000"/>
              <w:right w:val="single" w:sz="5" w:space="0" w:color="000000"/>
            </w:tcBorders>
          </w:tcPr>
          <w:p w14:paraId="1C80777E" w14:textId="77777777" w:rsidR="000F455B" w:rsidRPr="00C73849" w:rsidRDefault="000F455B" w:rsidP="000F455B">
            <w:pPr>
              <w:pStyle w:val="TableParagraph"/>
              <w:spacing w:line="246" w:lineRule="exact"/>
              <w:ind w:left="102"/>
              <w:rPr>
                <w:rFonts w:ascii="Times New Roman"/>
              </w:rPr>
            </w:pPr>
            <w:r w:rsidRPr="00C73849">
              <w:rPr>
                <w:rFonts w:ascii="Times New Roman"/>
              </w:rPr>
              <w:t>Liquid chromatography mass spectrometry</w:t>
            </w:r>
          </w:p>
        </w:tc>
      </w:tr>
      <w:tr w:rsidR="000F455B" w:rsidRPr="00C73849" w14:paraId="2369410D"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2B6B0AA0" w14:textId="77777777" w:rsidR="000F455B" w:rsidRPr="00C73849" w:rsidRDefault="000F455B" w:rsidP="000F455B">
            <w:r w:rsidRPr="00C73849">
              <w:t>Mixture of pyruvic acid and</w:t>
            </w:r>
          </w:p>
          <w:p w14:paraId="448363FB" w14:textId="77777777" w:rsidR="000F455B" w:rsidRPr="00C73849" w:rsidRDefault="000F455B" w:rsidP="000F455B">
            <w:r w:rsidRPr="00C73849">
              <w:t>0.2 mM AH111501 sodium salt</w:t>
            </w:r>
          </w:p>
        </w:tc>
        <w:tc>
          <w:tcPr>
            <w:tcW w:w="6484" w:type="dxa"/>
            <w:tcBorders>
              <w:top w:val="single" w:sz="5" w:space="0" w:color="000000"/>
              <w:left w:val="single" w:sz="5" w:space="0" w:color="000000"/>
              <w:bottom w:val="single" w:sz="5" w:space="0" w:color="000000"/>
              <w:right w:val="single" w:sz="5" w:space="0" w:color="000000"/>
            </w:tcBorders>
          </w:tcPr>
          <w:p w14:paraId="7F9F7570" w14:textId="77777777" w:rsidR="000F455B" w:rsidRPr="00C73849" w:rsidRDefault="003232DF" w:rsidP="000F455B">
            <w:pPr>
              <w:pStyle w:val="TableParagraph"/>
              <w:spacing w:line="246" w:lineRule="exact"/>
              <w:ind w:left="102"/>
              <w:rPr>
                <w:rFonts w:ascii="Times New Roman"/>
              </w:rPr>
            </w:pPr>
            <w:r>
              <w:rPr>
                <w:rFonts w:ascii="Times New Roman"/>
              </w:rPr>
              <w:t>D</w:t>
            </w:r>
            <w:r w:rsidR="000F455B" w:rsidRPr="00C73849">
              <w:rPr>
                <w:rFonts w:ascii="Times New Roman"/>
              </w:rPr>
              <w:t>rug product kit component in clinical studies GE-101- 001/GE-101-003</w:t>
            </w:r>
          </w:p>
        </w:tc>
      </w:tr>
      <w:tr w:rsidR="000F455B" w:rsidRPr="00C73849" w14:paraId="69AD687F"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17F150D7" w14:textId="6D0F07B0" w:rsidR="000F455B" w:rsidRPr="00C73849" w:rsidRDefault="000F455B" w:rsidP="000F455B">
            <w:r w:rsidRPr="00C73849">
              <w:t>Mixture of [1-13</w:t>
            </w:r>
            <w:proofErr w:type="gramStart"/>
            <w:r w:rsidRPr="00C73849">
              <w:t>C]pyruvic</w:t>
            </w:r>
            <w:proofErr w:type="gramEnd"/>
            <w:r w:rsidR="00BF0C46">
              <w:t xml:space="preserve"> acid</w:t>
            </w:r>
          </w:p>
          <w:p w14:paraId="1FB6F5AA" w14:textId="77777777" w:rsidR="000F455B" w:rsidRPr="00C73849" w:rsidRDefault="000F455B" w:rsidP="000F455B">
            <w:r w:rsidRPr="00C73849">
              <w:t>acid and 15 mM AH111501 sodium salt</w:t>
            </w:r>
          </w:p>
        </w:tc>
        <w:tc>
          <w:tcPr>
            <w:tcW w:w="6484" w:type="dxa"/>
            <w:tcBorders>
              <w:top w:val="single" w:sz="5" w:space="0" w:color="000000"/>
              <w:left w:val="single" w:sz="5" w:space="0" w:color="000000"/>
              <w:bottom w:val="single" w:sz="5" w:space="0" w:color="000000"/>
              <w:right w:val="single" w:sz="5" w:space="0" w:color="000000"/>
            </w:tcBorders>
          </w:tcPr>
          <w:p w14:paraId="2505D24E" w14:textId="77777777" w:rsidR="000F455B" w:rsidRDefault="003232DF" w:rsidP="000F455B">
            <w:pPr>
              <w:pStyle w:val="TableParagraph"/>
              <w:spacing w:line="246" w:lineRule="exact"/>
              <w:ind w:left="102"/>
              <w:rPr>
                <w:rFonts w:ascii="Times New Roman"/>
              </w:rPr>
            </w:pPr>
            <w:r>
              <w:rPr>
                <w:rFonts w:ascii="Times New Roman"/>
              </w:rPr>
              <w:t>D</w:t>
            </w:r>
            <w:r w:rsidR="000F455B" w:rsidRPr="00C73849">
              <w:rPr>
                <w:rFonts w:ascii="Times New Roman"/>
              </w:rPr>
              <w:t>rug product kit component in clinical study GE-101-002</w:t>
            </w:r>
          </w:p>
          <w:p w14:paraId="20DC6DA1" w14:textId="77777777" w:rsidR="00D52AAE" w:rsidRPr="00D52AAE" w:rsidRDefault="00D52AAE" w:rsidP="00D52AAE"/>
          <w:p w14:paraId="4CEA8055" w14:textId="77777777" w:rsidR="00D52AAE" w:rsidRPr="00D52AAE" w:rsidRDefault="00D52AAE" w:rsidP="00D52AAE"/>
          <w:p w14:paraId="48FB3F04" w14:textId="77777777" w:rsidR="00D52AAE" w:rsidRPr="00D52AAE" w:rsidRDefault="00D52AAE" w:rsidP="00D52AAE">
            <w:pPr>
              <w:jc w:val="center"/>
            </w:pPr>
          </w:p>
        </w:tc>
      </w:tr>
      <w:tr w:rsidR="000F455B" w:rsidRPr="00C73849" w14:paraId="173BA457"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3C8ECD7E" w14:textId="77777777" w:rsidR="000F455B" w:rsidRPr="00C73849" w:rsidRDefault="000F455B" w:rsidP="000F455B">
            <w:r w:rsidRPr="00C73849">
              <w:lastRenderedPageBreak/>
              <w:t>M</w:t>
            </w:r>
          </w:p>
        </w:tc>
        <w:tc>
          <w:tcPr>
            <w:tcW w:w="6484" w:type="dxa"/>
            <w:tcBorders>
              <w:top w:val="single" w:sz="5" w:space="0" w:color="000000"/>
              <w:left w:val="single" w:sz="5" w:space="0" w:color="000000"/>
              <w:bottom w:val="single" w:sz="5" w:space="0" w:color="000000"/>
              <w:right w:val="single" w:sz="5" w:space="0" w:color="000000"/>
            </w:tcBorders>
          </w:tcPr>
          <w:p w14:paraId="4D6E3031" w14:textId="77777777" w:rsidR="000F455B" w:rsidRPr="00C73849" w:rsidRDefault="000F455B" w:rsidP="000F455B">
            <w:pPr>
              <w:pStyle w:val="TableParagraph"/>
              <w:spacing w:line="246" w:lineRule="exact"/>
              <w:ind w:left="102"/>
              <w:rPr>
                <w:rFonts w:ascii="Times New Roman"/>
              </w:rPr>
            </w:pPr>
            <w:r w:rsidRPr="00C73849">
              <w:rPr>
                <w:rFonts w:ascii="Times New Roman"/>
              </w:rPr>
              <w:t>Molar</w:t>
            </w:r>
          </w:p>
        </w:tc>
      </w:tr>
      <w:tr w:rsidR="000F455B" w:rsidRPr="00C73849" w14:paraId="4186CB1A"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661C5D98" w14:textId="77777777" w:rsidR="000F455B" w:rsidRPr="00C73849" w:rsidRDefault="000F455B" w:rsidP="000F455B">
            <w:r w:rsidRPr="00C73849">
              <w:t>MLA</w:t>
            </w:r>
          </w:p>
        </w:tc>
        <w:tc>
          <w:tcPr>
            <w:tcW w:w="6484" w:type="dxa"/>
            <w:tcBorders>
              <w:top w:val="single" w:sz="5" w:space="0" w:color="000000"/>
              <w:left w:val="single" w:sz="5" w:space="0" w:color="000000"/>
              <w:bottom w:val="single" w:sz="5" w:space="0" w:color="000000"/>
              <w:right w:val="single" w:sz="5" w:space="0" w:color="000000"/>
            </w:tcBorders>
          </w:tcPr>
          <w:p w14:paraId="693F6EB3" w14:textId="77777777" w:rsidR="000F455B" w:rsidRPr="00C73849" w:rsidRDefault="000F455B" w:rsidP="000F455B">
            <w:pPr>
              <w:pStyle w:val="TableParagraph"/>
              <w:spacing w:line="246" w:lineRule="exact"/>
              <w:ind w:left="102"/>
              <w:rPr>
                <w:rFonts w:ascii="Times New Roman"/>
              </w:rPr>
            </w:pPr>
            <w:r w:rsidRPr="00C73849">
              <w:rPr>
                <w:rFonts w:ascii="Times New Roman"/>
              </w:rPr>
              <w:t>Mouse Lymphoma Assay</w:t>
            </w:r>
          </w:p>
        </w:tc>
      </w:tr>
      <w:tr w:rsidR="000F455B" w:rsidRPr="00C73849" w14:paraId="5D1A16F8"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6B2A8ADF" w14:textId="77777777" w:rsidR="000F455B" w:rsidRPr="00C73849" w:rsidRDefault="000F455B" w:rsidP="000F455B">
            <w:r w:rsidRPr="00C73849">
              <w:t>mM</w:t>
            </w:r>
          </w:p>
        </w:tc>
        <w:tc>
          <w:tcPr>
            <w:tcW w:w="6484" w:type="dxa"/>
            <w:tcBorders>
              <w:top w:val="single" w:sz="5" w:space="0" w:color="000000"/>
              <w:left w:val="single" w:sz="5" w:space="0" w:color="000000"/>
              <w:bottom w:val="single" w:sz="5" w:space="0" w:color="000000"/>
              <w:right w:val="single" w:sz="5" w:space="0" w:color="000000"/>
            </w:tcBorders>
          </w:tcPr>
          <w:p w14:paraId="5A1E7277" w14:textId="77777777" w:rsidR="000F455B" w:rsidRPr="00C73849" w:rsidRDefault="000F455B" w:rsidP="000F455B">
            <w:pPr>
              <w:pStyle w:val="TableParagraph"/>
              <w:spacing w:line="246" w:lineRule="exact"/>
              <w:ind w:left="102"/>
              <w:rPr>
                <w:rFonts w:ascii="Times New Roman"/>
              </w:rPr>
            </w:pPr>
            <w:r w:rsidRPr="00C73849">
              <w:rPr>
                <w:rFonts w:ascii="Times New Roman"/>
              </w:rPr>
              <w:t>Millimolar</w:t>
            </w:r>
          </w:p>
        </w:tc>
      </w:tr>
      <w:tr w:rsidR="000F455B" w:rsidRPr="00C73849" w14:paraId="30C30347"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4CF01CD5" w14:textId="1CDAB467" w:rsidR="000F455B" w:rsidRPr="00C73849" w:rsidRDefault="00BF0C46" w:rsidP="000F455B">
            <w:r>
              <w:rPr>
                <w:rFonts w:cstheme="minorHAnsi"/>
              </w:rPr>
              <w:t>µ</w:t>
            </w:r>
            <w:r w:rsidR="000F455B" w:rsidRPr="00C73849">
              <w:t>M</w:t>
            </w:r>
          </w:p>
        </w:tc>
        <w:tc>
          <w:tcPr>
            <w:tcW w:w="6484" w:type="dxa"/>
            <w:tcBorders>
              <w:top w:val="single" w:sz="5" w:space="0" w:color="000000"/>
              <w:left w:val="single" w:sz="5" w:space="0" w:color="000000"/>
              <w:bottom w:val="single" w:sz="5" w:space="0" w:color="000000"/>
              <w:right w:val="single" w:sz="5" w:space="0" w:color="000000"/>
            </w:tcBorders>
          </w:tcPr>
          <w:p w14:paraId="328EF112" w14:textId="77777777" w:rsidR="000F455B" w:rsidRPr="00C73849" w:rsidRDefault="000F455B" w:rsidP="000F455B">
            <w:pPr>
              <w:pStyle w:val="TableParagraph"/>
              <w:spacing w:line="246" w:lineRule="exact"/>
              <w:ind w:left="102"/>
              <w:rPr>
                <w:rFonts w:ascii="Times New Roman"/>
              </w:rPr>
            </w:pPr>
            <w:r w:rsidRPr="00C73849">
              <w:rPr>
                <w:rFonts w:ascii="Times New Roman"/>
              </w:rPr>
              <w:t>Micromolar</w:t>
            </w:r>
          </w:p>
        </w:tc>
      </w:tr>
      <w:tr w:rsidR="000F455B" w:rsidRPr="00C73849" w14:paraId="5FD316AD"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44617610" w14:textId="77777777" w:rsidR="000F455B" w:rsidRPr="00C73849" w:rsidRDefault="000F455B" w:rsidP="000F455B">
            <w:r w:rsidRPr="00C73849">
              <w:t>MR</w:t>
            </w:r>
          </w:p>
        </w:tc>
        <w:tc>
          <w:tcPr>
            <w:tcW w:w="6484" w:type="dxa"/>
            <w:tcBorders>
              <w:top w:val="single" w:sz="5" w:space="0" w:color="000000"/>
              <w:left w:val="single" w:sz="5" w:space="0" w:color="000000"/>
              <w:bottom w:val="single" w:sz="5" w:space="0" w:color="000000"/>
              <w:right w:val="single" w:sz="5" w:space="0" w:color="000000"/>
            </w:tcBorders>
          </w:tcPr>
          <w:p w14:paraId="69FB1149" w14:textId="77777777" w:rsidR="000F455B" w:rsidRPr="00C73849" w:rsidRDefault="000F455B" w:rsidP="000F455B">
            <w:pPr>
              <w:pStyle w:val="TableParagraph"/>
              <w:spacing w:line="246" w:lineRule="exact"/>
              <w:ind w:left="102"/>
              <w:rPr>
                <w:rFonts w:ascii="Times New Roman"/>
              </w:rPr>
            </w:pPr>
            <w:r w:rsidRPr="00C73849">
              <w:rPr>
                <w:rFonts w:ascii="Times New Roman"/>
              </w:rPr>
              <w:t>Magnetic resonance</w:t>
            </w:r>
          </w:p>
        </w:tc>
      </w:tr>
      <w:tr w:rsidR="000F455B" w:rsidRPr="00C73849" w14:paraId="19FAE528"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4019E009" w14:textId="77777777" w:rsidR="000F455B" w:rsidRPr="00C73849" w:rsidRDefault="000F455B" w:rsidP="000F455B">
            <w:r w:rsidRPr="00C73849">
              <w:t>MRI</w:t>
            </w:r>
          </w:p>
        </w:tc>
        <w:tc>
          <w:tcPr>
            <w:tcW w:w="6484" w:type="dxa"/>
            <w:tcBorders>
              <w:top w:val="single" w:sz="5" w:space="0" w:color="000000"/>
              <w:left w:val="single" w:sz="5" w:space="0" w:color="000000"/>
              <w:bottom w:val="single" w:sz="5" w:space="0" w:color="000000"/>
              <w:right w:val="single" w:sz="5" w:space="0" w:color="000000"/>
            </w:tcBorders>
          </w:tcPr>
          <w:p w14:paraId="3BB49668" w14:textId="77777777" w:rsidR="000F455B" w:rsidRPr="00C73849" w:rsidRDefault="000F455B" w:rsidP="000F455B">
            <w:pPr>
              <w:pStyle w:val="TableParagraph"/>
              <w:spacing w:line="246" w:lineRule="exact"/>
              <w:ind w:left="102"/>
              <w:rPr>
                <w:rFonts w:ascii="Times New Roman"/>
              </w:rPr>
            </w:pPr>
            <w:r w:rsidRPr="00C73849">
              <w:rPr>
                <w:rFonts w:ascii="Times New Roman"/>
              </w:rPr>
              <w:t>Magnetic resonance imaging</w:t>
            </w:r>
          </w:p>
        </w:tc>
      </w:tr>
      <w:tr w:rsidR="000F455B" w:rsidRPr="00C73849" w14:paraId="3B15B0CB"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4935ED0C" w14:textId="77777777" w:rsidR="000F455B" w:rsidRPr="00C73849" w:rsidRDefault="000F455B" w:rsidP="000F455B">
            <w:r w:rsidRPr="00C73849">
              <w:t>MS</w:t>
            </w:r>
          </w:p>
        </w:tc>
        <w:tc>
          <w:tcPr>
            <w:tcW w:w="6484" w:type="dxa"/>
            <w:tcBorders>
              <w:top w:val="single" w:sz="5" w:space="0" w:color="000000"/>
              <w:left w:val="single" w:sz="5" w:space="0" w:color="000000"/>
              <w:bottom w:val="single" w:sz="5" w:space="0" w:color="000000"/>
              <w:right w:val="single" w:sz="5" w:space="0" w:color="000000"/>
            </w:tcBorders>
          </w:tcPr>
          <w:p w14:paraId="34D3C412" w14:textId="77777777" w:rsidR="000F455B" w:rsidRPr="00C73849" w:rsidRDefault="000F455B" w:rsidP="000F455B">
            <w:pPr>
              <w:pStyle w:val="TableParagraph"/>
              <w:spacing w:line="246" w:lineRule="exact"/>
              <w:ind w:left="102"/>
              <w:rPr>
                <w:rFonts w:ascii="Times New Roman"/>
              </w:rPr>
            </w:pPr>
            <w:r w:rsidRPr="00C73849">
              <w:rPr>
                <w:rFonts w:ascii="Times New Roman"/>
              </w:rPr>
              <w:t>Mass spectrometry</w:t>
            </w:r>
          </w:p>
        </w:tc>
      </w:tr>
      <w:tr w:rsidR="000F455B" w:rsidRPr="00C73849" w14:paraId="69D79B51"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4A2C35CF" w14:textId="77777777" w:rsidR="000F455B" w:rsidRPr="00C73849" w:rsidRDefault="000F455B" w:rsidP="000F455B">
            <w:r w:rsidRPr="00C73849">
              <w:t>Na2E</w:t>
            </w:r>
            <w:r w:rsidR="003232DF">
              <w:t>D</w:t>
            </w:r>
            <w:r w:rsidRPr="00C73849">
              <w:t>TA</w:t>
            </w:r>
          </w:p>
        </w:tc>
        <w:tc>
          <w:tcPr>
            <w:tcW w:w="6484" w:type="dxa"/>
            <w:tcBorders>
              <w:top w:val="single" w:sz="5" w:space="0" w:color="000000"/>
              <w:left w:val="single" w:sz="5" w:space="0" w:color="000000"/>
              <w:bottom w:val="single" w:sz="5" w:space="0" w:color="000000"/>
              <w:right w:val="single" w:sz="5" w:space="0" w:color="000000"/>
            </w:tcBorders>
          </w:tcPr>
          <w:p w14:paraId="1D192CC7" w14:textId="77777777" w:rsidR="000F455B" w:rsidRPr="00C73849" w:rsidRDefault="003232DF" w:rsidP="000F455B">
            <w:pPr>
              <w:pStyle w:val="TableParagraph"/>
              <w:spacing w:line="246" w:lineRule="exact"/>
              <w:ind w:left="102"/>
              <w:rPr>
                <w:rFonts w:ascii="Times New Roman"/>
              </w:rPr>
            </w:pPr>
            <w:r>
              <w:rPr>
                <w:rFonts w:ascii="Times New Roman"/>
              </w:rPr>
              <w:t>D</w:t>
            </w:r>
            <w:r w:rsidR="000F455B" w:rsidRPr="00C73849">
              <w:rPr>
                <w:rFonts w:ascii="Times New Roman"/>
              </w:rPr>
              <w:t>isodium ethylenediaminetetraacetate</w:t>
            </w:r>
          </w:p>
        </w:tc>
      </w:tr>
      <w:tr w:rsidR="000F455B" w:rsidRPr="00C73849" w14:paraId="5ACA8197"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0F6E6824" w14:textId="77777777" w:rsidR="000F455B" w:rsidRPr="00C73849" w:rsidRDefault="000F455B" w:rsidP="000F455B">
            <w:r w:rsidRPr="00C73849">
              <w:t>NaOH</w:t>
            </w:r>
          </w:p>
        </w:tc>
        <w:tc>
          <w:tcPr>
            <w:tcW w:w="6484" w:type="dxa"/>
            <w:tcBorders>
              <w:top w:val="single" w:sz="5" w:space="0" w:color="000000"/>
              <w:left w:val="single" w:sz="5" w:space="0" w:color="000000"/>
              <w:bottom w:val="single" w:sz="5" w:space="0" w:color="000000"/>
              <w:right w:val="single" w:sz="5" w:space="0" w:color="000000"/>
            </w:tcBorders>
          </w:tcPr>
          <w:p w14:paraId="199DEE45" w14:textId="77777777" w:rsidR="000F455B" w:rsidRPr="00C73849" w:rsidRDefault="000F455B" w:rsidP="000F455B">
            <w:pPr>
              <w:pStyle w:val="TableParagraph"/>
              <w:spacing w:line="246" w:lineRule="exact"/>
              <w:ind w:left="102"/>
              <w:rPr>
                <w:rFonts w:ascii="Times New Roman"/>
              </w:rPr>
            </w:pPr>
            <w:r w:rsidRPr="00C73849">
              <w:rPr>
                <w:rFonts w:ascii="Times New Roman"/>
              </w:rPr>
              <w:t>Sodium hydroxide</w:t>
            </w:r>
          </w:p>
        </w:tc>
      </w:tr>
      <w:tr w:rsidR="000F455B" w:rsidRPr="00C73849" w14:paraId="754BB927"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25DA645C" w14:textId="77777777" w:rsidR="000F455B" w:rsidRPr="00C73849" w:rsidRDefault="000F455B" w:rsidP="000F455B">
            <w:r w:rsidRPr="00C73849">
              <w:t>Naturally abundant pyruvic acid</w:t>
            </w:r>
          </w:p>
        </w:tc>
        <w:tc>
          <w:tcPr>
            <w:tcW w:w="6484" w:type="dxa"/>
            <w:tcBorders>
              <w:top w:val="single" w:sz="5" w:space="0" w:color="000000"/>
              <w:left w:val="single" w:sz="5" w:space="0" w:color="000000"/>
              <w:bottom w:val="single" w:sz="5" w:space="0" w:color="000000"/>
              <w:right w:val="single" w:sz="5" w:space="0" w:color="000000"/>
            </w:tcBorders>
          </w:tcPr>
          <w:p w14:paraId="4648E37B" w14:textId="77777777" w:rsidR="000F455B" w:rsidRPr="00C73849" w:rsidRDefault="000F455B" w:rsidP="000F455B">
            <w:pPr>
              <w:pStyle w:val="TableParagraph"/>
              <w:spacing w:line="246" w:lineRule="exact"/>
              <w:ind w:left="102"/>
              <w:rPr>
                <w:rFonts w:ascii="Times New Roman"/>
              </w:rPr>
            </w:pPr>
            <w:r w:rsidRPr="00C73849">
              <w:rPr>
                <w:rFonts w:ascii="Times New Roman"/>
              </w:rPr>
              <w:t>Pyruvic acid, see AH111710</w:t>
            </w:r>
          </w:p>
        </w:tc>
      </w:tr>
      <w:tr w:rsidR="000F455B" w:rsidRPr="00C73849" w14:paraId="5966E7ED"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750AF457" w14:textId="0D4795E2" w:rsidR="000F455B" w:rsidRPr="00C73849" w:rsidRDefault="000F455B" w:rsidP="000F455B">
            <w:r w:rsidRPr="00C73849">
              <w:t>Naturally abundant</w:t>
            </w:r>
          </w:p>
        </w:tc>
        <w:tc>
          <w:tcPr>
            <w:tcW w:w="6484" w:type="dxa"/>
            <w:tcBorders>
              <w:top w:val="single" w:sz="5" w:space="0" w:color="000000"/>
              <w:left w:val="single" w:sz="5" w:space="0" w:color="000000"/>
              <w:bottom w:val="single" w:sz="5" w:space="0" w:color="000000"/>
              <w:right w:val="single" w:sz="5" w:space="0" w:color="000000"/>
            </w:tcBorders>
          </w:tcPr>
          <w:p w14:paraId="404CB274" w14:textId="77777777" w:rsidR="000F455B" w:rsidRPr="00C73849" w:rsidRDefault="000F455B" w:rsidP="000F455B">
            <w:pPr>
              <w:pStyle w:val="TableParagraph"/>
              <w:spacing w:line="246" w:lineRule="exact"/>
              <w:ind w:left="102"/>
              <w:rPr>
                <w:rFonts w:ascii="Times New Roman"/>
              </w:rPr>
            </w:pPr>
            <w:r w:rsidRPr="00C73849">
              <w:rPr>
                <w:rFonts w:ascii="Times New Roman"/>
              </w:rPr>
              <w:t>Sodium pyruvate, see AH111710 sodium salt</w:t>
            </w:r>
          </w:p>
        </w:tc>
      </w:tr>
      <w:tr w:rsidR="000F455B" w:rsidRPr="00C73849" w14:paraId="207CF6C7"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5BDC5C7E" w14:textId="77777777" w:rsidR="000F455B" w:rsidRPr="00C73849" w:rsidRDefault="000F455B" w:rsidP="000F455B">
            <w:r w:rsidRPr="00C73849">
              <w:t>NLT</w:t>
            </w:r>
          </w:p>
        </w:tc>
        <w:tc>
          <w:tcPr>
            <w:tcW w:w="6484" w:type="dxa"/>
            <w:tcBorders>
              <w:top w:val="single" w:sz="5" w:space="0" w:color="000000"/>
              <w:left w:val="single" w:sz="5" w:space="0" w:color="000000"/>
              <w:bottom w:val="single" w:sz="5" w:space="0" w:color="000000"/>
              <w:right w:val="single" w:sz="5" w:space="0" w:color="000000"/>
            </w:tcBorders>
          </w:tcPr>
          <w:p w14:paraId="2FD52F1B" w14:textId="77777777" w:rsidR="000F455B" w:rsidRPr="00C73849" w:rsidRDefault="000F455B" w:rsidP="000F455B">
            <w:pPr>
              <w:pStyle w:val="TableParagraph"/>
              <w:spacing w:line="246" w:lineRule="exact"/>
              <w:ind w:left="102"/>
              <w:rPr>
                <w:rFonts w:ascii="Times New Roman"/>
              </w:rPr>
            </w:pPr>
            <w:r w:rsidRPr="00C73849">
              <w:rPr>
                <w:rFonts w:ascii="Times New Roman"/>
              </w:rPr>
              <w:t>Not less than</w:t>
            </w:r>
          </w:p>
        </w:tc>
      </w:tr>
      <w:tr w:rsidR="000F455B" w:rsidRPr="00C73849" w14:paraId="013DF1C7"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7513ED35" w14:textId="77777777" w:rsidR="000F455B" w:rsidRPr="00C73849" w:rsidRDefault="000F455B" w:rsidP="000F455B">
            <w:r w:rsidRPr="00C73849">
              <w:t>NMR</w:t>
            </w:r>
          </w:p>
        </w:tc>
        <w:tc>
          <w:tcPr>
            <w:tcW w:w="6484" w:type="dxa"/>
            <w:tcBorders>
              <w:top w:val="single" w:sz="5" w:space="0" w:color="000000"/>
              <w:left w:val="single" w:sz="5" w:space="0" w:color="000000"/>
              <w:bottom w:val="single" w:sz="5" w:space="0" w:color="000000"/>
              <w:right w:val="single" w:sz="5" w:space="0" w:color="000000"/>
            </w:tcBorders>
          </w:tcPr>
          <w:p w14:paraId="187FFDF2" w14:textId="77777777" w:rsidR="000F455B" w:rsidRPr="00C73849" w:rsidRDefault="000F455B" w:rsidP="000F455B">
            <w:pPr>
              <w:pStyle w:val="TableParagraph"/>
              <w:spacing w:line="246" w:lineRule="exact"/>
              <w:ind w:left="102"/>
              <w:rPr>
                <w:rFonts w:ascii="Times New Roman"/>
              </w:rPr>
            </w:pPr>
            <w:r w:rsidRPr="00C73849">
              <w:rPr>
                <w:rFonts w:ascii="Times New Roman"/>
              </w:rPr>
              <w:t>Nuclear magnetic resonance</w:t>
            </w:r>
          </w:p>
        </w:tc>
      </w:tr>
      <w:tr w:rsidR="000F455B" w:rsidRPr="00C73849" w14:paraId="5345780F"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40710FFF" w14:textId="77777777" w:rsidR="000F455B" w:rsidRPr="00C73849" w:rsidRDefault="000F455B" w:rsidP="000F455B">
            <w:r w:rsidRPr="00C73849">
              <w:t>NMT</w:t>
            </w:r>
          </w:p>
        </w:tc>
        <w:tc>
          <w:tcPr>
            <w:tcW w:w="6484" w:type="dxa"/>
            <w:tcBorders>
              <w:top w:val="single" w:sz="5" w:space="0" w:color="000000"/>
              <w:left w:val="single" w:sz="5" w:space="0" w:color="000000"/>
              <w:bottom w:val="single" w:sz="5" w:space="0" w:color="000000"/>
              <w:right w:val="single" w:sz="5" w:space="0" w:color="000000"/>
            </w:tcBorders>
          </w:tcPr>
          <w:p w14:paraId="4C7F8606" w14:textId="77777777" w:rsidR="000F455B" w:rsidRPr="00C73849" w:rsidRDefault="000F455B" w:rsidP="000F455B">
            <w:pPr>
              <w:pStyle w:val="TableParagraph"/>
              <w:spacing w:line="246" w:lineRule="exact"/>
              <w:ind w:left="102"/>
              <w:rPr>
                <w:rFonts w:ascii="Times New Roman"/>
              </w:rPr>
            </w:pPr>
            <w:r w:rsidRPr="00C73849">
              <w:rPr>
                <w:rFonts w:ascii="Times New Roman"/>
              </w:rPr>
              <w:t>Not more than</w:t>
            </w:r>
          </w:p>
        </w:tc>
      </w:tr>
      <w:tr w:rsidR="000F455B" w:rsidRPr="00C73849" w14:paraId="588D44DE"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2B1BB629" w14:textId="77777777" w:rsidR="000F455B" w:rsidRPr="00C73849" w:rsidRDefault="000F455B" w:rsidP="000F455B">
            <w:r w:rsidRPr="00C73849">
              <w:t>Nonclinical test item</w:t>
            </w:r>
          </w:p>
        </w:tc>
        <w:tc>
          <w:tcPr>
            <w:tcW w:w="6484" w:type="dxa"/>
            <w:tcBorders>
              <w:top w:val="single" w:sz="5" w:space="0" w:color="000000"/>
              <w:left w:val="single" w:sz="5" w:space="0" w:color="000000"/>
              <w:bottom w:val="single" w:sz="5" w:space="0" w:color="000000"/>
              <w:right w:val="single" w:sz="5" w:space="0" w:color="000000"/>
            </w:tcBorders>
          </w:tcPr>
          <w:p w14:paraId="61280D26" w14:textId="77777777" w:rsidR="000F455B" w:rsidRPr="00C73849" w:rsidRDefault="003232DF" w:rsidP="000F455B">
            <w:pPr>
              <w:pStyle w:val="TableParagraph"/>
              <w:spacing w:line="246" w:lineRule="exact"/>
              <w:ind w:left="102"/>
              <w:rPr>
                <w:rFonts w:ascii="Times New Roman"/>
              </w:rPr>
            </w:pPr>
            <w:r>
              <w:rPr>
                <w:rFonts w:ascii="Times New Roman"/>
              </w:rPr>
              <w:t>D</w:t>
            </w:r>
            <w:r w:rsidR="000F455B" w:rsidRPr="00C73849">
              <w:rPr>
                <w:rFonts w:ascii="Times New Roman"/>
              </w:rPr>
              <w:t>issolved mixture of pyruvic acid and AH111501 sodium salt in dissolution medium, where pyruvic acid is converted to pyruvate</w:t>
            </w:r>
          </w:p>
        </w:tc>
      </w:tr>
      <w:tr w:rsidR="000F455B" w:rsidRPr="00C73849" w14:paraId="48746B6E"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3E97DF3A" w14:textId="77777777" w:rsidR="000F455B" w:rsidRPr="00C73849" w:rsidRDefault="000F455B" w:rsidP="000F455B">
            <w:r w:rsidRPr="00C73849">
              <w:t>Osmotic control solution</w:t>
            </w:r>
          </w:p>
        </w:tc>
        <w:tc>
          <w:tcPr>
            <w:tcW w:w="6484" w:type="dxa"/>
            <w:tcBorders>
              <w:top w:val="single" w:sz="5" w:space="0" w:color="000000"/>
              <w:left w:val="single" w:sz="5" w:space="0" w:color="000000"/>
              <w:bottom w:val="single" w:sz="5" w:space="0" w:color="000000"/>
              <w:right w:val="single" w:sz="5" w:space="0" w:color="000000"/>
            </w:tcBorders>
          </w:tcPr>
          <w:p w14:paraId="635B8118" w14:textId="77777777" w:rsidR="000F455B" w:rsidRPr="00C73849" w:rsidRDefault="000F455B" w:rsidP="000F455B">
            <w:pPr>
              <w:pStyle w:val="TableParagraph"/>
              <w:spacing w:line="246" w:lineRule="exact"/>
              <w:ind w:left="102"/>
              <w:rPr>
                <w:rFonts w:ascii="Times New Roman"/>
              </w:rPr>
            </w:pPr>
            <w:r w:rsidRPr="00C73849">
              <w:rPr>
                <w:rFonts w:ascii="Times New Roman"/>
              </w:rPr>
              <w:t>Glucose or mannitol with osmolality matched to nonclinical test item</w:t>
            </w:r>
          </w:p>
        </w:tc>
      </w:tr>
      <w:tr w:rsidR="000F455B" w:rsidRPr="00C73849" w14:paraId="305C0CD3"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354A4283" w14:textId="77777777" w:rsidR="000F455B" w:rsidRPr="00C73849" w:rsidRDefault="000F455B" w:rsidP="000F455B">
            <w:proofErr w:type="spellStart"/>
            <w:r w:rsidRPr="00C73849">
              <w:t>Parapyruvate</w:t>
            </w:r>
            <w:proofErr w:type="spellEnd"/>
          </w:p>
        </w:tc>
        <w:tc>
          <w:tcPr>
            <w:tcW w:w="6484" w:type="dxa"/>
            <w:tcBorders>
              <w:top w:val="single" w:sz="5" w:space="0" w:color="000000"/>
              <w:left w:val="single" w:sz="5" w:space="0" w:color="000000"/>
              <w:bottom w:val="single" w:sz="5" w:space="0" w:color="000000"/>
              <w:right w:val="single" w:sz="5" w:space="0" w:color="000000"/>
            </w:tcBorders>
          </w:tcPr>
          <w:p w14:paraId="7CE67679" w14:textId="77777777" w:rsidR="000F455B" w:rsidRPr="00C73849" w:rsidRDefault="000F455B" w:rsidP="000F455B">
            <w:pPr>
              <w:pStyle w:val="TableParagraph"/>
              <w:spacing w:line="246" w:lineRule="exact"/>
              <w:ind w:left="102"/>
              <w:rPr>
                <w:rFonts w:ascii="Times New Roman"/>
              </w:rPr>
            </w:pPr>
            <w:r w:rsidRPr="00C73849">
              <w:rPr>
                <w:rFonts w:ascii="Times New Roman"/>
              </w:rPr>
              <w:t>See AH112623</w:t>
            </w:r>
          </w:p>
        </w:tc>
      </w:tr>
      <w:tr w:rsidR="000F455B" w:rsidRPr="00C73849" w14:paraId="634536AB"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5664C0B6" w14:textId="77777777" w:rsidR="000F455B" w:rsidRPr="00C73849" w:rsidRDefault="000F455B" w:rsidP="000F455B">
            <w:proofErr w:type="spellStart"/>
            <w:r w:rsidRPr="00C73849">
              <w:t>Ph.Eur</w:t>
            </w:r>
            <w:proofErr w:type="spellEnd"/>
            <w:r w:rsidRPr="00C73849">
              <w:t>.</w:t>
            </w:r>
          </w:p>
        </w:tc>
        <w:tc>
          <w:tcPr>
            <w:tcW w:w="6484" w:type="dxa"/>
            <w:tcBorders>
              <w:top w:val="single" w:sz="5" w:space="0" w:color="000000"/>
              <w:left w:val="single" w:sz="5" w:space="0" w:color="000000"/>
              <w:bottom w:val="single" w:sz="5" w:space="0" w:color="000000"/>
              <w:right w:val="single" w:sz="5" w:space="0" w:color="000000"/>
            </w:tcBorders>
          </w:tcPr>
          <w:p w14:paraId="7241D996" w14:textId="77777777" w:rsidR="000F455B" w:rsidRPr="00C73849" w:rsidRDefault="000F455B" w:rsidP="000F455B">
            <w:pPr>
              <w:pStyle w:val="TableParagraph"/>
              <w:spacing w:line="246" w:lineRule="exact"/>
              <w:ind w:left="102"/>
              <w:rPr>
                <w:rFonts w:ascii="Times New Roman"/>
              </w:rPr>
            </w:pPr>
            <w:r w:rsidRPr="00C73849">
              <w:rPr>
                <w:rFonts w:ascii="Times New Roman"/>
              </w:rPr>
              <w:t>European Pharmacopeia</w:t>
            </w:r>
          </w:p>
        </w:tc>
      </w:tr>
      <w:tr w:rsidR="000F455B" w:rsidRPr="00C73849" w14:paraId="1536A03F"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714F1C9A" w14:textId="77777777" w:rsidR="000F455B" w:rsidRPr="00C73849" w:rsidRDefault="000F455B" w:rsidP="000F455B">
            <w:r w:rsidRPr="00C73849">
              <w:t>PR-interval</w:t>
            </w:r>
          </w:p>
        </w:tc>
        <w:tc>
          <w:tcPr>
            <w:tcW w:w="6484" w:type="dxa"/>
            <w:tcBorders>
              <w:top w:val="single" w:sz="5" w:space="0" w:color="000000"/>
              <w:left w:val="single" w:sz="5" w:space="0" w:color="000000"/>
              <w:bottom w:val="single" w:sz="5" w:space="0" w:color="000000"/>
              <w:right w:val="single" w:sz="5" w:space="0" w:color="000000"/>
            </w:tcBorders>
          </w:tcPr>
          <w:p w14:paraId="03094206" w14:textId="77777777" w:rsidR="000F455B" w:rsidRPr="00C73849" w:rsidRDefault="000F455B" w:rsidP="000F455B">
            <w:pPr>
              <w:pStyle w:val="TableParagraph"/>
              <w:spacing w:line="246" w:lineRule="exact"/>
              <w:ind w:left="102"/>
              <w:rPr>
                <w:rFonts w:ascii="Times New Roman"/>
              </w:rPr>
            </w:pPr>
            <w:r w:rsidRPr="00C73849">
              <w:rPr>
                <w:rFonts w:ascii="Times New Roman"/>
              </w:rPr>
              <w:t>The ECG interval (in milliseconds) from the beginning of the P wave to the beginning of the QRS-interval</w:t>
            </w:r>
          </w:p>
        </w:tc>
      </w:tr>
      <w:tr w:rsidR="000F455B" w:rsidRPr="00C73849" w14:paraId="2498783F"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6BAE4FFA" w14:textId="77777777" w:rsidR="000F455B" w:rsidRPr="00C73849" w:rsidRDefault="000F455B" w:rsidP="000F455B">
            <w:r w:rsidRPr="00C73849">
              <w:t>Preclinical test item</w:t>
            </w:r>
          </w:p>
        </w:tc>
        <w:tc>
          <w:tcPr>
            <w:tcW w:w="6484" w:type="dxa"/>
            <w:tcBorders>
              <w:top w:val="single" w:sz="5" w:space="0" w:color="000000"/>
              <w:left w:val="single" w:sz="5" w:space="0" w:color="000000"/>
              <w:bottom w:val="single" w:sz="5" w:space="0" w:color="000000"/>
              <w:right w:val="single" w:sz="5" w:space="0" w:color="000000"/>
            </w:tcBorders>
          </w:tcPr>
          <w:p w14:paraId="193F186B" w14:textId="77777777" w:rsidR="000F455B" w:rsidRPr="00C73849" w:rsidRDefault="000F455B" w:rsidP="000F455B">
            <w:pPr>
              <w:pStyle w:val="TableParagraph"/>
              <w:spacing w:line="246" w:lineRule="exact"/>
              <w:ind w:left="102"/>
              <w:rPr>
                <w:rFonts w:ascii="Times New Roman"/>
              </w:rPr>
            </w:pPr>
            <w:r w:rsidRPr="00C73849">
              <w:rPr>
                <w:rFonts w:ascii="Times New Roman"/>
              </w:rPr>
              <w:t>See nonclinical test item</w:t>
            </w:r>
          </w:p>
        </w:tc>
      </w:tr>
      <w:tr w:rsidR="000F455B" w:rsidRPr="00C73849" w14:paraId="64E853E1"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0849C548" w14:textId="77777777" w:rsidR="000F455B" w:rsidRPr="00C73849" w:rsidRDefault="000F455B" w:rsidP="000F455B">
            <w:r w:rsidRPr="00C73849">
              <w:t>PSA</w:t>
            </w:r>
          </w:p>
        </w:tc>
        <w:tc>
          <w:tcPr>
            <w:tcW w:w="6484" w:type="dxa"/>
            <w:tcBorders>
              <w:top w:val="single" w:sz="5" w:space="0" w:color="000000"/>
              <w:left w:val="single" w:sz="5" w:space="0" w:color="000000"/>
              <w:bottom w:val="single" w:sz="5" w:space="0" w:color="000000"/>
              <w:right w:val="single" w:sz="5" w:space="0" w:color="000000"/>
            </w:tcBorders>
          </w:tcPr>
          <w:p w14:paraId="11221E12" w14:textId="77777777" w:rsidR="000F455B" w:rsidRPr="00C73849" w:rsidRDefault="000F455B" w:rsidP="000F455B">
            <w:pPr>
              <w:pStyle w:val="TableParagraph"/>
              <w:spacing w:line="246" w:lineRule="exact"/>
              <w:ind w:left="102"/>
              <w:rPr>
                <w:rFonts w:ascii="Times New Roman"/>
              </w:rPr>
            </w:pPr>
            <w:r w:rsidRPr="00C73849">
              <w:rPr>
                <w:rFonts w:ascii="Times New Roman"/>
              </w:rPr>
              <w:t>Prostate-specific antigen</w:t>
            </w:r>
          </w:p>
        </w:tc>
      </w:tr>
      <w:tr w:rsidR="000F455B" w:rsidRPr="00C73849" w14:paraId="7BB2BCF7" w14:textId="77777777" w:rsidTr="00C627EB">
        <w:trPr>
          <w:trHeight w:hRule="exact" w:val="262"/>
        </w:trPr>
        <w:tc>
          <w:tcPr>
            <w:tcW w:w="2942" w:type="dxa"/>
            <w:tcBorders>
              <w:top w:val="single" w:sz="5" w:space="0" w:color="000000"/>
              <w:left w:val="single" w:sz="5" w:space="0" w:color="000000"/>
              <w:bottom w:val="single" w:sz="6" w:space="0" w:color="000000"/>
              <w:right w:val="single" w:sz="5" w:space="0" w:color="000000"/>
            </w:tcBorders>
          </w:tcPr>
          <w:p w14:paraId="3FE6D98C" w14:textId="77777777" w:rsidR="000F455B" w:rsidRPr="00C73849" w:rsidRDefault="000F455B" w:rsidP="000F455B">
            <w:proofErr w:type="spellStart"/>
            <w:r w:rsidRPr="00C73849">
              <w:t>pv</w:t>
            </w:r>
            <w:proofErr w:type="spellEnd"/>
          </w:p>
        </w:tc>
        <w:tc>
          <w:tcPr>
            <w:tcW w:w="6484" w:type="dxa"/>
            <w:tcBorders>
              <w:top w:val="single" w:sz="5" w:space="0" w:color="000000"/>
              <w:left w:val="single" w:sz="5" w:space="0" w:color="000000"/>
              <w:bottom w:val="single" w:sz="6" w:space="0" w:color="000000"/>
              <w:right w:val="single" w:sz="5" w:space="0" w:color="000000"/>
            </w:tcBorders>
          </w:tcPr>
          <w:p w14:paraId="16349E89" w14:textId="77777777" w:rsidR="000F455B" w:rsidRPr="00C73849" w:rsidRDefault="000F455B" w:rsidP="000F455B">
            <w:pPr>
              <w:pStyle w:val="TableParagraph"/>
              <w:spacing w:line="246" w:lineRule="exact"/>
              <w:ind w:left="102"/>
              <w:rPr>
                <w:rFonts w:ascii="Times New Roman"/>
              </w:rPr>
            </w:pPr>
            <w:r w:rsidRPr="00C73849">
              <w:rPr>
                <w:rFonts w:ascii="Times New Roman"/>
              </w:rPr>
              <w:t>Perivascular</w:t>
            </w:r>
          </w:p>
        </w:tc>
      </w:tr>
      <w:tr w:rsidR="000F455B" w:rsidRPr="00C73849" w14:paraId="3FE192A9" w14:textId="77777777" w:rsidTr="00C627EB">
        <w:trPr>
          <w:trHeight w:val="512"/>
        </w:trPr>
        <w:tc>
          <w:tcPr>
            <w:tcW w:w="2942" w:type="dxa"/>
            <w:tcBorders>
              <w:top w:val="single" w:sz="6" w:space="0" w:color="000000"/>
              <w:left w:val="single" w:sz="6" w:space="0" w:color="000000"/>
              <w:bottom w:val="single" w:sz="4" w:space="0" w:color="auto"/>
              <w:right w:val="single" w:sz="6" w:space="0" w:color="000000"/>
            </w:tcBorders>
          </w:tcPr>
          <w:p w14:paraId="13084FB6" w14:textId="77777777" w:rsidR="000F455B" w:rsidRPr="00C73849" w:rsidRDefault="000F455B" w:rsidP="000F455B">
            <w:r w:rsidRPr="00C73849">
              <w:t>Pyruvate Injection</w:t>
            </w:r>
          </w:p>
        </w:tc>
        <w:tc>
          <w:tcPr>
            <w:tcW w:w="6484" w:type="dxa"/>
            <w:tcBorders>
              <w:top w:val="single" w:sz="6" w:space="0" w:color="000000"/>
              <w:left w:val="single" w:sz="6" w:space="0" w:color="000000"/>
              <w:bottom w:val="single" w:sz="4" w:space="0" w:color="auto"/>
              <w:right w:val="single" w:sz="6" w:space="0" w:color="000000"/>
            </w:tcBorders>
          </w:tcPr>
          <w:p w14:paraId="40E6B5E2" w14:textId="0E4DB700" w:rsidR="000F455B" w:rsidRPr="00C73849" w:rsidRDefault="000F455B" w:rsidP="000F455B">
            <w:pPr>
              <w:pStyle w:val="TableParagraph"/>
              <w:spacing w:line="246" w:lineRule="exact"/>
              <w:ind w:left="102"/>
              <w:rPr>
                <w:rFonts w:ascii="Times New Roman"/>
              </w:rPr>
            </w:pPr>
            <w:r w:rsidRPr="00C73849">
              <w:rPr>
                <w:rFonts w:ascii="Times New Roman"/>
              </w:rPr>
              <w:t xml:space="preserve">dissolved </w:t>
            </w:r>
            <w:r w:rsidR="00BF0C46">
              <w:rPr>
                <w:rFonts w:ascii="Times New Roman"/>
              </w:rPr>
              <w:t>m</w:t>
            </w:r>
            <w:r w:rsidR="00BF0C46" w:rsidRPr="00C73849">
              <w:rPr>
                <w:rFonts w:ascii="Times New Roman"/>
              </w:rPr>
              <w:t xml:space="preserve">ixture </w:t>
            </w:r>
            <w:r w:rsidRPr="00C73849">
              <w:rPr>
                <w:rFonts w:ascii="Times New Roman"/>
              </w:rPr>
              <w:t>of pyruvic acid and AH111501 sodium salt in TRIS/E</w:t>
            </w:r>
            <w:r w:rsidR="003232DF">
              <w:rPr>
                <w:rFonts w:ascii="Times New Roman"/>
              </w:rPr>
              <w:t>D</w:t>
            </w:r>
            <w:r w:rsidRPr="00C73849">
              <w:rPr>
                <w:rFonts w:ascii="Times New Roman"/>
              </w:rPr>
              <w:t>TA dissolution medium; solution for</w:t>
            </w:r>
          </w:p>
          <w:p w14:paraId="6DDC84DA" w14:textId="77777777" w:rsidR="000F455B" w:rsidRPr="00C73849" w:rsidRDefault="000F455B" w:rsidP="000F455B">
            <w:pPr>
              <w:pStyle w:val="TableParagraph"/>
              <w:spacing w:line="246" w:lineRule="exact"/>
              <w:ind w:left="102"/>
              <w:rPr>
                <w:rFonts w:ascii="Times New Roman"/>
              </w:rPr>
            </w:pPr>
            <w:r w:rsidRPr="00C73849">
              <w:rPr>
                <w:rFonts w:ascii="Times New Roman"/>
              </w:rPr>
              <w:t>injection in clinical studies GE-101-001/GE-101-003</w:t>
            </w:r>
          </w:p>
        </w:tc>
      </w:tr>
      <w:tr w:rsidR="000F455B" w:rsidRPr="00A602A5" w14:paraId="40C83003" w14:textId="77777777" w:rsidTr="00C627EB">
        <w:trPr>
          <w:trHeight w:hRule="exact" w:val="264"/>
        </w:trPr>
        <w:tc>
          <w:tcPr>
            <w:tcW w:w="2942" w:type="dxa"/>
            <w:tcBorders>
              <w:top w:val="single" w:sz="4" w:space="0" w:color="auto"/>
              <w:left w:val="single" w:sz="5" w:space="0" w:color="000000"/>
              <w:bottom w:val="single" w:sz="5" w:space="0" w:color="000000"/>
              <w:right w:val="single" w:sz="5" w:space="0" w:color="000000"/>
            </w:tcBorders>
          </w:tcPr>
          <w:p w14:paraId="4BC433C9" w14:textId="77777777" w:rsidR="000F455B" w:rsidRPr="00A602A5" w:rsidRDefault="000F455B" w:rsidP="000F455B">
            <w:pPr>
              <w:pStyle w:val="TableParagraph"/>
              <w:spacing w:line="251" w:lineRule="exact"/>
              <w:ind w:left="102"/>
              <w:rPr>
                <w:rFonts w:ascii="Times New Roman" w:eastAsia="Times New Roman" w:hAnsi="Times New Roman" w:cs="Times New Roman"/>
              </w:rPr>
            </w:pPr>
            <w:r w:rsidRPr="00A602A5">
              <w:rPr>
                <w:rFonts w:ascii="Times New Roman"/>
              </w:rPr>
              <w:t>[1-</w:t>
            </w:r>
            <w:r w:rsidRPr="00A602A5">
              <w:rPr>
                <w:rFonts w:ascii="Times New Roman"/>
                <w:position w:val="10"/>
                <w:sz w:val="14"/>
              </w:rPr>
              <w:t>13</w:t>
            </w:r>
            <w:proofErr w:type="gramStart"/>
            <w:r w:rsidRPr="00A602A5">
              <w:rPr>
                <w:rFonts w:ascii="Times New Roman"/>
              </w:rPr>
              <w:t>C]Pyruvic</w:t>
            </w:r>
            <w:proofErr w:type="gramEnd"/>
            <w:r w:rsidRPr="00A602A5">
              <w:rPr>
                <w:rFonts w:ascii="Times New Roman"/>
              </w:rPr>
              <w:t xml:space="preserve"> acid</w:t>
            </w:r>
          </w:p>
        </w:tc>
        <w:tc>
          <w:tcPr>
            <w:tcW w:w="6484" w:type="dxa"/>
            <w:tcBorders>
              <w:top w:val="single" w:sz="4" w:space="0" w:color="auto"/>
              <w:left w:val="single" w:sz="5" w:space="0" w:color="000000"/>
              <w:bottom w:val="single" w:sz="5" w:space="0" w:color="000000"/>
              <w:right w:val="single" w:sz="5" w:space="0" w:color="000000"/>
            </w:tcBorders>
          </w:tcPr>
          <w:p w14:paraId="4103906B" w14:textId="77777777" w:rsidR="000F455B" w:rsidRPr="00A602A5" w:rsidRDefault="000F455B" w:rsidP="000F455B">
            <w:pPr>
              <w:pStyle w:val="TableParagraph"/>
              <w:spacing w:line="246" w:lineRule="exact"/>
              <w:ind w:left="102"/>
              <w:rPr>
                <w:rFonts w:ascii="Times New Roman" w:eastAsia="Times New Roman" w:hAnsi="Times New Roman" w:cs="Times New Roman"/>
              </w:rPr>
            </w:pPr>
            <w:r w:rsidRPr="00A602A5">
              <w:rPr>
                <w:rFonts w:ascii="Times New Roman"/>
              </w:rPr>
              <w:t>AH110896</w:t>
            </w:r>
          </w:p>
        </w:tc>
      </w:tr>
      <w:tr w:rsidR="000F455B" w:rsidRPr="00A602A5" w14:paraId="5EFB21DB"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5AE6C672" w14:textId="77777777" w:rsidR="000F455B" w:rsidRPr="00A602A5" w:rsidRDefault="000F455B" w:rsidP="000F455B">
            <w:pPr>
              <w:pStyle w:val="TableParagraph"/>
              <w:spacing w:line="250" w:lineRule="exact"/>
              <w:ind w:left="102"/>
              <w:rPr>
                <w:rFonts w:ascii="Times New Roman" w:eastAsia="Times New Roman" w:hAnsi="Times New Roman" w:cs="Times New Roman"/>
              </w:rPr>
            </w:pPr>
            <w:r w:rsidRPr="00A602A5">
              <w:rPr>
                <w:rFonts w:ascii="Times New Roman"/>
              </w:rPr>
              <w:t>Pyruvic acid</w:t>
            </w:r>
          </w:p>
        </w:tc>
        <w:tc>
          <w:tcPr>
            <w:tcW w:w="6484" w:type="dxa"/>
            <w:tcBorders>
              <w:top w:val="single" w:sz="5" w:space="0" w:color="000000"/>
              <w:left w:val="single" w:sz="5" w:space="0" w:color="000000"/>
              <w:bottom w:val="single" w:sz="5" w:space="0" w:color="000000"/>
              <w:right w:val="single" w:sz="5" w:space="0" w:color="000000"/>
            </w:tcBorders>
          </w:tcPr>
          <w:p w14:paraId="6257D7B5" w14:textId="77777777" w:rsidR="000F455B" w:rsidRPr="00A602A5" w:rsidRDefault="000F455B" w:rsidP="000F455B">
            <w:pPr>
              <w:pStyle w:val="TableParagraph"/>
              <w:spacing w:line="246" w:lineRule="exact"/>
              <w:ind w:left="102"/>
              <w:rPr>
                <w:rFonts w:ascii="Times New Roman" w:eastAsia="Times New Roman" w:hAnsi="Times New Roman" w:cs="Times New Roman"/>
              </w:rPr>
            </w:pPr>
            <w:r w:rsidRPr="00A602A5">
              <w:rPr>
                <w:rFonts w:ascii="Times New Roman"/>
              </w:rPr>
              <w:t>AH111710</w:t>
            </w:r>
          </w:p>
        </w:tc>
      </w:tr>
      <w:tr w:rsidR="000F455B" w:rsidRPr="00A602A5" w14:paraId="3A36D676" w14:textId="77777777" w:rsidTr="00C627EB">
        <w:trPr>
          <w:trHeight w:hRule="exact" w:val="264"/>
        </w:trPr>
        <w:tc>
          <w:tcPr>
            <w:tcW w:w="2942" w:type="dxa"/>
            <w:tcBorders>
              <w:top w:val="single" w:sz="5" w:space="0" w:color="000000"/>
              <w:left w:val="single" w:sz="5" w:space="0" w:color="000000"/>
              <w:bottom w:val="single" w:sz="5" w:space="0" w:color="000000"/>
              <w:right w:val="single" w:sz="5" w:space="0" w:color="000000"/>
            </w:tcBorders>
          </w:tcPr>
          <w:p w14:paraId="634EA600" w14:textId="77777777" w:rsidR="000F455B" w:rsidRPr="00A602A5" w:rsidRDefault="000F455B" w:rsidP="000F455B">
            <w:pPr>
              <w:pStyle w:val="TableParagraph"/>
              <w:spacing w:line="246" w:lineRule="exact"/>
              <w:ind w:left="102"/>
              <w:rPr>
                <w:rFonts w:ascii="Times New Roman" w:eastAsia="Times New Roman" w:hAnsi="Times New Roman" w:cs="Times New Roman"/>
              </w:rPr>
            </w:pPr>
            <w:r w:rsidRPr="00A602A5">
              <w:rPr>
                <w:rFonts w:ascii="Times New Roman"/>
                <w:position w:val="10"/>
                <w:sz w:val="14"/>
              </w:rPr>
              <w:t>13</w:t>
            </w:r>
            <w:r w:rsidRPr="00A602A5">
              <w:rPr>
                <w:rFonts w:ascii="Times New Roman"/>
              </w:rPr>
              <w:t>C Pyruvic acid</w:t>
            </w:r>
          </w:p>
        </w:tc>
        <w:tc>
          <w:tcPr>
            <w:tcW w:w="6484" w:type="dxa"/>
            <w:tcBorders>
              <w:top w:val="single" w:sz="5" w:space="0" w:color="000000"/>
              <w:left w:val="single" w:sz="5" w:space="0" w:color="000000"/>
              <w:bottom w:val="single" w:sz="5" w:space="0" w:color="000000"/>
              <w:right w:val="single" w:sz="5" w:space="0" w:color="000000"/>
            </w:tcBorders>
          </w:tcPr>
          <w:p w14:paraId="5B4326DD" w14:textId="77777777" w:rsidR="000F455B" w:rsidRPr="00A602A5" w:rsidRDefault="000F455B" w:rsidP="000F455B">
            <w:pPr>
              <w:pStyle w:val="TableParagraph"/>
              <w:spacing w:line="251" w:lineRule="exact"/>
              <w:ind w:left="102"/>
              <w:rPr>
                <w:rFonts w:ascii="Times New Roman" w:eastAsia="Times New Roman" w:hAnsi="Times New Roman" w:cs="Times New Roman"/>
              </w:rPr>
            </w:pPr>
            <w:r w:rsidRPr="00A602A5">
              <w:rPr>
                <w:rFonts w:ascii="Times New Roman"/>
              </w:rPr>
              <w:t>[1-</w:t>
            </w:r>
            <w:r w:rsidRPr="00A602A5">
              <w:rPr>
                <w:rFonts w:ascii="Times New Roman"/>
                <w:position w:val="10"/>
                <w:sz w:val="14"/>
              </w:rPr>
              <w:t>13</w:t>
            </w:r>
            <w:proofErr w:type="gramStart"/>
            <w:r w:rsidRPr="00A602A5">
              <w:rPr>
                <w:rFonts w:ascii="Times New Roman"/>
              </w:rPr>
              <w:t>C]Pyruvic</w:t>
            </w:r>
            <w:proofErr w:type="gramEnd"/>
            <w:r w:rsidRPr="00A602A5">
              <w:rPr>
                <w:rFonts w:ascii="Times New Roman"/>
              </w:rPr>
              <w:t xml:space="preserve"> acid</w:t>
            </w:r>
          </w:p>
        </w:tc>
      </w:tr>
      <w:tr w:rsidR="000F455B" w:rsidRPr="00A602A5" w14:paraId="5F64666D" w14:textId="77777777" w:rsidTr="00C627EB">
        <w:trPr>
          <w:trHeight w:hRule="exact" w:val="264"/>
        </w:trPr>
        <w:tc>
          <w:tcPr>
            <w:tcW w:w="2942" w:type="dxa"/>
            <w:tcBorders>
              <w:top w:val="single" w:sz="5" w:space="0" w:color="000000"/>
              <w:left w:val="single" w:sz="5" w:space="0" w:color="000000"/>
              <w:bottom w:val="single" w:sz="5" w:space="0" w:color="000000"/>
              <w:right w:val="single" w:sz="5" w:space="0" w:color="000000"/>
            </w:tcBorders>
          </w:tcPr>
          <w:p w14:paraId="64CE2F1A" w14:textId="77777777" w:rsidR="000F455B" w:rsidRPr="00A602A5" w:rsidRDefault="000F455B" w:rsidP="000F455B">
            <w:pPr>
              <w:pStyle w:val="TableParagraph"/>
              <w:spacing w:line="246" w:lineRule="exact"/>
              <w:ind w:left="102"/>
              <w:rPr>
                <w:rFonts w:ascii="Times New Roman" w:eastAsia="Times New Roman" w:hAnsi="Times New Roman" w:cs="Times New Roman"/>
              </w:rPr>
            </w:pPr>
            <w:r w:rsidRPr="00A602A5">
              <w:rPr>
                <w:rFonts w:ascii="Times New Roman"/>
                <w:position w:val="10"/>
                <w:sz w:val="14"/>
              </w:rPr>
              <w:t>12</w:t>
            </w:r>
            <w:r w:rsidRPr="00A602A5">
              <w:rPr>
                <w:rFonts w:ascii="Times New Roman"/>
              </w:rPr>
              <w:t>C Pyruvic acid</w:t>
            </w:r>
          </w:p>
        </w:tc>
        <w:tc>
          <w:tcPr>
            <w:tcW w:w="6484" w:type="dxa"/>
            <w:tcBorders>
              <w:top w:val="single" w:sz="5" w:space="0" w:color="000000"/>
              <w:left w:val="single" w:sz="5" w:space="0" w:color="000000"/>
              <w:bottom w:val="single" w:sz="5" w:space="0" w:color="000000"/>
              <w:right w:val="single" w:sz="5" w:space="0" w:color="000000"/>
            </w:tcBorders>
          </w:tcPr>
          <w:p w14:paraId="54F1E82A" w14:textId="77777777" w:rsidR="000F455B" w:rsidRPr="00A602A5" w:rsidRDefault="000F455B" w:rsidP="000F455B">
            <w:pPr>
              <w:pStyle w:val="TableParagraph"/>
              <w:spacing w:line="251" w:lineRule="exact"/>
              <w:ind w:left="102"/>
              <w:rPr>
                <w:rFonts w:ascii="Times New Roman" w:eastAsia="Times New Roman" w:hAnsi="Times New Roman" w:cs="Times New Roman"/>
              </w:rPr>
            </w:pPr>
            <w:r w:rsidRPr="00A602A5">
              <w:rPr>
                <w:rFonts w:ascii="Times New Roman"/>
              </w:rPr>
              <w:t>Pyruvic acid</w:t>
            </w:r>
          </w:p>
        </w:tc>
      </w:tr>
      <w:tr w:rsidR="000F455B" w:rsidRPr="00A602A5" w14:paraId="1A72030B"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29BA5544" w14:textId="77777777" w:rsidR="000F455B" w:rsidRPr="00A602A5" w:rsidRDefault="000F455B" w:rsidP="000F455B">
            <w:pPr>
              <w:pStyle w:val="TableParagraph"/>
              <w:spacing w:line="246" w:lineRule="exact"/>
              <w:ind w:left="102"/>
              <w:rPr>
                <w:rFonts w:ascii="Times New Roman" w:eastAsia="Times New Roman" w:hAnsi="Times New Roman" w:cs="Times New Roman"/>
              </w:rPr>
            </w:pPr>
            <w:r w:rsidRPr="00A602A5">
              <w:rPr>
                <w:rFonts w:ascii="Times New Roman"/>
              </w:rPr>
              <w:t>PC-3</w:t>
            </w:r>
          </w:p>
        </w:tc>
        <w:tc>
          <w:tcPr>
            <w:tcW w:w="6484" w:type="dxa"/>
            <w:tcBorders>
              <w:top w:val="single" w:sz="5" w:space="0" w:color="000000"/>
              <w:left w:val="single" w:sz="5" w:space="0" w:color="000000"/>
              <w:bottom w:val="single" w:sz="5" w:space="0" w:color="000000"/>
              <w:right w:val="single" w:sz="5" w:space="0" w:color="000000"/>
            </w:tcBorders>
          </w:tcPr>
          <w:p w14:paraId="6C65DA3B" w14:textId="77777777" w:rsidR="000F455B" w:rsidRPr="00A602A5" w:rsidRDefault="000F455B" w:rsidP="000F455B">
            <w:pPr>
              <w:pStyle w:val="TableParagraph"/>
              <w:spacing w:line="246" w:lineRule="exact"/>
              <w:ind w:left="103"/>
              <w:rPr>
                <w:rFonts w:ascii="Times New Roman" w:eastAsia="Times New Roman" w:hAnsi="Times New Roman" w:cs="Times New Roman"/>
              </w:rPr>
            </w:pPr>
            <w:r w:rsidRPr="00A602A5">
              <w:rPr>
                <w:rFonts w:ascii="Times New Roman"/>
              </w:rPr>
              <w:t>Slow-growing prostate adenocarcinoma of human origin</w:t>
            </w:r>
          </w:p>
        </w:tc>
      </w:tr>
      <w:tr w:rsidR="000F455B" w:rsidRPr="00C73849" w14:paraId="53529BD5" w14:textId="77777777" w:rsidTr="00C627EB">
        <w:trPr>
          <w:trHeight w:hRule="exact" w:val="516"/>
        </w:trPr>
        <w:tc>
          <w:tcPr>
            <w:tcW w:w="2942" w:type="dxa"/>
            <w:tcBorders>
              <w:top w:val="single" w:sz="5" w:space="0" w:color="000000"/>
              <w:left w:val="single" w:sz="5" w:space="0" w:color="000000"/>
              <w:bottom w:val="single" w:sz="5" w:space="0" w:color="000000"/>
              <w:right w:val="single" w:sz="5" w:space="0" w:color="000000"/>
            </w:tcBorders>
          </w:tcPr>
          <w:p w14:paraId="22EB8F58" w14:textId="77777777" w:rsidR="000F455B" w:rsidRPr="00C73849" w:rsidRDefault="000F455B" w:rsidP="000F455B">
            <w:pPr>
              <w:pStyle w:val="TableParagraph"/>
              <w:spacing w:line="246" w:lineRule="exact"/>
              <w:ind w:left="102"/>
              <w:rPr>
                <w:rFonts w:ascii="Times New Roman" w:eastAsia="Times New Roman" w:hAnsi="Times New Roman" w:cs="Times New Roman"/>
              </w:rPr>
            </w:pPr>
            <w:r w:rsidRPr="00C73849">
              <w:rPr>
                <w:rFonts w:ascii="Times New Roman"/>
              </w:rPr>
              <w:t>QT-interval</w:t>
            </w:r>
          </w:p>
        </w:tc>
        <w:tc>
          <w:tcPr>
            <w:tcW w:w="6484" w:type="dxa"/>
            <w:tcBorders>
              <w:top w:val="single" w:sz="5" w:space="0" w:color="000000"/>
              <w:left w:val="single" w:sz="5" w:space="0" w:color="000000"/>
              <w:bottom w:val="single" w:sz="5" w:space="0" w:color="000000"/>
              <w:right w:val="single" w:sz="5" w:space="0" w:color="000000"/>
            </w:tcBorders>
          </w:tcPr>
          <w:p w14:paraId="41E6EE59" w14:textId="77777777" w:rsidR="000F455B" w:rsidRPr="00C73849" w:rsidRDefault="000F455B" w:rsidP="000F455B">
            <w:pPr>
              <w:pStyle w:val="TableParagraph"/>
              <w:spacing w:line="241" w:lineRule="auto"/>
              <w:ind w:left="102" w:right="382" w:hanging="1"/>
              <w:rPr>
                <w:rFonts w:ascii="Times New Roman" w:eastAsia="Times New Roman" w:hAnsi="Times New Roman" w:cs="Times New Roman"/>
              </w:rPr>
            </w:pPr>
            <w:r w:rsidRPr="00C73849">
              <w:rPr>
                <w:rFonts w:ascii="Times New Roman"/>
              </w:rPr>
              <w:t>The ECG interval (in milliseconds) from the beginning of the Q wave to the end of the T wave</w:t>
            </w:r>
          </w:p>
        </w:tc>
      </w:tr>
      <w:tr w:rsidR="000F455B" w:rsidRPr="00C73849" w14:paraId="47BD9E7A" w14:textId="77777777" w:rsidTr="00C627EB">
        <w:trPr>
          <w:trHeight w:hRule="exact" w:val="516"/>
        </w:trPr>
        <w:tc>
          <w:tcPr>
            <w:tcW w:w="2942" w:type="dxa"/>
            <w:tcBorders>
              <w:top w:val="single" w:sz="5" w:space="0" w:color="000000"/>
              <w:left w:val="single" w:sz="5" w:space="0" w:color="000000"/>
              <w:bottom w:val="single" w:sz="5" w:space="0" w:color="000000"/>
              <w:right w:val="single" w:sz="5" w:space="0" w:color="000000"/>
            </w:tcBorders>
          </w:tcPr>
          <w:p w14:paraId="23310981" w14:textId="77777777" w:rsidR="000F455B" w:rsidRPr="00C73849" w:rsidRDefault="000F455B" w:rsidP="000F455B">
            <w:pPr>
              <w:pStyle w:val="TableParagraph"/>
              <w:spacing w:line="246" w:lineRule="exact"/>
              <w:ind w:left="102"/>
              <w:rPr>
                <w:rFonts w:ascii="Times New Roman" w:eastAsia="Times New Roman" w:hAnsi="Times New Roman" w:cs="Times New Roman"/>
              </w:rPr>
            </w:pPr>
            <w:proofErr w:type="spellStart"/>
            <w:r w:rsidRPr="00C73849">
              <w:rPr>
                <w:rFonts w:ascii="Times New Roman"/>
              </w:rPr>
              <w:t>QTcV</w:t>
            </w:r>
            <w:proofErr w:type="spellEnd"/>
          </w:p>
        </w:tc>
        <w:tc>
          <w:tcPr>
            <w:tcW w:w="6484" w:type="dxa"/>
            <w:tcBorders>
              <w:top w:val="single" w:sz="5" w:space="0" w:color="000000"/>
              <w:left w:val="single" w:sz="5" w:space="0" w:color="000000"/>
              <w:bottom w:val="single" w:sz="5" w:space="0" w:color="000000"/>
              <w:right w:val="single" w:sz="5" w:space="0" w:color="000000"/>
            </w:tcBorders>
          </w:tcPr>
          <w:p w14:paraId="2B466C83" w14:textId="77777777" w:rsidR="000F455B" w:rsidRPr="00C73849" w:rsidRDefault="000F455B" w:rsidP="000F455B">
            <w:pPr>
              <w:pStyle w:val="TableParagraph"/>
              <w:spacing w:line="241" w:lineRule="auto"/>
              <w:ind w:left="102" w:right="152"/>
              <w:rPr>
                <w:rFonts w:ascii="Times New Roman" w:eastAsia="Times New Roman" w:hAnsi="Times New Roman" w:cs="Times New Roman"/>
              </w:rPr>
            </w:pPr>
            <w:r w:rsidRPr="00C73849">
              <w:rPr>
                <w:rFonts w:ascii="Times New Roman"/>
              </w:rPr>
              <w:t>The QT interval corrected for heart rate according to Van de Waters formula</w:t>
            </w:r>
          </w:p>
        </w:tc>
      </w:tr>
      <w:tr w:rsidR="000F455B" w:rsidRPr="00C73849" w14:paraId="01956D3B" w14:textId="77777777" w:rsidTr="00C627EB">
        <w:trPr>
          <w:trHeight w:hRule="exact" w:val="264"/>
        </w:trPr>
        <w:tc>
          <w:tcPr>
            <w:tcW w:w="2942" w:type="dxa"/>
            <w:tcBorders>
              <w:top w:val="single" w:sz="5" w:space="0" w:color="000000"/>
              <w:left w:val="single" w:sz="5" w:space="0" w:color="000000"/>
              <w:bottom w:val="single" w:sz="5" w:space="0" w:color="000000"/>
              <w:right w:val="single" w:sz="5" w:space="0" w:color="000000"/>
            </w:tcBorders>
          </w:tcPr>
          <w:p w14:paraId="507593B3" w14:textId="77777777" w:rsidR="000F455B" w:rsidRPr="00C73849" w:rsidRDefault="000F455B" w:rsidP="000F455B">
            <w:pPr>
              <w:pStyle w:val="TableParagraph"/>
              <w:spacing w:line="246" w:lineRule="exact"/>
              <w:ind w:left="102"/>
              <w:rPr>
                <w:rFonts w:ascii="Times New Roman" w:eastAsia="Times New Roman" w:hAnsi="Times New Roman" w:cs="Times New Roman"/>
              </w:rPr>
            </w:pPr>
            <w:r w:rsidRPr="00C73849">
              <w:rPr>
                <w:rFonts w:ascii="Times New Roman"/>
              </w:rPr>
              <w:t>QWBA</w:t>
            </w:r>
          </w:p>
        </w:tc>
        <w:tc>
          <w:tcPr>
            <w:tcW w:w="6484" w:type="dxa"/>
            <w:tcBorders>
              <w:top w:val="single" w:sz="5" w:space="0" w:color="000000"/>
              <w:left w:val="single" w:sz="5" w:space="0" w:color="000000"/>
              <w:bottom w:val="single" w:sz="5" w:space="0" w:color="000000"/>
              <w:right w:val="single" w:sz="5" w:space="0" w:color="000000"/>
            </w:tcBorders>
          </w:tcPr>
          <w:p w14:paraId="49B00AA6" w14:textId="77777777" w:rsidR="000F455B" w:rsidRPr="00C73849" w:rsidRDefault="000F455B" w:rsidP="000F455B">
            <w:pPr>
              <w:pStyle w:val="TableParagraph"/>
              <w:spacing w:line="246" w:lineRule="exact"/>
              <w:ind w:left="105"/>
              <w:rPr>
                <w:rFonts w:ascii="Times New Roman" w:eastAsia="Times New Roman" w:hAnsi="Times New Roman" w:cs="Times New Roman"/>
              </w:rPr>
            </w:pPr>
            <w:r w:rsidRPr="00C73849">
              <w:rPr>
                <w:rFonts w:ascii="Times New Roman"/>
              </w:rPr>
              <w:t xml:space="preserve">Quantitative </w:t>
            </w:r>
            <w:r w:rsidR="00613C0D" w:rsidRPr="00C73849">
              <w:rPr>
                <w:rFonts w:ascii="Times New Roman"/>
              </w:rPr>
              <w:t>whole-body</w:t>
            </w:r>
            <w:r w:rsidRPr="00C73849">
              <w:rPr>
                <w:rFonts w:ascii="Times New Roman"/>
              </w:rPr>
              <w:t xml:space="preserve"> autoradiography</w:t>
            </w:r>
          </w:p>
        </w:tc>
      </w:tr>
      <w:tr w:rsidR="000F455B" w:rsidRPr="00C73849" w14:paraId="2C8B6A05"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5C8C2BA0" w14:textId="77777777" w:rsidR="000F455B" w:rsidRPr="00C73849" w:rsidRDefault="000F455B" w:rsidP="000F455B">
            <w:pPr>
              <w:pStyle w:val="TableParagraph"/>
              <w:spacing w:line="246" w:lineRule="exact"/>
              <w:ind w:left="102"/>
              <w:rPr>
                <w:rFonts w:ascii="Times New Roman" w:eastAsia="Times New Roman" w:hAnsi="Times New Roman" w:cs="Times New Roman"/>
              </w:rPr>
            </w:pPr>
            <w:r w:rsidRPr="00C73849">
              <w:rPr>
                <w:rFonts w:ascii="Times New Roman"/>
              </w:rPr>
              <w:t>SNR</w:t>
            </w:r>
          </w:p>
        </w:tc>
        <w:tc>
          <w:tcPr>
            <w:tcW w:w="6484" w:type="dxa"/>
            <w:tcBorders>
              <w:top w:val="single" w:sz="5" w:space="0" w:color="000000"/>
              <w:left w:val="single" w:sz="5" w:space="0" w:color="000000"/>
              <w:bottom w:val="single" w:sz="5" w:space="0" w:color="000000"/>
              <w:right w:val="single" w:sz="5" w:space="0" w:color="000000"/>
            </w:tcBorders>
          </w:tcPr>
          <w:p w14:paraId="08728600" w14:textId="77777777" w:rsidR="000F455B" w:rsidRPr="00C73849" w:rsidRDefault="000F455B" w:rsidP="000F455B">
            <w:pPr>
              <w:pStyle w:val="TableParagraph"/>
              <w:spacing w:line="246" w:lineRule="exact"/>
              <w:ind w:left="104"/>
              <w:rPr>
                <w:rFonts w:ascii="Times New Roman" w:eastAsia="Times New Roman" w:hAnsi="Times New Roman" w:cs="Times New Roman"/>
              </w:rPr>
            </w:pPr>
            <w:r w:rsidRPr="00C73849">
              <w:rPr>
                <w:rFonts w:ascii="Times New Roman"/>
              </w:rPr>
              <w:t>Signal-to-noise ratio</w:t>
            </w:r>
          </w:p>
        </w:tc>
      </w:tr>
      <w:tr w:rsidR="000F455B" w:rsidRPr="00C73849" w14:paraId="20972A2D" w14:textId="77777777" w:rsidTr="00C627EB">
        <w:trPr>
          <w:trHeight w:hRule="exact" w:val="770"/>
        </w:trPr>
        <w:tc>
          <w:tcPr>
            <w:tcW w:w="2942" w:type="dxa"/>
            <w:tcBorders>
              <w:top w:val="single" w:sz="5" w:space="0" w:color="000000"/>
              <w:left w:val="single" w:sz="5" w:space="0" w:color="000000"/>
              <w:bottom w:val="single" w:sz="5" w:space="0" w:color="000000"/>
              <w:right w:val="single" w:sz="5" w:space="0" w:color="000000"/>
            </w:tcBorders>
          </w:tcPr>
          <w:p w14:paraId="7B6F083F" w14:textId="77777777" w:rsidR="000F455B" w:rsidRPr="00C73849" w:rsidRDefault="000F455B" w:rsidP="000F455B">
            <w:pPr>
              <w:pStyle w:val="TableParagraph"/>
              <w:spacing w:line="246" w:lineRule="exact"/>
              <w:ind w:left="102"/>
              <w:rPr>
                <w:rFonts w:ascii="Times New Roman" w:eastAsia="Times New Roman" w:hAnsi="Times New Roman" w:cs="Times New Roman"/>
              </w:rPr>
            </w:pPr>
            <w:r w:rsidRPr="00C73849">
              <w:rPr>
                <w:rFonts w:ascii="Times New Roman"/>
              </w:rPr>
              <w:t>S9</w:t>
            </w:r>
          </w:p>
        </w:tc>
        <w:tc>
          <w:tcPr>
            <w:tcW w:w="6484" w:type="dxa"/>
            <w:tcBorders>
              <w:top w:val="single" w:sz="5" w:space="0" w:color="000000"/>
              <w:left w:val="single" w:sz="5" w:space="0" w:color="000000"/>
              <w:bottom w:val="single" w:sz="5" w:space="0" w:color="000000"/>
              <w:right w:val="single" w:sz="5" w:space="0" w:color="000000"/>
            </w:tcBorders>
          </w:tcPr>
          <w:p w14:paraId="6D9C4F32" w14:textId="77777777" w:rsidR="000F455B" w:rsidRPr="00C73849" w:rsidRDefault="000F455B" w:rsidP="000F455B">
            <w:pPr>
              <w:pStyle w:val="TableParagraph"/>
              <w:ind w:left="102" w:right="624" w:firstLine="1"/>
              <w:jc w:val="both"/>
              <w:rPr>
                <w:rFonts w:ascii="Times New Roman" w:eastAsia="Times New Roman" w:hAnsi="Times New Roman" w:cs="Times New Roman"/>
              </w:rPr>
            </w:pPr>
            <w:r w:rsidRPr="00C73849">
              <w:rPr>
                <w:rFonts w:ascii="Times New Roman"/>
              </w:rPr>
              <w:t xml:space="preserve">A combination of cytosolic and endoplasmic reticulum fractions that possesses </w:t>
            </w:r>
            <w:proofErr w:type="gramStart"/>
            <w:r w:rsidRPr="00C73849">
              <w:rPr>
                <w:rFonts w:ascii="Times New Roman"/>
              </w:rPr>
              <w:t>a number of</w:t>
            </w:r>
            <w:proofErr w:type="gramEnd"/>
            <w:r w:rsidRPr="00C73849">
              <w:rPr>
                <w:rFonts w:ascii="Times New Roman"/>
              </w:rPr>
              <w:t xml:space="preserve"> drug </w:t>
            </w:r>
            <w:r w:rsidR="007E444D" w:rsidRPr="00C73849">
              <w:rPr>
                <w:rFonts w:ascii="Times New Roman"/>
              </w:rPr>
              <w:t>metabolizing</w:t>
            </w:r>
            <w:r w:rsidRPr="00C73849">
              <w:rPr>
                <w:rFonts w:ascii="Times New Roman"/>
              </w:rPr>
              <w:t xml:space="preserve"> enzymes</w:t>
            </w:r>
          </w:p>
        </w:tc>
      </w:tr>
      <w:tr w:rsidR="000F455B" w:rsidRPr="00C73849" w14:paraId="61D4F8DC"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6239C14F" w14:textId="77777777" w:rsidR="000F455B" w:rsidRPr="00C73849" w:rsidRDefault="000F455B" w:rsidP="000F455B">
            <w:pPr>
              <w:pStyle w:val="TableParagraph"/>
              <w:spacing w:line="246" w:lineRule="exact"/>
              <w:ind w:left="102"/>
              <w:rPr>
                <w:rFonts w:ascii="Times New Roman" w:eastAsia="Times New Roman" w:hAnsi="Times New Roman" w:cs="Times New Roman"/>
              </w:rPr>
            </w:pPr>
            <w:r w:rsidRPr="00C73849">
              <w:rPr>
                <w:rFonts w:ascii="Times New Roman"/>
              </w:rPr>
              <w:t>T</w:t>
            </w:r>
          </w:p>
        </w:tc>
        <w:tc>
          <w:tcPr>
            <w:tcW w:w="6484" w:type="dxa"/>
            <w:tcBorders>
              <w:top w:val="single" w:sz="5" w:space="0" w:color="000000"/>
              <w:left w:val="single" w:sz="5" w:space="0" w:color="000000"/>
              <w:bottom w:val="single" w:sz="5" w:space="0" w:color="000000"/>
              <w:right w:val="single" w:sz="5" w:space="0" w:color="000000"/>
            </w:tcBorders>
          </w:tcPr>
          <w:p w14:paraId="5CB9E00B" w14:textId="77777777" w:rsidR="000F455B" w:rsidRPr="00C73849" w:rsidRDefault="000F455B" w:rsidP="000F455B">
            <w:pPr>
              <w:pStyle w:val="TableParagraph"/>
              <w:spacing w:line="246" w:lineRule="exact"/>
              <w:ind w:left="102"/>
              <w:rPr>
                <w:rFonts w:ascii="Times New Roman" w:eastAsia="Times New Roman" w:hAnsi="Times New Roman" w:cs="Times New Roman"/>
              </w:rPr>
            </w:pPr>
            <w:r w:rsidRPr="00C73849">
              <w:rPr>
                <w:rFonts w:ascii="Times New Roman"/>
              </w:rPr>
              <w:t>Tesla</w:t>
            </w:r>
          </w:p>
        </w:tc>
      </w:tr>
      <w:tr w:rsidR="000F455B" w:rsidRPr="00C73849" w14:paraId="61276E81" w14:textId="77777777" w:rsidTr="00C627EB">
        <w:trPr>
          <w:trHeight w:hRule="exact" w:val="264"/>
        </w:trPr>
        <w:tc>
          <w:tcPr>
            <w:tcW w:w="2942" w:type="dxa"/>
            <w:tcBorders>
              <w:top w:val="single" w:sz="5" w:space="0" w:color="000000"/>
              <w:left w:val="single" w:sz="5" w:space="0" w:color="000000"/>
              <w:bottom w:val="single" w:sz="5" w:space="0" w:color="000000"/>
              <w:right w:val="single" w:sz="5" w:space="0" w:color="000000"/>
            </w:tcBorders>
          </w:tcPr>
          <w:p w14:paraId="425BFB38" w14:textId="77777777" w:rsidR="000F455B" w:rsidRPr="00C73849" w:rsidRDefault="000F455B" w:rsidP="000F455B">
            <w:pPr>
              <w:pStyle w:val="TableParagraph"/>
              <w:spacing w:line="252" w:lineRule="exact"/>
              <w:ind w:left="102"/>
              <w:rPr>
                <w:rFonts w:ascii="Times New Roman" w:eastAsia="Times New Roman" w:hAnsi="Times New Roman" w:cs="Times New Roman"/>
                <w:sz w:val="14"/>
                <w:szCs w:val="14"/>
              </w:rPr>
            </w:pPr>
            <w:r w:rsidRPr="00C73849">
              <w:rPr>
                <w:rFonts w:ascii="Times New Roman"/>
              </w:rPr>
              <w:t>T</w:t>
            </w:r>
            <w:r w:rsidRPr="00C73849">
              <w:rPr>
                <w:rFonts w:ascii="Times New Roman"/>
                <w:position w:val="-2"/>
                <w:sz w:val="14"/>
              </w:rPr>
              <w:t>1</w:t>
            </w:r>
          </w:p>
        </w:tc>
        <w:tc>
          <w:tcPr>
            <w:tcW w:w="6484" w:type="dxa"/>
            <w:tcBorders>
              <w:top w:val="single" w:sz="5" w:space="0" w:color="000000"/>
              <w:left w:val="single" w:sz="5" w:space="0" w:color="000000"/>
              <w:bottom w:val="single" w:sz="5" w:space="0" w:color="000000"/>
              <w:right w:val="single" w:sz="5" w:space="0" w:color="000000"/>
            </w:tcBorders>
          </w:tcPr>
          <w:p w14:paraId="5DC17161" w14:textId="77777777" w:rsidR="000F455B" w:rsidRPr="00C73849" w:rsidRDefault="000F455B" w:rsidP="000F455B">
            <w:pPr>
              <w:pStyle w:val="TableParagraph"/>
              <w:spacing w:line="246" w:lineRule="exact"/>
              <w:ind w:left="102"/>
              <w:rPr>
                <w:rFonts w:ascii="Times New Roman" w:eastAsia="Times New Roman" w:hAnsi="Times New Roman" w:cs="Times New Roman"/>
              </w:rPr>
            </w:pPr>
            <w:r w:rsidRPr="00C73849">
              <w:rPr>
                <w:rFonts w:ascii="Times New Roman"/>
              </w:rPr>
              <w:t>Time constant for hyperpolarization decay</w:t>
            </w:r>
          </w:p>
        </w:tc>
      </w:tr>
      <w:tr w:rsidR="000F455B" w:rsidRPr="00C73849" w14:paraId="16BB77BC"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40C723A7" w14:textId="77777777" w:rsidR="000F455B" w:rsidRPr="00C73849" w:rsidRDefault="000F455B" w:rsidP="000F455B">
            <w:pPr>
              <w:pStyle w:val="TableParagraph"/>
              <w:spacing w:line="250" w:lineRule="exact"/>
              <w:ind w:left="102"/>
              <w:rPr>
                <w:rFonts w:ascii="Times New Roman" w:eastAsia="Times New Roman" w:hAnsi="Times New Roman" w:cs="Times New Roman"/>
                <w:sz w:val="14"/>
                <w:szCs w:val="14"/>
              </w:rPr>
            </w:pPr>
            <w:r w:rsidRPr="00C73849">
              <w:rPr>
                <w:rFonts w:ascii="Times New Roman"/>
                <w:position w:val="3"/>
              </w:rPr>
              <w:t>T</w:t>
            </w:r>
            <w:r w:rsidRPr="00C73849">
              <w:rPr>
                <w:rFonts w:ascii="Times New Roman"/>
                <w:sz w:val="14"/>
              </w:rPr>
              <w:t>max</w:t>
            </w:r>
          </w:p>
        </w:tc>
        <w:tc>
          <w:tcPr>
            <w:tcW w:w="6484" w:type="dxa"/>
            <w:tcBorders>
              <w:top w:val="single" w:sz="5" w:space="0" w:color="000000"/>
              <w:left w:val="single" w:sz="5" w:space="0" w:color="000000"/>
              <w:bottom w:val="single" w:sz="5" w:space="0" w:color="000000"/>
              <w:right w:val="single" w:sz="5" w:space="0" w:color="000000"/>
            </w:tcBorders>
          </w:tcPr>
          <w:p w14:paraId="32AFA0E0" w14:textId="77777777" w:rsidR="000F455B" w:rsidRPr="00C73849" w:rsidRDefault="000F455B" w:rsidP="000F455B">
            <w:pPr>
              <w:pStyle w:val="TableParagraph"/>
              <w:spacing w:line="246" w:lineRule="exact"/>
              <w:ind w:left="102"/>
              <w:rPr>
                <w:rFonts w:ascii="Times New Roman" w:eastAsia="Times New Roman" w:hAnsi="Times New Roman" w:cs="Times New Roman"/>
              </w:rPr>
            </w:pPr>
            <w:r w:rsidRPr="00C73849">
              <w:rPr>
                <w:rFonts w:ascii="Times New Roman"/>
              </w:rPr>
              <w:t>Time of maximum concentration</w:t>
            </w:r>
          </w:p>
        </w:tc>
      </w:tr>
      <w:tr w:rsidR="000F455B" w:rsidRPr="00C73849" w14:paraId="456D76F5" w14:textId="77777777" w:rsidTr="00C627EB">
        <w:trPr>
          <w:trHeight w:hRule="exact" w:val="264"/>
        </w:trPr>
        <w:tc>
          <w:tcPr>
            <w:tcW w:w="2942" w:type="dxa"/>
            <w:tcBorders>
              <w:top w:val="single" w:sz="5" w:space="0" w:color="000000"/>
              <w:left w:val="single" w:sz="5" w:space="0" w:color="000000"/>
              <w:bottom w:val="single" w:sz="5" w:space="0" w:color="000000"/>
              <w:right w:val="single" w:sz="5" w:space="0" w:color="000000"/>
            </w:tcBorders>
          </w:tcPr>
          <w:p w14:paraId="30ED3047" w14:textId="77777777" w:rsidR="000F455B" w:rsidRPr="00C73849" w:rsidRDefault="000F455B" w:rsidP="000F455B">
            <w:pPr>
              <w:pStyle w:val="TableParagraph"/>
              <w:spacing w:line="246" w:lineRule="exact"/>
              <w:ind w:left="102"/>
              <w:rPr>
                <w:rFonts w:ascii="Times New Roman" w:eastAsia="Times New Roman" w:hAnsi="Times New Roman" w:cs="Times New Roman"/>
              </w:rPr>
            </w:pPr>
            <w:r w:rsidRPr="00C73849">
              <w:rPr>
                <w:rFonts w:ascii="Times New Roman"/>
              </w:rPr>
              <w:t>TK</w:t>
            </w:r>
          </w:p>
        </w:tc>
        <w:tc>
          <w:tcPr>
            <w:tcW w:w="6484" w:type="dxa"/>
            <w:tcBorders>
              <w:top w:val="single" w:sz="5" w:space="0" w:color="000000"/>
              <w:left w:val="single" w:sz="5" w:space="0" w:color="000000"/>
              <w:bottom w:val="single" w:sz="5" w:space="0" w:color="000000"/>
              <w:right w:val="single" w:sz="5" w:space="0" w:color="000000"/>
            </w:tcBorders>
          </w:tcPr>
          <w:p w14:paraId="1661EA7D" w14:textId="77777777" w:rsidR="000F455B" w:rsidRPr="00C73849" w:rsidRDefault="000F455B" w:rsidP="000F455B">
            <w:pPr>
              <w:pStyle w:val="TableParagraph"/>
              <w:spacing w:line="246" w:lineRule="exact"/>
              <w:ind w:left="102"/>
              <w:rPr>
                <w:rFonts w:ascii="Times New Roman" w:eastAsia="Times New Roman" w:hAnsi="Times New Roman" w:cs="Times New Roman"/>
              </w:rPr>
            </w:pPr>
            <w:proofErr w:type="spellStart"/>
            <w:r w:rsidRPr="00C73849">
              <w:rPr>
                <w:rFonts w:ascii="Times New Roman"/>
              </w:rPr>
              <w:t>Toxicokinetics</w:t>
            </w:r>
            <w:proofErr w:type="spellEnd"/>
          </w:p>
        </w:tc>
      </w:tr>
      <w:tr w:rsidR="000F455B" w:rsidRPr="00C73849" w14:paraId="6BC02875" w14:textId="77777777" w:rsidTr="00C627EB">
        <w:trPr>
          <w:trHeight w:hRule="exact" w:val="264"/>
        </w:trPr>
        <w:tc>
          <w:tcPr>
            <w:tcW w:w="2942" w:type="dxa"/>
            <w:tcBorders>
              <w:top w:val="single" w:sz="5" w:space="0" w:color="000000"/>
              <w:left w:val="single" w:sz="5" w:space="0" w:color="000000"/>
              <w:bottom w:val="single" w:sz="5" w:space="0" w:color="000000"/>
              <w:right w:val="single" w:sz="5" w:space="0" w:color="000000"/>
            </w:tcBorders>
          </w:tcPr>
          <w:p w14:paraId="13795BAA" w14:textId="77777777" w:rsidR="000F455B" w:rsidRPr="00C73849" w:rsidRDefault="000F455B" w:rsidP="000F455B">
            <w:pPr>
              <w:pStyle w:val="TableParagraph"/>
              <w:spacing w:line="246" w:lineRule="exact"/>
              <w:ind w:left="102"/>
              <w:rPr>
                <w:rFonts w:ascii="Times New Roman" w:eastAsia="Times New Roman" w:hAnsi="Times New Roman" w:cs="Times New Roman"/>
              </w:rPr>
            </w:pPr>
            <w:proofErr w:type="spellStart"/>
            <w:r w:rsidRPr="00C73849">
              <w:rPr>
                <w:rFonts w:ascii="Times New Roman"/>
              </w:rPr>
              <w:t>tk</w:t>
            </w:r>
            <w:proofErr w:type="spellEnd"/>
            <w:r w:rsidRPr="00C73849">
              <w:rPr>
                <w:rFonts w:ascii="Times New Roman"/>
              </w:rPr>
              <w:t xml:space="preserve"> locus</w:t>
            </w:r>
          </w:p>
        </w:tc>
        <w:tc>
          <w:tcPr>
            <w:tcW w:w="6484" w:type="dxa"/>
            <w:tcBorders>
              <w:top w:val="single" w:sz="5" w:space="0" w:color="000000"/>
              <w:left w:val="single" w:sz="5" w:space="0" w:color="000000"/>
              <w:bottom w:val="single" w:sz="5" w:space="0" w:color="000000"/>
              <w:right w:val="single" w:sz="5" w:space="0" w:color="000000"/>
            </w:tcBorders>
          </w:tcPr>
          <w:p w14:paraId="31BE4740" w14:textId="77777777" w:rsidR="000F455B" w:rsidRPr="00C73849" w:rsidRDefault="000F455B" w:rsidP="000F455B">
            <w:pPr>
              <w:pStyle w:val="TableParagraph"/>
              <w:spacing w:line="246" w:lineRule="exact"/>
              <w:ind w:left="102"/>
              <w:rPr>
                <w:rFonts w:ascii="Times New Roman" w:eastAsia="Times New Roman" w:hAnsi="Times New Roman" w:cs="Times New Roman"/>
              </w:rPr>
            </w:pPr>
            <w:r w:rsidRPr="00C73849">
              <w:rPr>
                <w:rFonts w:ascii="Times New Roman"/>
              </w:rPr>
              <w:t>Thymidine kinase locus</w:t>
            </w:r>
          </w:p>
        </w:tc>
      </w:tr>
      <w:tr w:rsidR="000F455B" w:rsidRPr="00C73849" w14:paraId="5ABB4AEC"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45DCF1E9" w14:textId="77777777" w:rsidR="000F455B" w:rsidRPr="00C73849" w:rsidRDefault="000F455B" w:rsidP="000F455B">
            <w:pPr>
              <w:pStyle w:val="TableParagraph"/>
              <w:spacing w:line="246" w:lineRule="exact"/>
              <w:ind w:left="102"/>
              <w:rPr>
                <w:rFonts w:ascii="Times New Roman" w:eastAsia="Times New Roman" w:hAnsi="Times New Roman" w:cs="Times New Roman"/>
              </w:rPr>
            </w:pPr>
            <w:r w:rsidRPr="00C73849">
              <w:rPr>
                <w:rFonts w:ascii="Times New Roman"/>
              </w:rPr>
              <w:t>TRAMP</w:t>
            </w:r>
          </w:p>
        </w:tc>
        <w:tc>
          <w:tcPr>
            <w:tcW w:w="6484" w:type="dxa"/>
            <w:tcBorders>
              <w:top w:val="single" w:sz="5" w:space="0" w:color="000000"/>
              <w:left w:val="single" w:sz="5" w:space="0" w:color="000000"/>
              <w:bottom w:val="single" w:sz="5" w:space="0" w:color="000000"/>
              <w:right w:val="single" w:sz="5" w:space="0" w:color="000000"/>
            </w:tcBorders>
          </w:tcPr>
          <w:p w14:paraId="48395694" w14:textId="77777777" w:rsidR="000F455B" w:rsidRPr="00C73849" w:rsidRDefault="000F455B" w:rsidP="000F455B">
            <w:pPr>
              <w:pStyle w:val="TableParagraph"/>
              <w:spacing w:line="246" w:lineRule="exact"/>
              <w:ind w:left="103"/>
              <w:rPr>
                <w:rFonts w:ascii="Times New Roman" w:eastAsia="Times New Roman" w:hAnsi="Times New Roman" w:cs="Times New Roman"/>
              </w:rPr>
            </w:pPr>
            <w:r w:rsidRPr="00C73849">
              <w:rPr>
                <w:rFonts w:ascii="Times New Roman"/>
              </w:rPr>
              <w:t>Transgenic adenocarcinoma of mouse prostate</w:t>
            </w:r>
          </w:p>
        </w:tc>
      </w:tr>
      <w:tr w:rsidR="000F455B" w:rsidRPr="00C73849" w14:paraId="7721EE05" w14:textId="77777777" w:rsidTr="00C627EB">
        <w:trPr>
          <w:trHeight w:hRule="exact" w:val="264"/>
        </w:trPr>
        <w:tc>
          <w:tcPr>
            <w:tcW w:w="2942" w:type="dxa"/>
            <w:tcBorders>
              <w:top w:val="single" w:sz="5" w:space="0" w:color="000000"/>
              <w:left w:val="single" w:sz="5" w:space="0" w:color="000000"/>
              <w:bottom w:val="single" w:sz="5" w:space="0" w:color="000000"/>
              <w:right w:val="single" w:sz="5" w:space="0" w:color="000000"/>
            </w:tcBorders>
          </w:tcPr>
          <w:p w14:paraId="5E3633CC" w14:textId="77777777" w:rsidR="000F455B" w:rsidRPr="00C73849" w:rsidRDefault="000F455B" w:rsidP="000F455B">
            <w:pPr>
              <w:pStyle w:val="TableParagraph"/>
              <w:spacing w:line="246" w:lineRule="exact"/>
              <w:ind w:left="102"/>
              <w:rPr>
                <w:rFonts w:ascii="Times New Roman" w:eastAsia="Times New Roman" w:hAnsi="Times New Roman" w:cs="Times New Roman"/>
              </w:rPr>
            </w:pPr>
            <w:r w:rsidRPr="00C73849">
              <w:rPr>
                <w:rFonts w:ascii="Times New Roman"/>
              </w:rPr>
              <w:t>TRIS</w:t>
            </w:r>
          </w:p>
        </w:tc>
        <w:tc>
          <w:tcPr>
            <w:tcW w:w="6484" w:type="dxa"/>
            <w:tcBorders>
              <w:top w:val="single" w:sz="5" w:space="0" w:color="000000"/>
              <w:left w:val="single" w:sz="5" w:space="0" w:color="000000"/>
              <w:bottom w:val="single" w:sz="5" w:space="0" w:color="000000"/>
              <w:right w:val="single" w:sz="5" w:space="0" w:color="000000"/>
            </w:tcBorders>
          </w:tcPr>
          <w:p w14:paraId="606E00CF" w14:textId="77777777" w:rsidR="000F455B" w:rsidRPr="00C73849" w:rsidRDefault="000F455B" w:rsidP="000F455B">
            <w:pPr>
              <w:pStyle w:val="TableParagraph"/>
              <w:spacing w:line="246" w:lineRule="exact"/>
              <w:ind w:left="102"/>
              <w:rPr>
                <w:rFonts w:ascii="Times New Roman" w:eastAsia="Times New Roman" w:hAnsi="Times New Roman" w:cs="Times New Roman"/>
              </w:rPr>
            </w:pPr>
            <w:r w:rsidRPr="00C73849">
              <w:rPr>
                <w:rFonts w:ascii="Times New Roman"/>
              </w:rPr>
              <w:t>Tris (hydroxymethyl) aminomethane, or trometamol</w:t>
            </w:r>
          </w:p>
        </w:tc>
      </w:tr>
      <w:tr w:rsidR="000F455B" w:rsidRPr="00A602A5" w14:paraId="00F8CF2B" w14:textId="77777777" w:rsidTr="00C627EB">
        <w:trPr>
          <w:trHeight w:hRule="exact" w:val="516"/>
        </w:trPr>
        <w:tc>
          <w:tcPr>
            <w:tcW w:w="2942" w:type="dxa"/>
            <w:tcBorders>
              <w:top w:val="single" w:sz="5" w:space="0" w:color="000000"/>
              <w:left w:val="single" w:sz="5" w:space="0" w:color="000000"/>
              <w:bottom w:val="single" w:sz="5" w:space="0" w:color="000000"/>
              <w:right w:val="single" w:sz="5" w:space="0" w:color="000000"/>
            </w:tcBorders>
          </w:tcPr>
          <w:p w14:paraId="6BB53A70" w14:textId="77777777" w:rsidR="000F455B" w:rsidRPr="00A602A5" w:rsidRDefault="000F455B" w:rsidP="000F455B">
            <w:pPr>
              <w:pStyle w:val="TableParagraph"/>
              <w:spacing w:before="1" w:line="252" w:lineRule="exact"/>
              <w:ind w:left="102" w:right="209"/>
              <w:rPr>
                <w:rFonts w:ascii="Times New Roman" w:eastAsia="Times New Roman" w:hAnsi="Times New Roman" w:cs="Times New Roman"/>
              </w:rPr>
            </w:pPr>
            <w:r w:rsidRPr="00A602A5">
              <w:rPr>
                <w:rFonts w:ascii="Times New Roman"/>
              </w:rPr>
              <w:t>TRIS/EDTA vehicle control solution</w:t>
            </w:r>
          </w:p>
        </w:tc>
        <w:tc>
          <w:tcPr>
            <w:tcW w:w="6484" w:type="dxa"/>
            <w:tcBorders>
              <w:top w:val="single" w:sz="5" w:space="0" w:color="000000"/>
              <w:left w:val="single" w:sz="5" w:space="0" w:color="000000"/>
              <w:bottom w:val="single" w:sz="5" w:space="0" w:color="000000"/>
              <w:right w:val="single" w:sz="5" w:space="0" w:color="000000"/>
            </w:tcBorders>
          </w:tcPr>
          <w:p w14:paraId="228FC803" w14:textId="77777777" w:rsidR="000F455B" w:rsidRPr="00A602A5" w:rsidRDefault="000F455B" w:rsidP="000F455B">
            <w:pPr>
              <w:pStyle w:val="TableParagraph"/>
              <w:spacing w:line="246" w:lineRule="exact"/>
              <w:ind w:left="102"/>
              <w:rPr>
                <w:rFonts w:ascii="Times New Roman" w:eastAsia="Times New Roman" w:hAnsi="Times New Roman" w:cs="Times New Roman"/>
              </w:rPr>
            </w:pPr>
            <w:r w:rsidRPr="00A602A5">
              <w:rPr>
                <w:rFonts w:ascii="Times New Roman"/>
              </w:rPr>
              <w:t>Control solution used in some of the nonclinical studies.</w:t>
            </w:r>
          </w:p>
        </w:tc>
      </w:tr>
      <w:tr w:rsidR="000F455B" w:rsidRPr="00A602A5" w14:paraId="64501984" w14:textId="77777777" w:rsidTr="00C627EB">
        <w:trPr>
          <w:trHeight w:hRule="exact" w:val="1020"/>
        </w:trPr>
        <w:tc>
          <w:tcPr>
            <w:tcW w:w="2942" w:type="dxa"/>
            <w:tcBorders>
              <w:top w:val="single" w:sz="5" w:space="0" w:color="000000"/>
              <w:left w:val="single" w:sz="5" w:space="0" w:color="000000"/>
              <w:bottom w:val="single" w:sz="5" w:space="0" w:color="000000"/>
              <w:right w:val="single" w:sz="5" w:space="0" w:color="000000"/>
            </w:tcBorders>
          </w:tcPr>
          <w:p w14:paraId="64306150" w14:textId="77777777" w:rsidR="000F455B" w:rsidRPr="00A602A5" w:rsidRDefault="000F455B" w:rsidP="000F455B">
            <w:pPr>
              <w:pStyle w:val="TableParagraph"/>
              <w:spacing w:before="1" w:line="252" w:lineRule="exact"/>
              <w:ind w:left="102" w:right="567"/>
              <w:rPr>
                <w:rFonts w:ascii="Times New Roman" w:eastAsia="Times New Roman" w:hAnsi="Times New Roman" w:cs="Times New Roman"/>
              </w:rPr>
            </w:pPr>
            <w:r w:rsidRPr="00A602A5">
              <w:rPr>
                <w:rFonts w:ascii="Times New Roman"/>
              </w:rPr>
              <w:lastRenderedPageBreak/>
              <w:t>TRIS/EDTA dissolution medium</w:t>
            </w:r>
          </w:p>
        </w:tc>
        <w:tc>
          <w:tcPr>
            <w:tcW w:w="6484" w:type="dxa"/>
            <w:tcBorders>
              <w:top w:val="single" w:sz="5" w:space="0" w:color="000000"/>
              <w:left w:val="single" w:sz="5" w:space="0" w:color="000000"/>
              <w:bottom w:val="single" w:sz="5" w:space="0" w:color="000000"/>
              <w:right w:val="single" w:sz="5" w:space="0" w:color="000000"/>
            </w:tcBorders>
          </w:tcPr>
          <w:p w14:paraId="2F1218D9" w14:textId="77777777" w:rsidR="000F455B" w:rsidRPr="00A602A5" w:rsidRDefault="000F455B" w:rsidP="000F455B">
            <w:pPr>
              <w:pStyle w:val="TableParagraph"/>
              <w:spacing w:line="239" w:lineRule="auto"/>
              <w:ind w:left="102" w:right="124"/>
              <w:rPr>
                <w:rFonts w:ascii="Times New Roman" w:eastAsia="Times New Roman" w:hAnsi="Times New Roman" w:cs="Times New Roman"/>
              </w:rPr>
            </w:pPr>
            <w:r w:rsidRPr="00A602A5">
              <w:rPr>
                <w:rFonts w:ascii="Times New Roman"/>
              </w:rPr>
              <w:t>Component of the drug product kit for nonclinical studies and</w:t>
            </w:r>
            <w:r w:rsidR="001E1911" w:rsidRPr="00A602A5">
              <w:rPr>
                <w:rFonts w:ascii="Times New Roman"/>
              </w:rPr>
              <w:t xml:space="preserve"> </w:t>
            </w:r>
            <w:r w:rsidRPr="00A602A5">
              <w:rPr>
                <w:rFonts w:ascii="Times New Roman"/>
              </w:rPr>
              <w:t>clinical studies GE-101-001/GE-101-003: solution used to dissolve the non-hyperpolarized mixture of pyruvic acid and AH111501 sodium salt</w:t>
            </w:r>
          </w:p>
        </w:tc>
      </w:tr>
      <w:tr w:rsidR="000F455B" w:rsidRPr="00A602A5" w14:paraId="1A8BF4BE" w14:textId="77777777" w:rsidTr="00C627EB">
        <w:trPr>
          <w:trHeight w:hRule="exact" w:val="1039"/>
        </w:trPr>
        <w:tc>
          <w:tcPr>
            <w:tcW w:w="2942" w:type="dxa"/>
            <w:tcBorders>
              <w:top w:val="single" w:sz="5" w:space="0" w:color="000000"/>
              <w:left w:val="single" w:sz="5" w:space="0" w:color="000000"/>
              <w:bottom w:val="single" w:sz="5" w:space="0" w:color="000000"/>
              <w:right w:val="single" w:sz="5" w:space="0" w:color="000000"/>
            </w:tcBorders>
          </w:tcPr>
          <w:p w14:paraId="6FEFD13D" w14:textId="77777777" w:rsidR="000F455B" w:rsidRPr="00A602A5" w:rsidRDefault="000F455B" w:rsidP="000F455B">
            <w:pPr>
              <w:pStyle w:val="TableParagraph"/>
              <w:spacing w:line="251" w:lineRule="exact"/>
              <w:ind w:left="102"/>
              <w:rPr>
                <w:rFonts w:ascii="Times New Roman" w:eastAsia="Times New Roman" w:hAnsi="Times New Roman" w:cs="Times New Roman"/>
              </w:rPr>
            </w:pPr>
            <w:r w:rsidRPr="00A602A5">
              <w:rPr>
                <w:rFonts w:ascii="Times New Roman"/>
              </w:rPr>
              <w:t>TRIS/EDTA buffer solution</w:t>
            </w:r>
          </w:p>
        </w:tc>
        <w:tc>
          <w:tcPr>
            <w:tcW w:w="6484" w:type="dxa"/>
            <w:tcBorders>
              <w:top w:val="single" w:sz="5" w:space="0" w:color="000000"/>
              <w:left w:val="single" w:sz="5" w:space="0" w:color="000000"/>
              <w:bottom w:val="single" w:sz="5" w:space="0" w:color="000000"/>
              <w:right w:val="single" w:sz="5" w:space="0" w:color="000000"/>
            </w:tcBorders>
          </w:tcPr>
          <w:p w14:paraId="5E3B0DC4" w14:textId="5BADF00F" w:rsidR="000F455B" w:rsidRPr="00A602A5" w:rsidRDefault="000F455B" w:rsidP="000F455B">
            <w:pPr>
              <w:pStyle w:val="TableParagraph"/>
              <w:spacing w:before="1" w:line="230" w:lineRule="auto"/>
              <w:ind w:left="102" w:right="437"/>
              <w:rPr>
                <w:rFonts w:ascii="Times New Roman" w:eastAsia="Times New Roman" w:hAnsi="Times New Roman" w:cs="Times New Roman"/>
              </w:rPr>
            </w:pPr>
            <w:r w:rsidRPr="00A602A5">
              <w:rPr>
                <w:rFonts w:ascii="Times New Roman" w:eastAsia="Times New Roman" w:hAnsi="Times New Roman" w:cs="Times New Roman"/>
              </w:rPr>
              <w:t xml:space="preserve">Component of the drug product kit for clinical study GE- 101-002; solution used to neutralize, buffer and dilute dissolved </w:t>
            </w:r>
            <w:r w:rsidRPr="00A602A5">
              <w:rPr>
                <w:rFonts w:ascii="Symbol" w:eastAsia="Symbol" w:hAnsi="Symbol" w:cs="Symbol"/>
              </w:rPr>
              <w:t></w:t>
            </w:r>
            <w:r w:rsidRPr="00A602A5">
              <w:rPr>
                <w:rFonts w:ascii="Times New Roman" w:eastAsia="Times New Roman" w:hAnsi="Times New Roman" w:cs="Times New Roman"/>
              </w:rPr>
              <w:t>1</w:t>
            </w:r>
            <w:proofErr w:type="gramStart"/>
            <w:r w:rsidRPr="00A602A5">
              <w:rPr>
                <w:rFonts w:ascii="Times New Roman" w:eastAsia="Times New Roman" w:hAnsi="Times New Roman" w:cs="Times New Roman"/>
              </w:rPr>
              <w:t>-</w:t>
            </w:r>
            <w:r w:rsidR="005F6CE7">
              <w:rPr>
                <w:rFonts w:ascii="Times New Roman" w:eastAsia="Times New Roman" w:hAnsi="Times New Roman" w:cs="Times New Roman"/>
              </w:rPr>
              <w:t>[</w:t>
            </w:r>
            <w:proofErr w:type="gramEnd"/>
            <w:r w:rsidR="005F6CE7" w:rsidRPr="005F6CE7">
              <w:rPr>
                <w:rFonts w:ascii="Times New Roman" w:eastAsia="Times New Roman" w:hAnsi="Times New Roman" w:cs="Times New Roman"/>
                <w:vertAlign w:val="superscript"/>
              </w:rPr>
              <w:t>13</w:t>
            </w:r>
            <w:r w:rsidR="005F6CE7">
              <w:rPr>
                <w:rFonts w:ascii="Times New Roman" w:eastAsia="Times New Roman" w:hAnsi="Times New Roman" w:cs="Times New Roman"/>
              </w:rPr>
              <w:t>C</w:t>
            </w:r>
            <w:r w:rsidRPr="00A602A5">
              <w:rPr>
                <w:rFonts w:ascii="Symbol" w:eastAsia="Symbol" w:hAnsi="Symbol" w:cs="Symbol"/>
              </w:rPr>
              <w:t></w:t>
            </w:r>
            <w:r w:rsidRPr="00A602A5">
              <w:rPr>
                <w:rFonts w:ascii="Times New Roman" w:eastAsia="Times New Roman" w:hAnsi="Times New Roman" w:cs="Times New Roman"/>
              </w:rPr>
              <w:t>pyruvic acid during compounding of Hyperpolarized Pyruvate (</w:t>
            </w:r>
            <w:r w:rsidRPr="00A602A5">
              <w:rPr>
                <w:rFonts w:ascii="Times New Roman" w:eastAsia="Times New Roman" w:hAnsi="Times New Roman" w:cs="Times New Roman"/>
                <w:position w:val="10"/>
                <w:sz w:val="14"/>
                <w:szCs w:val="14"/>
              </w:rPr>
              <w:t>13</w:t>
            </w:r>
            <w:r w:rsidRPr="00A602A5">
              <w:rPr>
                <w:rFonts w:ascii="Times New Roman" w:eastAsia="Times New Roman" w:hAnsi="Times New Roman" w:cs="Times New Roman"/>
              </w:rPr>
              <w:t>C) Injection</w:t>
            </w:r>
          </w:p>
        </w:tc>
      </w:tr>
      <w:tr w:rsidR="000F455B" w:rsidRPr="00C73849" w14:paraId="29CDD51E" w14:textId="77777777" w:rsidTr="00C627EB">
        <w:trPr>
          <w:trHeight w:hRule="exact" w:val="264"/>
        </w:trPr>
        <w:tc>
          <w:tcPr>
            <w:tcW w:w="2942" w:type="dxa"/>
            <w:tcBorders>
              <w:top w:val="single" w:sz="5" w:space="0" w:color="000000"/>
              <w:left w:val="single" w:sz="5" w:space="0" w:color="000000"/>
              <w:bottom w:val="single" w:sz="5" w:space="0" w:color="000000"/>
              <w:right w:val="single" w:sz="5" w:space="0" w:color="000000"/>
            </w:tcBorders>
          </w:tcPr>
          <w:p w14:paraId="0638DD04" w14:textId="77777777" w:rsidR="000F455B" w:rsidRPr="00C73849" w:rsidRDefault="000F455B" w:rsidP="000F455B">
            <w:pPr>
              <w:pStyle w:val="TableParagraph"/>
              <w:spacing w:line="246" w:lineRule="exact"/>
              <w:ind w:left="102"/>
              <w:rPr>
                <w:rFonts w:ascii="Times New Roman" w:eastAsia="Times New Roman" w:hAnsi="Times New Roman" w:cs="Times New Roman"/>
              </w:rPr>
            </w:pPr>
            <w:r w:rsidRPr="00C73849">
              <w:rPr>
                <w:rFonts w:ascii="Times New Roman"/>
              </w:rPr>
              <w:t>UCSF</w:t>
            </w:r>
          </w:p>
        </w:tc>
        <w:tc>
          <w:tcPr>
            <w:tcW w:w="6484" w:type="dxa"/>
            <w:tcBorders>
              <w:top w:val="single" w:sz="5" w:space="0" w:color="000000"/>
              <w:left w:val="single" w:sz="5" w:space="0" w:color="000000"/>
              <w:bottom w:val="single" w:sz="5" w:space="0" w:color="000000"/>
              <w:right w:val="single" w:sz="5" w:space="0" w:color="000000"/>
            </w:tcBorders>
          </w:tcPr>
          <w:p w14:paraId="4E839A93" w14:textId="77777777" w:rsidR="000F455B" w:rsidRPr="00C73849" w:rsidRDefault="000F455B" w:rsidP="000F455B">
            <w:pPr>
              <w:pStyle w:val="TableParagraph"/>
              <w:spacing w:line="246" w:lineRule="exact"/>
              <w:ind w:left="102"/>
              <w:rPr>
                <w:rFonts w:ascii="Times New Roman" w:eastAsia="Times New Roman" w:hAnsi="Times New Roman" w:cs="Times New Roman"/>
              </w:rPr>
            </w:pPr>
            <w:r w:rsidRPr="00C73849">
              <w:rPr>
                <w:rFonts w:ascii="Times New Roman"/>
              </w:rPr>
              <w:t>University of California in San Francisco</w:t>
            </w:r>
          </w:p>
        </w:tc>
      </w:tr>
      <w:tr w:rsidR="000F455B" w:rsidRPr="00C73849" w14:paraId="4AC8A0E1" w14:textId="77777777" w:rsidTr="00C627EB">
        <w:trPr>
          <w:trHeight w:hRule="exact" w:val="262"/>
        </w:trPr>
        <w:tc>
          <w:tcPr>
            <w:tcW w:w="2942" w:type="dxa"/>
            <w:tcBorders>
              <w:top w:val="single" w:sz="5" w:space="0" w:color="000000"/>
              <w:left w:val="single" w:sz="5" w:space="0" w:color="000000"/>
              <w:bottom w:val="single" w:sz="5" w:space="0" w:color="000000"/>
              <w:right w:val="single" w:sz="5" w:space="0" w:color="000000"/>
            </w:tcBorders>
          </w:tcPr>
          <w:p w14:paraId="58759FF6" w14:textId="77777777" w:rsidR="000F455B" w:rsidRPr="00C73849" w:rsidRDefault="000F455B" w:rsidP="000F455B">
            <w:pPr>
              <w:pStyle w:val="TableParagraph"/>
              <w:spacing w:line="246" w:lineRule="exact"/>
              <w:ind w:left="102"/>
              <w:rPr>
                <w:rFonts w:ascii="Times New Roman" w:eastAsia="Times New Roman" w:hAnsi="Times New Roman" w:cs="Times New Roman"/>
              </w:rPr>
            </w:pPr>
            <w:r w:rsidRPr="00C73849">
              <w:rPr>
                <w:rFonts w:ascii="Times New Roman"/>
              </w:rPr>
              <w:t>USP</w:t>
            </w:r>
          </w:p>
        </w:tc>
        <w:tc>
          <w:tcPr>
            <w:tcW w:w="6484" w:type="dxa"/>
            <w:tcBorders>
              <w:top w:val="single" w:sz="5" w:space="0" w:color="000000"/>
              <w:left w:val="single" w:sz="5" w:space="0" w:color="000000"/>
              <w:bottom w:val="single" w:sz="5" w:space="0" w:color="000000"/>
              <w:right w:val="single" w:sz="5" w:space="0" w:color="000000"/>
            </w:tcBorders>
          </w:tcPr>
          <w:p w14:paraId="338685D2" w14:textId="77777777" w:rsidR="000F455B" w:rsidRPr="00C73849" w:rsidRDefault="000F455B" w:rsidP="000F455B">
            <w:pPr>
              <w:pStyle w:val="TableParagraph"/>
              <w:spacing w:line="246" w:lineRule="exact"/>
              <w:ind w:left="104"/>
              <w:rPr>
                <w:rFonts w:ascii="Times New Roman" w:eastAsia="Times New Roman" w:hAnsi="Times New Roman" w:cs="Times New Roman"/>
              </w:rPr>
            </w:pPr>
            <w:r w:rsidRPr="00C73849">
              <w:rPr>
                <w:rFonts w:ascii="Times New Roman"/>
              </w:rPr>
              <w:t>United States Pharmacopoeia</w:t>
            </w:r>
          </w:p>
        </w:tc>
      </w:tr>
      <w:tr w:rsidR="000F455B" w:rsidRPr="00C73849" w14:paraId="28CBCD2A" w14:textId="77777777" w:rsidTr="00C627EB">
        <w:trPr>
          <w:trHeight w:hRule="exact" w:val="264"/>
        </w:trPr>
        <w:tc>
          <w:tcPr>
            <w:tcW w:w="2942" w:type="dxa"/>
            <w:tcBorders>
              <w:top w:val="single" w:sz="5" w:space="0" w:color="000000"/>
              <w:left w:val="single" w:sz="5" w:space="0" w:color="000000"/>
              <w:bottom w:val="single" w:sz="6" w:space="0" w:color="000000"/>
              <w:right w:val="single" w:sz="5" w:space="0" w:color="000000"/>
            </w:tcBorders>
          </w:tcPr>
          <w:p w14:paraId="0DD0BE8B" w14:textId="77777777" w:rsidR="000F455B" w:rsidRPr="00C73849" w:rsidRDefault="000F455B" w:rsidP="000F455B">
            <w:pPr>
              <w:pStyle w:val="TableParagraph"/>
              <w:spacing w:line="246" w:lineRule="exact"/>
              <w:ind w:left="102"/>
              <w:rPr>
                <w:rFonts w:ascii="Times New Roman" w:eastAsia="Times New Roman" w:hAnsi="Times New Roman" w:cs="Times New Roman"/>
              </w:rPr>
            </w:pPr>
            <w:r w:rsidRPr="00C73849">
              <w:rPr>
                <w:rFonts w:ascii="Times New Roman"/>
              </w:rPr>
              <w:t>Vehicle control solution</w:t>
            </w:r>
          </w:p>
        </w:tc>
        <w:tc>
          <w:tcPr>
            <w:tcW w:w="6484" w:type="dxa"/>
            <w:tcBorders>
              <w:top w:val="single" w:sz="5" w:space="0" w:color="000000"/>
              <w:left w:val="single" w:sz="5" w:space="0" w:color="000000"/>
              <w:bottom w:val="single" w:sz="6" w:space="0" w:color="000000"/>
              <w:right w:val="single" w:sz="5" w:space="0" w:color="000000"/>
            </w:tcBorders>
          </w:tcPr>
          <w:p w14:paraId="1C2A9611" w14:textId="77777777" w:rsidR="000F455B" w:rsidRPr="00C73849" w:rsidRDefault="000F455B" w:rsidP="000F455B">
            <w:pPr>
              <w:pStyle w:val="TableParagraph"/>
              <w:spacing w:line="251" w:lineRule="exact"/>
              <w:ind w:left="102"/>
              <w:rPr>
                <w:rFonts w:ascii="Times New Roman" w:eastAsia="Times New Roman" w:hAnsi="Times New Roman" w:cs="Times New Roman"/>
              </w:rPr>
            </w:pPr>
            <w:r w:rsidRPr="00C73849">
              <w:rPr>
                <w:rFonts w:ascii="Times New Roman"/>
                <w:b/>
              </w:rPr>
              <w:t>TRIS/EDTA vehicle control solution</w:t>
            </w:r>
          </w:p>
        </w:tc>
      </w:tr>
    </w:tbl>
    <w:p w14:paraId="2D8A8692" w14:textId="77777777" w:rsidR="004A7A84" w:rsidRPr="00C73849" w:rsidRDefault="00D92D87" w:rsidP="00A602A5">
      <w:pPr>
        <w:tabs>
          <w:tab w:val="left" w:pos="4171"/>
        </w:tabs>
        <w:spacing w:line="267" w:lineRule="exact"/>
        <w:ind w:left="222"/>
        <w:rPr>
          <w:rFonts w:ascii="Times New Roman" w:eastAsia="Times New Roman" w:hAnsi="Times New Roman" w:cs="Times New Roman"/>
          <w:sz w:val="20"/>
          <w:szCs w:val="20"/>
        </w:rPr>
      </w:pPr>
      <w:r w:rsidRPr="00C73849">
        <w:rPr>
          <w:rFonts w:ascii="Times New Roman"/>
          <w:b/>
          <w:sz w:val="24"/>
        </w:rPr>
        <w:t xml:space="preserve">Bold: </w:t>
      </w:r>
      <w:r w:rsidRPr="00C73849">
        <w:rPr>
          <w:rFonts w:ascii="Times New Roman"/>
          <w:sz w:val="24"/>
        </w:rPr>
        <w:t>preferred term</w:t>
      </w:r>
      <w:r w:rsidR="00A602A5">
        <w:rPr>
          <w:rFonts w:ascii="Times New Roman"/>
          <w:sz w:val="24"/>
        </w:rPr>
        <w:tab/>
      </w:r>
      <w:bookmarkStart w:id="8" w:name="_bookmark3"/>
      <w:bookmarkEnd w:id="8"/>
      <w:r w:rsidR="004A7A84" w:rsidRPr="00C73849">
        <w:rPr>
          <w:rFonts w:ascii="Times New Roman" w:eastAsia="Times New Roman" w:hAnsi="Times New Roman" w:cs="Times New Roman"/>
          <w:sz w:val="20"/>
          <w:szCs w:val="20"/>
        </w:rPr>
        <w:br w:type="page"/>
      </w:r>
    </w:p>
    <w:p w14:paraId="1DAC41D6" w14:textId="77777777" w:rsidR="00957F89" w:rsidRPr="00C73849" w:rsidRDefault="00D92D87" w:rsidP="0058353A">
      <w:pPr>
        <w:pStyle w:val="Heading1"/>
        <w:rPr>
          <w:rFonts w:cs="Times New Roman"/>
          <w:szCs w:val="28"/>
        </w:rPr>
      </w:pPr>
      <w:bookmarkStart w:id="9" w:name="_Toc34899950"/>
      <w:bookmarkStart w:id="10" w:name="_Toc33702479"/>
      <w:bookmarkStart w:id="11" w:name="_Toc176276913"/>
      <w:r w:rsidRPr="00C73849">
        <w:lastRenderedPageBreak/>
        <w:t>SUMMARY</w:t>
      </w:r>
      <w:bookmarkEnd w:id="9"/>
      <w:bookmarkEnd w:id="10"/>
      <w:bookmarkEnd w:id="11"/>
    </w:p>
    <w:p w14:paraId="74667A6B" w14:textId="77777777" w:rsidR="00957F89" w:rsidRPr="00C73849" w:rsidRDefault="00957F89">
      <w:pPr>
        <w:spacing w:before="4"/>
        <w:rPr>
          <w:rFonts w:ascii="Times New Roman" w:eastAsia="Times New Roman" w:hAnsi="Times New Roman" w:cs="Times New Roman"/>
          <w:b/>
          <w:bCs/>
          <w:sz w:val="24"/>
          <w:szCs w:val="24"/>
        </w:rPr>
      </w:pPr>
    </w:p>
    <w:p w14:paraId="1A73463F" w14:textId="77777777" w:rsidR="00957F89" w:rsidRPr="00C73849" w:rsidRDefault="00D92D87" w:rsidP="007E444D">
      <w:pPr>
        <w:pStyle w:val="BodyText"/>
        <w:spacing w:line="276" w:lineRule="exact"/>
        <w:ind w:right="977"/>
      </w:pPr>
      <w:r w:rsidRPr="00C73849">
        <w:t>Hyperpolarized Pyruvate (</w:t>
      </w:r>
      <w:r w:rsidRPr="00C73849">
        <w:rPr>
          <w:position w:val="11"/>
          <w:sz w:val="16"/>
          <w:szCs w:val="16"/>
        </w:rPr>
        <w:t>13</w:t>
      </w:r>
      <w:r w:rsidRPr="00C73849">
        <w:t>C) Injection, containing spin-polarized (“hyperpolarized”)</w:t>
      </w:r>
      <w:r w:rsidRPr="00C73849">
        <w:rPr>
          <w:w w:val="99"/>
        </w:rPr>
        <w:t xml:space="preserve"> </w:t>
      </w:r>
      <w:r w:rsidR="00DA51A1">
        <w:rPr>
          <w:w w:val="99"/>
        </w:rPr>
        <w:t>[</w:t>
      </w:r>
      <w:r w:rsidRPr="00C73849">
        <w:rPr>
          <w:position w:val="11"/>
          <w:sz w:val="16"/>
          <w:szCs w:val="16"/>
        </w:rPr>
        <w:t>13</w:t>
      </w:r>
      <w:proofErr w:type="gramStart"/>
      <w:r w:rsidRPr="00C73849">
        <w:t>C</w:t>
      </w:r>
      <w:r w:rsidR="00DA51A1">
        <w:t>]</w:t>
      </w:r>
      <w:r w:rsidRPr="00C73849">
        <w:t>pyruvate</w:t>
      </w:r>
      <w:proofErr w:type="gramEnd"/>
      <w:r w:rsidRPr="00C73849">
        <w:t>,</w:t>
      </w:r>
      <w:r w:rsidR="002C36FB" w:rsidRPr="002C36FB">
        <w:t xml:space="preserve"> </w:t>
      </w:r>
      <w:r w:rsidR="00240CE5">
        <w:t xml:space="preserve">is </w:t>
      </w:r>
      <w:r w:rsidR="0073795C">
        <w:t xml:space="preserve">being studied </w:t>
      </w:r>
      <w:r w:rsidRPr="00C73849">
        <w:t xml:space="preserve">as a diagnostic agent in combination with </w:t>
      </w:r>
      <w:r w:rsidRPr="00C73849">
        <w:rPr>
          <w:position w:val="11"/>
          <w:sz w:val="16"/>
          <w:szCs w:val="16"/>
        </w:rPr>
        <w:t>13</w:t>
      </w:r>
      <w:r w:rsidRPr="00C73849">
        <w:t>C</w:t>
      </w:r>
      <w:r w:rsidR="007E444D" w:rsidRPr="00C73849">
        <w:t xml:space="preserve"> </w:t>
      </w:r>
      <w:r w:rsidRPr="00C73849">
        <w:t>spectroscopic MR imaging. The aim is to visualize [</w:t>
      </w:r>
      <w:r w:rsidRPr="00C73849">
        <w:rPr>
          <w:position w:val="11"/>
          <w:sz w:val="16"/>
        </w:rPr>
        <w:t>13</w:t>
      </w:r>
      <w:proofErr w:type="gramStart"/>
      <w:r w:rsidRPr="00C73849">
        <w:t>C]pyruvate</w:t>
      </w:r>
      <w:proofErr w:type="gramEnd"/>
      <w:r w:rsidR="00240CE5">
        <w:t xml:space="preserve"> </w:t>
      </w:r>
      <w:r w:rsidRPr="00C73849">
        <w:t>and its metabolites and thereby distinguish between anatomical areas with normal vs. abnormal metabolism</w:t>
      </w:r>
      <w:r w:rsidR="0073795C">
        <w:t>, which</w:t>
      </w:r>
      <w:r w:rsidRPr="00C73849">
        <w:rPr>
          <w:w w:val="99"/>
        </w:rPr>
        <w:t xml:space="preserve"> </w:t>
      </w:r>
      <w:r w:rsidRPr="00C73849">
        <w:t>should be useful in diagnosing and characterizing, for example, malignancy.</w:t>
      </w:r>
      <w:r w:rsidR="00240CE5" w:rsidRPr="00240CE5">
        <w:t xml:space="preserve"> </w:t>
      </w:r>
      <w:r w:rsidR="00240CE5" w:rsidRPr="00C73849">
        <w:t>Hyperpolarized Pyruvate (</w:t>
      </w:r>
      <w:r w:rsidR="00240CE5" w:rsidRPr="00C73849">
        <w:rPr>
          <w:position w:val="11"/>
          <w:sz w:val="16"/>
          <w:szCs w:val="16"/>
        </w:rPr>
        <w:t>13</w:t>
      </w:r>
      <w:r w:rsidR="00240CE5" w:rsidRPr="00C73849">
        <w:t>C) Injection</w:t>
      </w:r>
      <w:r w:rsidR="00240CE5">
        <w:t xml:space="preserve"> </w:t>
      </w:r>
      <w:r w:rsidR="008401FD">
        <w:t>and [</w:t>
      </w:r>
      <w:r w:rsidR="008401FD" w:rsidRPr="008401FD">
        <w:rPr>
          <w:vertAlign w:val="superscript"/>
        </w:rPr>
        <w:t>13</w:t>
      </w:r>
      <w:proofErr w:type="gramStart"/>
      <w:r w:rsidR="008401FD">
        <w:t>C]pyruvate</w:t>
      </w:r>
      <w:proofErr w:type="gramEnd"/>
      <w:r w:rsidR="008401FD">
        <w:t xml:space="preserve"> are</w:t>
      </w:r>
      <w:r w:rsidR="00240CE5">
        <w:t xml:space="preserve"> general term</w:t>
      </w:r>
      <w:r w:rsidR="008401FD">
        <w:t>s</w:t>
      </w:r>
      <w:r w:rsidR="00B43F9A">
        <w:t xml:space="preserve"> used throughout this brochure,</w:t>
      </w:r>
      <w:r w:rsidR="00240CE5">
        <w:t xml:space="preserve"> that refer to all </w:t>
      </w:r>
      <w:r w:rsidR="00240CE5" w:rsidRPr="008401FD">
        <w:rPr>
          <w:vertAlign w:val="superscript"/>
        </w:rPr>
        <w:t>13</w:t>
      </w:r>
      <w:r w:rsidR="00240CE5">
        <w:t xml:space="preserve">C labeling patterns, such as </w:t>
      </w:r>
      <w:r w:rsidR="00DA51A1">
        <w:t>[1-</w:t>
      </w:r>
      <w:r w:rsidR="00DA51A1" w:rsidRPr="00DA51A1">
        <w:rPr>
          <w:vertAlign w:val="superscript"/>
        </w:rPr>
        <w:t>13</w:t>
      </w:r>
      <w:r w:rsidR="00DA51A1">
        <w:t>C]pyruvate, [2-</w:t>
      </w:r>
      <w:r w:rsidR="00DA51A1" w:rsidRPr="00DA51A1">
        <w:rPr>
          <w:vertAlign w:val="superscript"/>
        </w:rPr>
        <w:t>13</w:t>
      </w:r>
      <w:r w:rsidR="00DA51A1">
        <w:t>C]pyruvate and [1,2-</w:t>
      </w:r>
      <w:r w:rsidR="00DA51A1" w:rsidRPr="00DA51A1">
        <w:rPr>
          <w:vertAlign w:val="superscript"/>
        </w:rPr>
        <w:t>13</w:t>
      </w:r>
      <w:r w:rsidR="00DA51A1">
        <w:t xml:space="preserve">C]pyruvate. From </w:t>
      </w:r>
      <w:r w:rsidR="00115D68">
        <w:t xml:space="preserve">biological and </w:t>
      </w:r>
      <w:r w:rsidR="00DA51A1">
        <w:t>safety standpoint</w:t>
      </w:r>
      <w:r w:rsidR="00115D68">
        <w:t>s</w:t>
      </w:r>
      <w:r w:rsidR="00DA51A1">
        <w:t xml:space="preserve">, </w:t>
      </w:r>
      <w:r w:rsidR="000A21E5">
        <w:t xml:space="preserve">pyruvate with </w:t>
      </w:r>
      <w:r w:rsidR="00DA51A1">
        <w:t>each of the labeling patter</w:t>
      </w:r>
      <w:r w:rsidR="00021AF8">
        <w:t>n</w:t>
      </w:r>
      <w:r w:rsidR="00DA51A1">
        <w:t>s behave</w:t>
      </w:r>
      <w:r w:rsidR="00021AF8">
        <w:t>s</w:t>
      </w:r>
      <w:r w:rsidR="00DA51A1">
        <w:t xml:space="preserve"> identically in the human body</w:t>
      </w:r>
      <w:r w:rsidR="00021AF8">
        <w:t xml:space="preserve"> [</w:t>
      </w:r>
      <w:proofErr w:type="spellStart"/>
      <w:r w:rsidR="00021AF8">
        <w:t>Koletzko</w:t>
      </w:r>
      <w:proofErr w:type="spellEnd"/>
      <w:r w:rsidR="00021AF8" w:rsidRPr="00C73849">
        <w:t xml:space="preserve"> et al.</w:t>
      </w:r>
      <w:r w:rsidR="00021AF8">
        <w:t>, 1997</w:t>
      </w:r>
      <w:r w:rsidR="00021AF8" w:rsidRPr="00C73849">
        <w:t>]</w:t>
      </w:r>
      <w:r w:rsidR="00021AF8">
        <w:t>.</w:t>
      </w:r>
    </w:p>
    <w:p w14:paraId="535A9D9A" w14:textId="77777777" w:rsidR="00957F89" w:rsidRPr="00C73849" w:rsidRDefault="00957F89">
      <w:pPr>
        <w:spacing w:before="7"/>
        <w:rPr>
          <w:rFonts w:ascii="Times New Roman" w:eastAsia="Times New Roman" w:hAnsi="Times New Roman" w:cs="Times New Roman"/>
          <w:sz w:val="20"/>
          <w:szCs w:val="20"/>
        </w:rPr>
      </w:pPr>
    </w:p>
    <w:p w14:paraId="565CF80F" w14:textId="77777777" w:rsidR="00957F89" w:rsidRPr="00C73849" w:rsidRDefault="00D92D87">
      <w:pPr>
        <w:pStyle w:val="BodyText"/>
        <w:ind w:right="151"/>
      </w:pPr>
      <w:r w:rsidRPr="00C73849">
        <w:t>A nonclinical program has been performed in which the safety of both pyruvate and AH111501 (Electron Paramagnetic Agent; EPA), the 2 novel drug product components of Pyruvate</w:t>
      </w:r>
      <w:r w:rsidRPr="00C73849">
        <w:rPr>
          <w:w w:val="99"/>
        </w:rPr>
        <w:t xml:space="preserve"> </w:t>
      </w:r>
      <w:r w:rsidRPr="00C73849">
        <w:t>Injection, has been demonstrated. The program included expanded acute-dose studies in</w:t>
      </w:r>
      <w:r w:rsidRPr="00C73849">
        <w:rPr>
          <w:w w:val="99"/>
        </w:rPr>
        <w:t xml:space="preserve"> </w:t>
      </w:r>
      <w:r w:rsidRPr="00C73849">
        <w:t>Sprague-Dawley rats, from which the No-Observed-Adverse-Effect-Levels (NOAELs) were</w:t>
      </w:r>
      <w:r w:rsidRPr="00C73849">
        <w:rPr>
          <w:w w:val="99"/>
        </w:rPr>
        <w:t xml:space="preserve"> </w:t>
      </w:r>
      <w:r w:rsidRPr="00C73849">
        <w:t xml:space="preserve">estimated as 892 mg/kg </w:t>
      </w:r>
      <w:proofErr w:type="spellStart"/>
      <w:r w:rsidRPr="00C73849">
        <w:t>bw</w:t>
      </w:r>
      <w:proofErr w:type="spellEnd"/>
      <w:r w:rsidRPr="00C73849">
        <w:t xml:space="preserve"> for pyruvate and 17 mg/kg </w:t>
      </w:r>
      <w:proofErr w:type="spellStart"/>
      <w:r w:rsidRPr="00C73849">
        <w:t>bw</w:t>
      </w:r>
      <w:proofErr w:type="spellEnd"/>
      <w:r w:rsidRPr="00C73849">
        <w:t xml:space="preserve"> for AH111501. In an expanded</w:t>
      </w:r>
      <w:r w:rsidRPr="00C73849">
        <w:rPr>
          <w:w w:val="99"/>
        </w:rPr>
        <w:t xml:space="preserve"> </w:t>
      </w:r>
      <w:r w:rsidRPr="00C73849">
        <w:t xml:space="preserve">acute-dose study in beagle dogs, the NOAEL for pyruvate was 446 mg/kg </w:t>
      </w:r>
      <w:proofErr w:type="spellStart"/>
      <w:r w:rsidRPr="00C73849">
        <w:t>bw</w:t>
      </w:r>
      <w:proofErr w:type="spellEnd"/>
      <w:r w:rsidRPr="00C73849">
        <w:t xml:space="preserve"> and 8.5 mg/kg </w:t>
      </w:r>
      <w:proofErr w:type="spellStart"/>
      <w:r w:rsidRPr="00C73849">
        <w:t>bw</w:t>
      </w:r>
      <w:proofErr w:type="spellEnd"/>
      <w:r w:rsidRPr="00C73849">
        <w:t xml:space="preserve"> for AH111501. The cardiovascular effects of formulations of pyruvate were studied in both conscious and pentobarbital/fentanyl-anaesthetized dogs. The conscious dog was considered the most relevant model for extrapolating results to healthy human volunteers and</w:t>
      </w:r>
      <w:r w:rsidRPr="00C73849">
        <w:rPr>
          <w:w w:val="99"/>
        </w:rPr>
        <w:t xml:space="preserve"> </w:t>
      </w:r>
      <w:r w:rsidRPr="00C73849">
        <w:t>the anaesthetized dog as a sensitive model for extrapolating results to subjects with a</w:t>
      </w:r>
      <w:r w:rsidRPr="00C73849">
        <w:rPr>
          <w:w w:val="99"/>
        </w:rPr>
        <w:t xml:space="preserve"> </w:t>
      </w:r>
      <w:r w:rsidRPr="00C73849">
        <w:t>compromised baroreflex function (as may be the case in elderly subjects with prostate cancer,</w:t>
      </w:r>
      <w:r w:rsidRPr="00C73849">
        <w:rPr>
          <w:w w:val="99"/>
        </w:rPr>
        <w:t xml:space="preserve"> </w:t>
      </w:r>
      <w:r w:rsidRPr="00C73849">
        <w:t>which is one of the target populations in which use of Pyruvate Injection is planned). In addition, effects of pyruvate and AH111501</w:t>
      </w:r>
      <w:r w:rsidR="002C5A81">
        <w:t xml:space="preserve"> </w:t>
      </w:r>
      <w:r w:rsidRPr="00C73849">
        <w:t>have been studied in local tolerance studies,</w:t>
      </w:r>
      <w:r w:rsidRPr="00C73849">
        <w:rPr>
          <w:w w:val="99"/>
        </w:rPr>
        <w:t xml:space="preserve"> </w:t>
      </w:r>
      <w:r w:rsidRPr="00C73849">
        <w:t>genotoxicity studies and central nervous system studies. Based on the cardiovascular effects</w:t>
      </w:r>
      <w:r w:rsidRPr="00C73849">
        <w:rPr>
          <w:w w:val="99"/>
        </w:rPr>
        <w:t xml:space="preserve"> </w:t>
      </w:r>
      <w:r w:rsidRPr="00C73849">
        <w:t>(vasodilatation leading to small, short-lasting but significant reductions in blood pressure and</w:t>
      </w:r>
      <w:r w:rsidRPr="00C73849">
        <w:rPr>
          <w:w w:val="99"/>
        </w:rPr>
        <w:t xml:space="preserve"> </w:t>
      </w:r>
      <w:r w:rsidRPr="00C73849">
        <w:t xml:space="preserve">compensatory increases in heart rate) observed in the most sensitive model, the NOAEL for Pyruvate Injection is 1.4 ml/kg </w:t>
      </w:r>
      <w:proofErr w:type="spellStart"/>
      <w:r w:rsidRPr="00C73849">
        <w:t>bw</w:t>
      </w:r>
      <w:proofErr w:type="spellEnd"/>
      <w:r w:rsidRPr="00C73849">
        <w:t xml:space="preserve"> (or 100 ml for a 70-kg subject) of a 250 mM formulation</w:t>
      </w:r>
      <w:r w:rsidRPr="00C73849">
        <w:rPr>
          <w:w w:val="99"/>
        </w:rPr>
        <w:t xml:space="preserve"> </w:t>
      </w:r>
      <w:r w:rsidRPr="00C73849">
        <w:t xml:space="preserve">(equal to 31 mg/kg </w:t>
      </w:r>
      <w:proofErr w:type="spellStart"/>
      <w:r w:rsidRPr="00C73849">
        <w:t>bw</w:t>
      </w:r>
      <w:proofErr w:type="spellEnd"/>
      <w:r w:rsidRPr="00C73849">
        <w:t xml:space="preserve"> of pyruvate). AH111501 was qualified in a separate toxicology program and the lowest NOAEL was 8.5 mg/kg </w:t>
      </w:r>
      <w:proofErr w:type="spellStart"/>
      <w:r w:rsidRPr="00C73849">
        <w:t>bw</w:t>
      </w:r>
      <w:proofErr w:type="spellEnd"/>
      <w:r w:rsidRPr="00C73849">
        <w:t xml:space="preserve"> (or 595 mg for a 70-kg subject).</w:t>
      </w:r>
    </w:p>
    <w:p w14:paraId="47A52C7E" w14:textId="77777777" w:rsidR="00957F89" w:rsidRPr="00C73849" w:rsidRDefault="00957F89">
      <w:pPr>
        <w:spacing w:before="10"/>
        <w:rPr>
          <w:rFonts w:ascii="Times New Roman" w:eastAsia="Times New Roman" w:hAnsi="Times New Roman" w:cs="Times New Roman"/>
          <w:sz w:val="20"/>
          <w:szCs w:val="20"/>
        </w:rPr>
      </w:pPr>
    </w:p>
    <w:p w14:paraId="26A8BDD5" w14:textId="77777777" w:rsidR="00957F89" w:rsidRPr="00C73849" w:rsidRDefault="00D92D87" w:rsidP="007E444D">
      <w:pPr>
        <w:pStyle w:val="BodyText"/>
        <w:spacing w:line="239" w:lineRule="auto"/>
        <w:ind w:right="151"/>
      </w:pPr>
      <w:r w:rsidRPr="00C73849">
        <w:t>The available nonclinical data indicated sufficiently good safety margins to support testing the</w:t>
      </w:r>
      <w:r w:rsidRPr="00C73849">
        <w:rPr>
          <w:w w:val="99"/>
        </w:rPr>
        <w:t xml:space="preserve"> </w:t>
      </w:r>
      <w:r w:rsidRPr="00C73849">
        <w:t xml:space="preserve">safety and tolerability of a 250 mM formulation of Pyruvate Injection containing 3 µM AH111501 (EPA) (i.e., 22.0 mg/ml of pyruvate and 4.6 </w:t>
      </w:r>
      <w:r w:rsidRPr="00C73849">
        <w:rPr>
          <w:rFonts w:ascii="Symbol" w:eastAsia="Symbol" w:hAnsi="Symbol" w:cs="Symbol"/>
        </w:rPr>
        <w:t></w:t>
      </w:r>
      <w:r w:rsidRPr="00C73849">
        <w:t>g/ml of EPA) in healthy human male</w:t>
      </w:r>
      <w:r w:rsidRPr="00C73849">
        <w:rPr>
          <w:w w:val="99"/>
        </w:rPr>
        <w:t xml:space="preserve"> </w:t>
      </w:r>
      <w:r w:rsidRPr="00C73849">
        <w:t>and female volunteers in a placebo-controlled phase 1 dose-escalating study up to doses of</w:t>
      </w:r>
      <w:r w:rsidR="007E444D" w:rsidRPr="00C73849">
        <w:t xml:space="preserve"> </w:t>
      </w:r>
      <w:r w:rsidRPr="00C73849">
        <w:t xml:space="preserve">0.71 ml/kg </w:t>
      </w:r>
      <w:proofErr w:type="spellStart"/>
      <w:r w:rsidRPr="00C73849">
        <w:t>bw</w:t>
      </w:r>
      <w:proofErr w:type="spellEnd"/>
      <w:r w:rsidRPr="00C73849">
        <w:t xml:space="preserve"> (i.e., up to 15.7 mg/kg </w:t>
      </w:r>
      <w:proofErr w:type="spellStart"/>
      <w:r w:rsidRPr="00C73849">
        <w:t>bw</w:t>
      </w:r>
      <w:proofErr w:type="spellEnd"/>
      <w:r w:rsidRPr="00C73849">
        <w:t xml:space="preserve"> of pyruvate and 3.3 </w:t>
      </w:r>
      <w:r w:rsidRPr="00C73849">
        <w:rPr>
          <w:rFonts w:ascii="Symbol" w:eastAsia="Symbol" w:hAnsi="Symbol" w:cs="Symbol"/>
        </w:rPr>
        <w:t></w:t>
      </w:r>
      <w:r w:rsidRPr="00C73849">
        <w:t xml:space="preserve">g/kg </w:t>
      </w:r>
      <w:proofErr w:type="spellStart"/>
      <w:r w:rsidRPr="00C73849">
        <w:t>bw</w:t>
      </w:r>
      <w:proofErr w:type="spellEnd"/>
      <w:r w:rsidRPr="00C73849">
        <w:t xml:space="preserve"> of EPA). The data from the nonclinical studies in conscious and anaesthetized dogs indicated that special attention</w:t>
      </w:r>
      <w:r w:rsidRPr="00C73849">
        <w:rPr>
          <w:w w:val="99"/>
        </w:rPr>
        <w:t xml:space="preserve"> </w:t>
      </w:r>
      <w:r w:rsidRPr="00C73849">
        <w:t xml:space="preserve">should be paid to the possibility of mild cardiovascular effects occurring, </w:t>
      </w:r>
      <w:r w:rsidR="00613C0D" w:rsidRPr="00C73849">
        <w:t>like</w:t>
      </w:r>
      <w:r w:rsidRPr="00C73849">
        <w:t xml:space="preserve"> those</w:t>
      </w:r>
      <w:r w:rsidRPr="00C73849">
        <w:rPr>
          <w:w w:val="99"/>
        </w:rPr>
        <w:t xml:space="preserve"> </w:t>
      </w:r>
      <w:r w:rsidRPr="00C73849">
        <w:t>reported when Pyruvate Injection was administered rapidly at large volumes to conscious dogs (increases in heart rate) and anaesthetized dogs (vasodilatation leading to small, short-lasting</w:t>
      </w:r>
      <w:r w:rsidRPr="00C73849">
        <w:rPr>
          <w:w w:val="99"/>
        </w:rPr>
        <w:t xml:space="preserve"> </w:t>
      </w:r>
      <w:r w:rsidRPr="00C73849">
        <w:t>but statistically significant reductions in blood pressure and compensatory increases in heart</w:t>
      </w:r>
      <w:r w:rsidRPr="00C73849">
        <w:rPr>
          <w:w w:val="99"/>
        </w:rPr>
        <w:t xml:space="preserve"> </w:t>
      </w:r>
      <w:r w:rsidRPr="00C73849">
        <w:t>rate).</w:t>
      </w:r>
    </w:p>
    <w:p w14:paraId="328768F9" w14:textId="77777777" w:rsidR="00957F89" w:rsidRPr="00C73849" w:rsidRDefault="00957F89">
      <w:pPr>
        <w:spacing w:before="11"/>
        <w:rPr>
          <w:rFonts w:ascii="Times New Roman" w:eastAsia="Times New Roman" w:hAnsi="Times New Roman" w:cs="Times New Roman"/>
          <w:sz w:val="20"/>
          <w:szCs w:val="20"/>
        </w:rPr>
      </w:pPr>
    </w:p>
    <w:p w14:paraId="0FD2F512" w14:textId="77777777" w:rsidR="00957F89" w:rsidRPr="00C73849" w:rsidRDefault="00D92D87" w:rsidP="007E444D">
      <w:pPr>
        <w:pStyle w:val="BodyText"/>
        <w:spacing w:line="276" w:lineRule="exact"/>
        <w:ind w:right="311"/>
      </w:pPr>
      <w:r w:rsidRPr="00C73849">
        <w:t>GE Healthcare</w:t>
      </w:r>
      <w:r w:rsidR="0073795C">
        <w:t>, the initial sponsor of this IND,</w:t>
      </w:r>
      <w:r w:rsidRPr="00C73849">
        <w:t xml:space="preserve"> has performed 2 </w:t>
      </w:r>
      <w:r w:rsidR="00995682">
        <w:t>P</w:t>
      </w:r>
      <w:r w:rsidRPr="00C73849">
        <w:t>hase 1 clinical trials</w:t>
      </w:r>
      <w:r w:rsidRPr="00C73849">
        <w:rPr>
          <w:w w:val="99"/>
        </w:rPr>
        <w:t xml:space="preserve"> </w:t>
      </w:r>
      <w:r w:rsidRPr="00C73849">
        <w:t>with Pyruvate Injection (GE-101-001 and GE-101-003), in young and elderly healthy volunteers respectively, to assess the safety and tolerability of Pyruvate Injection in humans. As no imaging was performed in these studies, Pyruvate Injection made from pyruvate instead</w:t>
      </w:r>
      <w:r w:rsidRPr="00C73849">
        <w:rPr>
          <w:w w:val="99"/>
        </w:rPr>
        <w:t xml:space="preserve"> </w:t>
      </w:r>
      <w:r w:rsidRPr="00C73849">
        <w:t>of [1-</w:t>
      </w:r>
      <w:r w:rsidRPr="00C73849">
        <w:rPr>
          <w:position w:val="11"/>
          <w:sz w:val="16"/>
          <w:szCs w:val="16"/>
        </w:rPr>
        <w:t>13</w:t>
      </w:r>
      <w:proofErr w:type="gramStart"/>
      <w:r w:rsidRPr="00C73849">
        <w:t>C]pyruvate</w:t>
      </w:r>
      <w:proofErr w:type="gramEnd"/>
      <w:r w:rsidRPr="00C73849">
        <w:t xml:space="preserve"> was used. These studies showed that doses of Pyruvate Injection up to</w:t>
      </w:r>
      <w:r w:rsidR="007E444D" w:rsidRPr="00C73849">
        <w:t xml:space="preserve"> </w:t>
      </w:r>
      <w:r w:rsidRPr="00C73849">
        <w:t xml:space="preserve">0.43 ml/kg (i.e., up to 9.4 mg/kg </w:t>
      </w:r>
      <w:proofErr w:type="spellStart"/>
      <w:r w:rsidRPr="00C73849">
        <w:t>bw</w:t>
      </w:r>
      <w:proofErr w:type="spellEnd"/>
      <w:r w:rsidRPr="00C73849">
        <w:t xml:space="preserve"> of pyruvate and 2.0 </w:t>
      </w:r>
      <w:r w:rsidRPr="00C73849">
        <w:rPr>
          <w:rFonts w:ascii="Symbol" w:eastAsia="Symbol" w:hAnsi="Symbol" w:cs="Symbol"/>
        </w:rPr>
        <w:t></w:t>
      </w:r>
      <w:r w:rsidRPr="00C73849">
        <w:t xml:space="preserve">g/kg </w:t>
      </w:r>
      <w:proofErr w:type="spellStart"/>
      <w:r w:rsidRPr="00C73849">
        <w:t>bw</w:t>
      </w:r>
      <w:proofErr w:type="spellEnd"/>
      <w:r w:rsidRPr="00C73849">
        <w:t xml:space="preserve"> of EPA) were equally well</w:t>
      </w:r>
      <w:r w:rsidRPr="00C73849">
        <w:rPr>
          <w:w w:val="99"/>
        </w:rPr>
        <w:t xml:space="preserve"> </w:t>
      </w:r>
      <w:r w:rsidRPr="00C73849">
        <w:t xml:space="preserve">tolerated by young and elderly healthy male and female volunteers. </w:t>
      </w:r>
      <w:r w:rsidR="00995682" w:rsidRPr="00C73849">
        <w:t>However,</w:t>
      </w:r>
      <w:r w:rsidRPr="00C73849">
        <w:t xml:space="preserve"> in study</w:t>
      </w:r>
      <w:r w:rsidR="007E444D" w:rsidRPr="00C73849">
        <w:t xml:space="preserve"> </w:t>
      </w:r>
      <w:r w:rsidRPr="00C73849">
        <w:t>GE-101-001, it was planned that doses up to 0.71 ml/kg of Pyruvate Injection would be</w:t>
      </w:r>
      <w:r w:rsidRPr="00C73849">
        <w:rPr>
          <w:w w:val="99"/>
        </w:rPr>
        <w:t xml:space="preserve"> </w:t>
      </w:r>
      <w:r w:rsidRPr="00C73849">
        <w:t>assessed. The study was temporarily stopped by the sponsor after completion of dosing for the</w:t>
      </w:r>
      <w:r w:rsidR="007E444D" w:rsidRPr="00C73849">
        <w:t xml:space="preserve"> </w:t>
      </w:r>
      <w:r w:rsidRPr="00C73849">
        <w:t>0.57 ml/kg dose group due to the occurrence of non-serious AEs in 2 subjects</w:t>
      </w:r>
      <w:r w:rsidRPr="00C73849">
        <w:rPr>
          <w:w w:val="99"/>
        </w:rPr>
        <w:t xml:space="preserve"> </w:t>
      </w:r>
      <w:r w:rsidRPr="00C73849">
        <w:t xml:space="preserve">(‘unresponsiveness’ in 1 case </w:t>
      </w:r>
      <w:r w:rsidRPr="00C73849">
        <w:lastRenderedPageBreak/>
        <w:t>and ‘flushing’ accompanied by changes in blood pressure and</w:t>
      </w:r>
      <w:r w:rsidRPr="00C73849">
        <w:rPr>
          <w:w w:val="99"/>
        </w:rPr>
        <w:t xml:space="preserve"> </w:t>
      </w:r>
      <w:r w:rsidRPr="00C73849">
        <w:t>heart rate in the other case) that the principal investigator considered to be concerning and</w:t>
      </w:r>
      <w:r w:rsidRPr="00C73849">
        <w:rPr>
          <w:w w:val="99"/>
        </w:rPr>
        <w:t xml:space="preserve"> </w:t>
      </w:r>
      <w:r w:rsidRPr="00C73849">
        <w:t>related to the administration of Pyruvate Injection. These events occurred in 2 of the 4 subjects</w:t>
      </w:r>
      <w:r w:rsidRPr="00C73849">
        <w:rPr>
          <w:w w:val="99"/>
        </w:rPr>
        <w:t xml:space="preserve"> </w:t>
      </w:r>
      <w:r w:rsidRPr="00C73849">
        <w:t>in that dose group who received Pyruvate Injection. The sponsor decided not to proceed with</w:t>
      </w:r>
      <w:r w:rsidRPr="00C73849">
        <w:rPr>
          <w:w w:val="99"/>
        </w:rPr>
        <w:t xml:space="preserve"> </w:t>
      </w:r>
      <w:r w:rsidRPr="00C73849">
        <w:t>the planned dose escalation to 0.71 ml/kg.</w:t>
      </w:r>
    </w:p>
    <w:p w14:paraId="2B107A7F" w14:textId="77777777" w:rsidR="00957F89" w:rsidRPr="00C73849" w:rsidRDefault="00957F89">
      <w:pPr>
        <w:spacing w:before="2"/>
        <w:rPr>
          <w:rFonts w:ascii="Times New Roman" w:eastAsia="Times New Roman" w:hAnsi="Times New Roman" w:cs="Times New Roman"/>
          <w:sz w:val="21"/>
          <w:szCs w:val="21"/>
        </w:rPr>
      </w:pPr>
    </w:p>
    <w:p w14:paraId="32383480" w14:textId="2A71971E" w:rsidR="004A7A84" w:rsidRPr="00C73849" w:rsidRDefault="00995682" w:rsidP="006B5FA0">
      <w:r w:rsidRPr="00C73849">
        <w:t>Based on</w:t>
      </w:r>
      <w:r w:rsidR="00D92D87" w:rsidRPr="00C73849">
        <w:t xml:space="preserve"> the safety profile of Pyruvate Injection established in the 2 </w:t>
      </w:r>
      <w:r>
        <w:t>P</w:t>
      </w:r>
      <w:r w:rsidRPr="00C73849">
        <w:t xml:space="preserve">hase </w:t>
      </w:r>
      <w:r w:rsidR="00D92D87" w:rsidRPr="00C73849">
        <w:t>1 studies</w:t>
      </w:r>
      <w:r w:rsidR="00D92D87" w:rsidRPr="00C73849">
        <w:rPr>
          <w:w w:val="99"/>
        </w:rPr>
        <w:t xml:space="preserve"> </w:t>
      </w:r>
      <w:r w:rsidR="00D92D87" w:rsidRPr="00C73849">
        <w:t xml:space="preserve">referred to above, it </w:t>
      </w:r>
      <w:r w:rsidR="00600A5C">
        <w:t>was</w:t>
      </w:r>
      <w:r w:rsidR="00600A5C" w:rsidRPr="00C73849">
        <w:t xml:space="preserve"> </w:t>
      </w:r>
      <w:r w:rsidR="00D92D87" w:rsidRPr="00C73849">
        <w:t>justified to proceed with the next study: a phase 1/2a ascending-dose</w:t>
      </w:r>
      <w:r w:rsidR="00D92D87" w:rsidRPr="00C73849">
        <w:rPr>
          <w:w w:val="99"/>
        </w:rPr>
        <w:t xml:space="preserve"> </w:t>
      </w:r>
      <w:r w:rsidR="00D92D87" w:rsidRPr="00C73849">
        <w:t>safety and tolerability and exploratory imaging study utilizing Hyperpolarized Pyruvate (</w:t>
      </w:r>
      <w:r w:rsidR="00D92D87" w:rsidRPr="00C73849">
        <w:rPr>
          <w:position w:val="11"/>
          <w:sz w:val="16"/>
        </w:rPr>
        <w:t>13</w:t>
      </w:r>
      <w:r w:rsidR="00D92D87" w:rsidRPr="00C73849">
        <w:t xml:space="preserve">C) Injection in patients with established prostate cancer. </w:t>
      </w:r>
      <w:r w:rsidR="00D06951">
        <w:t xml:space="preserve">This study was not performed </w:t>
      </w:r>
      <w:r w:rsidR="00446029">
        <w:t xml:space="preserve">under the </w:t>
      </w:r>
      <w:r w:rsidR="00D06951">
        <w:t>GE IND</w:t>
      </w:r>
      <w:r w:rsidR="00E5512E">
        <w:t xml:space="preserve"> 76, </w:t>
      </w:r>
      <w:r w:rsidR="00E32FDC">
        <w:t>651 (now the NCI IND)</w:t>
      </w:r>
      <w:r w:rsidR="00747A01">
        <w:t xml:space="preserve"> but under a</w:t>
      </w:r>
      <w:r w:rsidR="0044312C">
        <w:t>n IND filed by UCSF</w:t>
      </w:r>
      <w:r w:rsidR="00C0515D">
        <w:t>.</w:t>
      </w:r>
      <w:r w:rsidR="003B79E3">
        <w:t xml:space="preserve"> </w:t>
      </w:r>
    </w:p>
    <w:p w14:paraId="3142EE97" w14:textId="77777777" w:rsidR="00F97F96" w:rsidRDefault="00F97F96"/>
    <w:p w14:paraId="6FC7D365" w14:textId="567241CE" w:rsidR="00160E13" w:rsidRDefault="00160E13" w:rsidP="00160E13">
      <w:pPr>
        <w:pStyle w:val="NormalWeb"/>
        <w:shd w:val="clear" w:color="auto" w:fill="FFFFFF"/>
        <w:spacing w:before="0" w:after="0" w:line="240" w:lineRule="auto"/>
        <w:rPr>
          <w:rFonts w:ascii="Calibri" w:hAnsi="Calibri"/>
          <w:sz w:val="22"/>
          <w:szCs w:val="22"/>
        </w:rPr>
      </w:pPr>
      <w:r w:rsidRPr="005251BD">
        <w:rPr>
          <w:rFonts w:ascii="Calibri" w:hAnsi="Calibri"/>
          <w:sz w:val="22"/>
          <w:szCs w:val="22"/>
        </w:rPr>
        <w:t>UCSF</w:t>
      </w:r>
      <w:r w:rsidR="008C34ED">
        <w:rPr>
          <w:rFonts w:ascii="Calibri" w:hAnsi="Calibri"/>
          <w:sz w:val="22"/>
          <w:szCs w:val="22"/>
        </w:rPr>
        <w:t>,</w:t>
      </w:r>
      <w:r w:rsidR="00DA3A5C">
        <w:rPr>
          <w:rFonts w:ascii="Calibri" w:hAnsi="Calibri"/>
          <w:sz w:val="22"/>
          <w:szCs w:val="22"/>
        </w:rPr>
        <w:t xml:space="preserve"> collaborating with </w:t>
      </w:r>
      <w:r w:rsidRPr="005251BD">
        <w:rPr>
          <w:rFonts w:ascii="Calibri" w:hAnsi="Calibri"/>
          <w:sz w:val="22"/>
          <w:szCs w:val="22"/>
        </w:rPr>
        <w:t>GE</w:t>
      </w:r>
      <w:r w:rsidR="00DA3A5C">
        <w:rPr>
          <w:rFonts w:ascii="Calibri" w:hAnsi="Calibri"/>
          <w:sz w:val="22"/>
          <w:szCs w:val="22"/>
        </w:rPr>
        <w:t>,</w:t>
      </w:r>
      <w:r w:rsidRPr="005251BD">
        <w:rPr>
          <w:rFonts w:ascii="Calibri" w:hAnsi="Calibri"/>
          <w:sz w:val="22"/>
          <w:szCs w:val="22"/>
        </w:rPr>
        <w:t xml:space="preserve"> </w:t>
      </w:r>
      <w:r w:rsidR="00DA3A5C">
        <w:rPr>
          <w:rFonts w:ascii="Calibri" w:hAnsi="Calibri"/>
          <w:sz w:val="22"/>
          <w:szCs w:val="22"/>
        </w:rPr>
        <w:t>has</w:t>
      </w:r>
      <w:r w:rsidR="00DA3A5C" w:rsidRPr="005251BD">
        <w:rPr>
          <w:rFonts w:ascii="Calibri" w:hAnsi="Calibri"/>
          <w:sz w:val="22"/>
          <w:szCs w:val="22"/>
        </w:rPr>
        <w:t xml:space="preserve"> </w:t>
      </w:r>
      <w:r w:rsidRPr="005251BD">
        <w:rPr>
          <w:rFonts w:ascii="Calibri" w:hAnsi="Calibri"/>
          <w:sz w:val="22"/>
          <w:szCs w:val="22"/>
        </w:rPr>
        <w:t xml:space="preserve">completed a phase 1 study on </w:t>
      </w:r>
      <w:r w:rsidRPr="00FA42A1">
        <w:rPr>
          <w:rFonts w:ascii="Calibri" w:hAnsi="Calibri"/>
          <w:sz w:val="22"/>
          <w:szCs w:val="22"/>
        </w:rPr>
        <w:t>hyperpolarized [1-13</w:t>
      </w:r>
      <w:proofErr w:type="gramStart"/>
      <w:r w:rsidRPr="00FA42A1">
        <w:rPr>
          <w:rFonts w:ascii="Calibri" w:hAnsi="Calibri"/>
          <w:sz w:val="22"/>
          <w:szCs w:val="22"/>
        </w:rPr>
        <w:t>C]pyruvate</w:t>
      </w:r>
      <w:proofErr w:type="gramEnd"/>
      <w:r w:rsidRPr="00FA42A1">
        <w:rPr>
          <w:rFonts w:ascii="Calibri" w:hAnsi="Calibri"/>
          <w:sz w:val="22"/>
          <w:szCs w:val="22"/>
        </w:rPr>
        <w:t xml:space="preserve"> </w:t>
      </w:r>
      <w:r w:rsidRPr="005251BD">
        <w:rPr>
          <w:rFonts w:ascii="Calibri" w:hAnsi="Calibri"/>
          <w:sz w:val="22"/>
          <w:szCs w:val="22"/>
        </w:rPr>
        <w:t xml:space="preserve">injection in 31 subjects with prostate cancer (NCT01229618). This </w:t>
      </w:r>
      <w:r>
        <w:rPr>
          <w:rFonts w:ascii="Calibri" w:hAnsi="Calibri"/>
          <w:sz w:val="22"/>
          <w:szCs w:val="22"/>
        </w:rPr>
        <w:t>was an</w:t>
      </w:r>
      <w:r w:rsidRPr="005251BD">
        <w:rPr>
          <w:rFonts w:ascii="Calibri" w:hAnsi="Calibri"/>
          <w:sz w:val="22"/>
          <w:szCs w:val="22"/>
        </w:rPr>
        <w:t xml:space="preserve"> ascending-dose study to a</w:t>
      </w:r>
      <w:r w:rsidR="0091460A">
        <w:rPr>
          <w:rFonts w:ascii="Calibri" w:hAnsi="Calibri"/>
          <w:sz w:val="22"/>
          <w:szCs w:val="22"/>
        </w:rPr>
        <w:t>ss</w:t>
      </w:r>
      <w:r w:rsidRPr="005251BD">
        <w:rPr>
          <w:rFonts w:ascii="Calibri" w:hAnsi="Calibri"/>
          <w:sz w:val="22"/>
          <w:szCs w:val="22"/>
        </w:rPr>
        <w:t>ess the safety and tolerability and imaging potential of hyperpolarized [1-13C] pyruvate Injection via 13C imaging</w:t>
      </w:r>
      <w:r>
        <w:rPr>
          <w:rFonts w:ascii="Calibri" w:hAnsi="Calibri"/>
          <w:sz w:val="22"/>
          <w:szCs w:val="22"/>
        </w:rPr>
        <w:t xml:space="preserve"> (13C </w:t>
      </w:r>
      <w:r w:rsidRPr="005251BD">
        <w:rPr>
          <w:rFonts w:ascii="Calibri" w:hAnsi="Calibri"/>
          <w:sz w:val="22"/>
          <w:szCs w:val="22"/>
        </w:rPr>
        <w:t>MRI</w:t>
      </w:r>
      <w:r>
        <w:rPr>
          <w:rFonts w:ascii="Calibri" w:hAnsi="Calibri"/>
          <w:sz w:val="22"/>
          <w:szCs w:val="22"/>
        </w:rPr>
        <w:t>)</w:t>
      </w:r>
      <w:r w:rsidRPr="005251BD">
        <w:rPr>
          <w:rFonts w:ascii="Calibri" w:hAnsi="Calibri"/>
          <w:sz w:val="22"/>
          <w:szCs w:val="22"/>
        </w:rPr>
        <w:t xml:space="preserve"> and 13C MR spectroscopic imaging </w:t>
      </w:r>
      <w:r>
        <w:rPr>
          <w:rFonts w:ascii="Calibri" w:hAnsi="Calibri"/>
          <w:sz w:val="22"/>
          <w:szCs w:val="22"/>
        </w:rPr>
        <w:t xml:space="preserve">(13C </w:t>
      </w:r>
      <w:r w:rsidRPr="005251BD">
        <w:rPr>
          <w:rFonts w:ascii="Calibri" w:hAnsi="Calibri"/>
          <w:sz w:val="22"/>
          <w:szCs w:val="22"/>
        </w:rPr>
        <w:t>MRSI</w:t>
      </w:r>
      <w:r>
        <w:rPr>
          <w:rFonts w:ascii="Calibri" w:hAnsi="Calibri"/>
          <w:sz w:val="22"/>
          <w:szCs w:val="22"/>
        </w:rPr>
        <w:t>).</w:t>
      </w:r>
      <w:r w:rsidRPr="005251BD">
        <w:rPr>
          <w:rFonts w:ascii="Calibri" w:hAnsi="Calibri"/>
          <w:sz w:val="22"/>
          <w:szCs w:val="22"/>
        </w:rPr>
        <w:t xml:space="preserve"> </w:t>
      </w:r>
      <w:r>
        <w:rPr>
          <w:rFonts w:ascii="Calibri" w:hAnsi="Calibri"/>
          <w:sz w:val="22"/>
          <w:szCs w:val="22"/>
        </w:rPr>
        <w:t>T</w:t>
      </w:r>
      <w:r w:rsidRPr="005251BD">
        <w:rPr>
          <w:rFonts w:ascii="Calibri" w:hAnsi="Calibri"/>
          <w:sz w:val="22"/>
          <w:szCs w:val="22"/>
        </w:rPr>
        <w:t>hree dose</w:t>
      </w:r>
      <w:r>
        <w:rPr>
          <w:rFonts w:ascii="Calibri" w:hAnsi="Calibri"/>
          <w:sz w:val="22"/>
          <w:szCs w:val="22"/>
        </w:rPr>
        <w:t xml:space="preserve"> levels</w:t>
      </w:r>
      <w:r w:rsidRPr="005251BD">
        <w:rPr>
          <w:rFonts w:ascii="Calibri" w:hAnsi="Calibri"/>
          <w:sz w:val="22"/>
          <w:szCs w:val="22"/>
        </w:rPr>
        <w:t xml:space="preserve"> of </w:t>
      </w:r>
      <w:r>
        <w:rPr>
          <w:rFonts w:ascii="Calibri" w:hAnsi="Calibri"/>
          <w:sz w:val="22"/>
          <w:szCs w:val="22"/>
        </w:rPr>
        <w:t>hyperpolarized [1-13</w:t>
      </w:r>
      <w:proofErr w:type="gramStart"/>
      <w:r>
        <w:rPr>
          <w:rFonts w:ascii="Calibri" w:hAnsi="Calibri"/>
          <w:sz w:val="22"/>
          <w:szCs w:val="22"/>
        </w:rPr>
        <w:t>C]pyruvate</w:t>
      </w:r>
      <w:proofErr w:type="gramEnd"/>
      <w:r>
        <w:rPr>
          <w:rFonts w:ascii="Calibri" w:hAnsi="Calibri"/>
          <w:sz w:val="22"/>
          <w:szCs w:val="22"/>
        </w:rPr>
        <w:t xml:space="preserve"> (</w:t>
      </w:r>
      <w:r w:rsidRPr="005251BD">
        <w:rPr>
          <w:rFonts w:ascii="Calibri" w:hAnsi="Calibri"/>
          <w:sz w:val="22"/>
          <w:szCs w:val="22"/>
        </w:rPr>
        <w:t>0.14 ml/kg, 0.28 ml/kg and 0.43 ml/kg</w:t>
      </w:r>
      <w:r>
        <w:rPr>
          <w:rFonts w:ascii="Calibri" w:hAnsi="Calibri"/>
          <w:sz w:val="22"/>
          <w:szCs w:val="22"/>
        </w:rPr>
        <w:t>) with a minimum of 6 patients at each dose level were administered via</w:t>
      </w:r>
      <w:r w:rsidRPr="005251BD">
        <w:rPr>
          <w:rFonts w:ascii="Calibri" w:hAnsi="Calibri"/>
          <w:sz w:val="22"/>
          <w:szCs w:val="22"/>
        </w:rPr>
        <w:t xml:space="preserve"> single IV injecti</w:t>
      </w:r>
      <w:r>
        <w:rPr>
          <w:rFonts w:ascii="Calibri" w:hAnsi="Calibri"/>
          <w:sz w:val="22"/>
          <w:szCs w:val="22"/>
        </w:rPr>
        <w:t xml:space="preserve">on followed by MR imaging scans. </w:t>
      </w:r>
      <w:r w:rsidRPr="005251BD">
        <w:rPr>
          <w:rFonts w:ascii="Calibri" w:hAnsi="Calibri"/>
          <w:sz w:val="22"/>
          <w:szCs w:val="22"/>
        </w:rPr>
        <w:t>The first 3 subjects under</w:t>
      </w:r>
      <w:r>
        <w:rPr>
          <w:rFonts w:ascii="Calibri" w:hAnsi="Calibri"/>
          <w:sz w:val="22"/>
          <w:szCs w:val="22"/>
        </w:rPr>
        <w:t>went</w:t>
      </w:r>
      <w:r w:rsidRPr="005251BD">
        <w:rPr>
          <w:rFonts w:ascii="Calibri" w:hAnsi="Calibri"/>
          <w:sz w:val="22"/>
          <w:szCs w:val="22"/>
        </w:rPr>
        <w:t xml:space="preserve"> dynamic 13C </w:t>
      </w:r>
      <w:r>
        <w:rPr>
          <w:rFonts w:ascii="Calibri" w:hAnsi="Calibri"/>
          <w:sz w:val="22"/>
          <w:szCs w:val="22"/>
        </w:rPr>
        <w:t xml:space="preserve">MRI </w:t>
      </w:r>
      <w:r w:rsidRPr="005251BD">
        <w:rPr>
          <w:rFonts w:ascii="Calibri" w:hAnsi="Calibri"/>
          <w:sz w:val="22"/>
          <w:szCs w:val="22"/>
        </w:rPr>
        <w:t xml:space="preserve">to define the kinetics of delivery and metabolism of </w:t>
      </w:r>
      <w:r w:rsidRPr="00FA42A1">
        <w:rPr>
          <w:rFonts w:ascii="Calibri" w:hAnsi="Calibri"/>
          <w:sz w:val="22"/>
          <w:szCs w:val="22"/>
        </w:rPr>
        <w:t>hyperpolarized [1-13</w:t>
      </w:r>
      <w:proofErr w:type="gramStart"/>
      <w:r w:rsidRPr="00FA42A1">
        <w:rPr>
          <w:rFonts w:ascii="Calibri" w:hAnsi="Calibri"/>
          <w:sz w:val="22"/>
          <w:szCs w:val="22"/>
        </w:rPr>
        <w:t>C]pyruvate</w:t>
      </w:r>
      <w:proofErr w:type="gramEnd"/>
      <w:r>
        <w:rPr>
          <w:rFonts w:ascii="Calibri" w:hAnsi="Calibri"/>
          <w:sz w:val="22"/>
          <w:szCs w:val="22"/>
        </w:rPr>
        <w:t>. The</w:t>
      </w:r>
      <w:r w:rsidRPr="005251BD">
        <w:rPr>
          <w:rFonts w:ascii="Calibri" w:hAnsi="Calibri"/>
          <w:sz w:val="22"/>
          <w:szCs w:val="22"/>
        </w:rPr>
        <w:t xml:space="preserve"> second 3 subjects under</w:t>
      </w:r>
      <w:r>
        <w:rPr>
          <w:rFonts w:ascii="Calibri" w:hAnsi="Calibri"/>
          <w:sz w:val="22"/>
          <w:szCs w:val="22"/>
        </w:rPr>
        <w:t>went</w:t>
      </w:r>
      <w:r w:rsidRPr="005251BD">
        <w:rPr>
          <w:rFonts w:ascii="Calibri" w:hAnsi="Calibri"/>
          <w:sz w:val="22"/>
          <w:szCs w:val="22"/>
        </w:rPr>
        <w:t xml:space="preserve"> 13C MRSI</w:t>
      </w:r>
      <w:r>
        <w:rPr>
          <w:rFonts w:ascii="Calibri" w:hAnsi="Calibri"/>
          <w:sz w:val="22"/>
          <w:szCs w:val="22"/>
        </w:rPr>
        <w:t xml:space="preserve"> </w:t>
      </w:r>
      <w:r w:rsidRPr="005251BD">
        <w:rPr>
          <w:rFonts w:ascii="Calibri" w:hAnsi="Calibri"/>
          <w:sz w:val="22"/>
          <w:szCs w:val="22"/>
        </w:rPr>
        <w:t xml:space="preserve">to obtain 3-dimensional (3-D) spatial information about metabolism of hyperpolarized </w:t>
      </w:r>
      <w:r>
        <w:rPr>
          <w:rFonts w:ascii="Calibri" w:hAnsi="Calibri"/>
          <w:sz w:val="22"/>
          <w:szCs w:val="22"/>
        </w:rPr>
        <w:t>[1-13</w:t>
      </w:r>
      <w:proofErr w:type="gramStart"/>
      <w:r>
        <w:rPr>
          <w:rFonts w:ascii="Calibri" w:hAnsi="Calibri"/>
          <w:sz w:val="22"/>
          <w:szCs w:val="22"/>
        </w:rPr>
        <w:t>C]</w:t>
      </w:r>
      <w:r w:rsidRPr="005251BD">
        <w:rPr>
          <w:rFonts w:ascii="Calibri" w:hAnsi="Calibri"/>
          <w:sz w:val="22"/>
          <w:szCs w:val="22"/>
        </w:rPr>
        <w:t>pyruvate</w:t>
      </w:r>
      <w:proofErr w:type="gramEnd"/>
      <w:r w:rsidRPr="005251BD">
        <w:rPr>
          <w:rFonts w:ascii="Calibri" w:hAnsi="Calibri"/>
          <w:sz w:val="22"/>
          <w:szCs w:val="22"/>
        </w:rPr>
        <w:t xml:space="preserve"> in regions of the prostate with and without cancer involvemen</w:t>
      </w:r>
      <w:r>
        <w:rPr>
          <w:rFonts w:ascii="Calibri" w:hAnsi="Calibri"/>
          <w:sz w:val="22"/>
          <w:szCs w:val="22"/>
        </w:rPr>
        <w:t>t.</w:t>
      </w:r>
    </w:p>
    <w:p w14:paraId="0D5EFE36" w14:textId="77777777" w:rsidR="00A0349F" w:rsidRDefault="00A0349F" w:rsidP="00160E13">
      <w:pPr>
        <w:pStyle w:val="NormalWeb"/>
        <w:shd w:val="clear" w:color="auto" w:fill="FFFFFF"/>
        <w:spacing w:before="0" w:after="0" w:line="240" w:lineRule="auto"/>
        <w:rPr>
          <w:rFonts w:ascii="Calibri" w:hAnsi="Calibri"/>
          <w:sz w:val="22"/>
          <w:szCs w:val="22"/>
        </w:rPr>
      </w:pPr>
    </w:p>
    <w:p w14:paraId="08BC31EE" w14:textId="60549668" w:rsidR="00B54B3A" w:rsidRDefault="00864C18" w:rsidP="00160E13">
      <w:pPr>
        <w:pStyle w:val="NormalWeb"/>
        <w:shd w:val="clear" w:color="auto" w:fill="FFFFFF"/>
        <w:spacing w:before="0" w:after="0" w:line="240" w:lineRule="auto"/>
        <w:rPr>
          <w:rFonts w:ascii="Calibri" w:hAnsi="Calibri"/>
          <w:sz w:val="22"/>
          <w:szCs w:val="22"/>
        </w:rPr>
      </w:pPr>
      <w:bookmarkStart w:id="12" w:name="_Hlk33019423"/>
      <w:r>
        <w:rPr>
          <w:rFonts w:ascii="Calibri" w:hAnsi="Calibri"/>
          <w:sz w:val="22"/>
          <w:szCs w:val="22"/>
        </w:rPr>
        <w:t xml:space="preserve">Most </w:t>
      </w:r>
      <w:r w:rsidR="00483D8A">
        <w:rPr>
          <w:rFonts w:ascii="Calibri" w:hAnsi="Calibri"/>
          <w:sz w:val="22"/>
          <w:szCs w:val="22"/>
        </w:rPr>
        <w:t>g</w:t>
      </w:r>
      <w:r w:rsidR="00BC1777">
        <w:rPr>
          <w:rFonts w:ascii="Calibri" w:hAnsi="Calibri"/>
          <w:sz w:val="22"/>
          <w:szCs w:val="22"/>
        </w:rPr>
        <w:t>roups in North America</w:t>
      </w:r>
      <w:r w:rsidR="00CE0A09">
        <w:rPr>
          <w:rFonts w:ascii="Calibri" w:hAnsi="Calibri"/>
          <w:sz w:val="22"/>
          <w:szCs w:val="22"/>
        </w:rPr>
        <w:t>, Asia</w:t>
      </w:r>
      <w:r w:rsidR="00BC1777">
        <w:rPr>
          <w:rFonts w:ascii="Calibri" w:hAnsi="Calibri"/>
          <w:sz w:val="22"/>
          <w:szCs w:val="22"/>
        </w:rPr>
        <w:t xml:space="preserve"> and Europe </w:t>
      </w:r>
      <w:r w:rsidR="00CF5EFE">
        <w:rPr>
          <w:rFonts w:ascii="Calibri" w:hAnsi="Calibri"/>
          <w:sz w:val="22"/>
          <w:szCs w:val="22"/>
        </w:rPr>
        <w:t>that</w:t>
      </w:r>
      <w:r w:rsidR="00BC1777">
        <w:rPr>
          <w:rFonts w:ascii="Calibri" w:hAnsi="Calibri"/>
          <w:sz w:val="22"/>
          <w:szCs w:val="22"/>
        </w:rPr>
        <w:t xml:space="preserve"> are performing clinical trials with </w:t>
      </w:r>
      <w:r w:rsidR="00CF5EFE">
        <w:rPr>
          <w:rFonts w:ascii="Calibri" w:hAnsi="Calibri"/>
          <w:sz w:val="22"/>
          <w:szCs w:val="22"/>
        </w:rPr>
        <w:t>Hyperpolarized C-13 Pyruvate formulations</w:t>
      </w:r>
      <w:r w:rsidR="00BC1777">
        <w:rPr>
          <w:rFonts w:ascii="Calibri" w:hAnsi="Calibri"/>
          <w:sz w:val="22"/>
          <w:szCs w:val="22"/>
        </w:rPr>
        <w:t xml:space="preserve"> </w:t>
      </w:r>
      <w:r>
        <w:rPr>
          <w:rFonts w:ascii="Calibri" w:hAnsi="Calibri"/>
          <w:sz w:val="22"/>
          <w:szCs w:val="22"/>
        </w:rPr>
        <w:t>are collaborating with each other</w:t>
      </w:r>
      <w:r w:rsidR="00CF5EFE">
        <w:rPr>
          <w:rFonts w:ascii="Calibri" w:hAnsi="Calibri"/>
          <w:sz w:val="22"/>
          <w:szCs w:val="22"/>
        </w:rPr>
        <w:t xml:space="preserve"> through the UCSF’s Hyperpolarized MRI Technology Resource Center (HM</w:t>
      </w:r>
      <w:r w:rsidR="00341344">
        <w:rPr>
          <w:rFonts w:ascii="Calibri" w:hAnsi="Calibri"/>
          <w:sz w:val="22"/>
          <w:szCs w:val="22"/>
        </w:rPr>
        <w:t>TRC) funded by the National Institute of Biomedical Imaging and Bioengineering. The groups</w:t>
      </w:r>
      <w:r w:rsidR="005A19E6">
        <w:rPr>
          <w:rFonts w:ascii="Calibri" w:hAnsi="Calibri"/>
          <w:sz w:val="22"/>
          <w:szCs w:val="22"/>
        </w:rPr>
        <w:t xml:space="preserve"> meet </w:t>
      </w:r>
      <w:r>
        <w:rPr>
          <w:rFonts w:ascii="Calibri" w:hAnsi="Calibri"/>
          <w:sz w:val="22"/>
          <w:szCs w:val="22"/>
        </w:rPr>
        <w:t xml:space="preserve">regularly </w:t>
      </w:r>
      <w:r w:rsidR="00557543" w:rsidRPr="00557543">
        <w:rPr>
          <w:rFonts w:ascii="Calibri" w:hAnsi="Calibri"/>
          <w:sz w:val="22"/>
          <w:szCs w:val="22"/>
        </w:rPr>
        <w:t xml:space="preserve">on-line and at a yearly workshop </w:t>
      </w:r>
      <w:r>
        <w:rPr>
          <w:rFonts w:ascii="Calibri" w:hAnsi="Calibri"/>
          <w:sz w:val="22"/>
          <w:szCs w:val="22"/>
        </w:rPr>
        <w:t xml:space="preserve">and share </w:t>
      </w:r>
      <w:r w:rsidR="00C4185F" w:rsidRPr="00C4185F">
        <w:rPr>
          <w:rFonts w:ascii="Calibri" w:hAnsi="Calibri"/>
          <w:sz w:val="22"/>
          <w:szCs w:val="22"/>
        </w:rPr>
        <w:t>presentations, publications and</w:t>
      </w:r>
      <w:r w:rsidR="00C4185F">
        <w:rPr>
          <w:rFonts w:ascii="Calibri" w:hAnsi="Calibri"/>
          <w:sz w:val="22"/>
          <w:szCs w:val="22"/>
        </w:rPr>
        <w:t xml:space="preserve"> </w:t>
      </w:r>
      <w:r>
        <w:rPr>
          <w:rFonts w:ascii="Calibri" w:hAnsi="Calibri"/>
          <w:sz w:val="22"/>
          <w:szCs w:val="22"/>
        </w:rPr>
        <w:t>data</w:t>
      </w:r>
      <w:r w:rsidR="005A19E6">
        <w:rPr>
          <w:rFonts w:ascii="Calibri" w:hAnsi="Calibri"/>
          <w:sz w:val="22"/>
          <w:szCs w:val="22"/>
        </w:rPr>
        <w:t xml:space="preserve"> </w:t>
      </w:r>
      <w:r w:rsidR="00C4185F" w:rsidRPr="00C4185F">
        <w:rPr>
          <w:rFonts w:ascii="Calibri" w:hAnsi="Calibri"/>
          <w:sz w:val="22"/>
          <w:szCs w:val="22"/>
        </w:rPr>
        <w:t>through</w:t>
      </w:r>
      <w:r w:rsidR="00C4185F">
        <w:rPr>
          <w:rFonts w:ascii="Calibri" w:hAnsi="Calibri"/>
          <w:sz w:val="22"/>
          <w:szCs w:val="22"/>
        </w:rPr>
        <w:t xml:space="preserve"> </w:t>
      </w:r>
      <w:r w:rsidR="005A19E6">
        <w:rPr>
          <w:rFonts w:ascii="Calibri" w:hAnsi="Calibri"/>
          <w:sz w:val="22"/>
          <w:szCs w:val="22"/>
        </w:rPr>
        <w:t>the HMTRC website (https</w:t>
      </w:r>
      <w:r w:rsidR="00A2250E">
        <w:rPr>
          <w:rFonts w:ascii="Calibri" w:hAnsi="Calibri"/>
          <w:sz w:val="22"/>
          <w:szCs w:val="22"/>
        </w:rPr>
        <w:t>:</w:t>
      </w:r>
      <w:r w:rsidR="004C6408">
        <w:rPr>
          <w:rFonts w:ascii="Calibri" w:hAnsi="Calibri"/>
          <w:sz w:val="22"/>
          <w:szCs w:val="22"/>
        </w:rPr>
        <w:t>//</w:t>
      </w:r>
      <w:r w:rsidR="00A2250E">
        <w:rPr>
          <w:rFonts w:ascii="Calibri" w:hAnsi="Calibri"/>
          <w:sz w:val="22"/>
          <w:szCs w:val="22"/>
        </w:rPr>
        <w:t>radiology.ucsf.edu/research</w:t>
      </w:r>
      <w:r w:rsidR="004C6408">
        <w:rPr>
          <w:rFonts w:ascii="Calibri" w:hAnsi="Calibri"/>
          <w:sz w:val="22"/>
          <w:szCs w:val="22"/>
        </w:rPr>
        <w:t>/</w:t>
      </w:r>
      <w:r w:rsidR="00A2250E">
        <w:rPr>
          <w:rFonts w:ascii="Calibri" w:hAnsi="Calibri"/>
          <w:sz w:val="22"/>
          <w:szCs w:val="22"/>
        </w:rPr>
        <w:t>labs</w:t>
      </w:r>
      <w:r w:rsidR="004C6408">
        <w:rPr>
          <w:rFonts w:ascii="Calibri" w:hAnsi="Calibri"/>
          <w:sz w:val="22"/>
          <w:szCs w:val="22"/>
        </w:rPr>
        <w:t>/</w:t>
      </w:r>
      <w:r w:rsidR="00B54B3A">
        <w:rPr>
          <w:rFonts w:ascii="Calibri" w:hAnsi="Calibri"/>
          <w:sz w:val="22"/>
          <w:szCs w:val="22"/>
        </w:rPr>
        <w:t>hyperpolarized-mri-tech)</w:t>
      </w:r>
      <w:r>
        <w:rPr>
          <w:rFonts w:ascii="Calibri" w:hAnsi="Calibri"/>
          <w:sz w:val="22"/>
          <w:szCs w:val="22"/>
        </w:rPr>
        <w:t>.</w:t>
      </w:r>
    </w:p>
    <w:p w14:paraId="04CDA75F" w14:textId="77777777" w:rsidR="00B54B3A" w:rsidRDefault="00B54B3A" w:rsidP="00160E13">
      <w:pPr>
        <w:pStyle w:val="NormalWeb"/>
        <w:shd w:val="clear" w:color="auto" w:fill="FFFFFF"/>
        <w:spacing w:before="0" w:after="0" w:line="240" w:lineRule="auto"/>
        <w:rPr>
          <w:rFonts w:ascii="Calibri" w:hAnsi="Calibri"/>
          <w:sz w:val="22"/>
          <w:szCs w:val="22"/>
        </w:rPr>
      </w:pPr>
    </w:p>
    <w:p w14:paraId="46F85CFE" w14:textId="6E798265" w:rsidR="000E38BA" w:rsidRDefault="007306A5" w:rsidP="00160E13">
      <w:pPr>
        <w:pStyle w:val="NormalWeb"/>
        <w:shd w:val="clear" w:color="auto" w:fill="FFFFFF"/>
        <w:spacing w:before="0" w:after="0" w:line="240" w:lineRule="auto"/>
        <w:rPr>
          <w:rFonts w:ascii="Calibri" w:hAnsi="Calibri"/>
          <w:sz w:val="22"/>
          <w:szCs w:val="22"/>
        </w:rPr>
      </w:pPr>
      <w:r>
        <w:rPr>
          <w:rFonts w:ascii="Calibri" w:hAnsi="Calibri"/>
          <w:sz w:val="22"/>
          <w:szCs w:val="22"/>
        </w:rPr>
        <w:t xml:space="preserve">These groups were polled </w:t>
      </w:r>
      <w:r w:rsidR="0091460A">
        <w:rPr>
          <w:rFonts w:ascii="Calibri" w:hAnsi="Calibri"/>
          <w:sz w:val="22"/>
          <w:szCs w:val="22"/>
        </w:rPr>
        <w:t>i</w:t>
      </w:r>
      <w:r>
        <w:rPr>
          <w:rFonts w:ascii="Calibri" w:hAnsi="Calibri"/>
          <w:sz w:val="22"/>
          <w:szCs w:val="22"/>
        </w:rPr>
        <w:t xml:space="preserve">n </w:t>
      </w:r>
      <w:r w:rsidR="00C4185F" w:rsidRPr="00C4185F">
        <w:rPr>
          <w:rFonts w:ascii="Calibri" w:hAnsi="Calibri"/>
          <w:sz w:val="22"/>
          <w:szCs w:val="22"/>
        </w:rPr>
        <w:t xml:space="preserve">first quarter </w:t>
      </w:r>
      <w:r w:rsidR="00C4185F">
        <w:rPr>
          <w:rFonts w:ascii="Calibri" w:hAnsi="Calibri"/>
          <w:sz w:val="22"/>
          <w:szCs w:val="22"/>
        </w:rPr>
        <w:t xml:space="preserve">2024 </w:t>
      </w:r>
      <w:r w:rsidR="00C3551D">
        <w:rPr>
          <w:rFonts w:ascii="Calibri" w:hAnsi="Calibri"/>
          <w:sz w:val="22"/>
          <w:szCs w:val="22"/>
        </w:rPr>
        <w:t xml:space="preserve">with a request to provide the number of patients and doses they had studied </w:t>
      </w:r>
      <w:r w:rsidR="000809EF" w:rsidRPr="000809EF">
        <w:rPr>
          <w:rFonts w:ascii="Calibri" w:hAnsi="Calibri"/>
          <w:sz w:val="22"/>
          <w:szCs w:val="22"/>
        </w:rPr>
        <w:t xml:space="preserve">to the end of </w:t>
      </w:r>
      <w:r w:rsidR="00C4185F">
        <w:rPr>
          <w:rFonts w:ascii="Calibri" w:hAnsi="Calibri"/>
          <w:sz w:val="22"/>
          <w:szCs w:val="22"/>
        </w:rPr>
        <w:t xml:space="preserve">2023 </w:t>
      </w:r>
      <w:r w:rsidR="00C3551D">
        <w:rPr>
          <w:rFonts w:ascii="Calibri" w:hAnsi="Calibri"/>
          <w:sz w:val="22"/>
          <w:szCs w:val="22"/>
        </w:rPr>
        <w:t xml:space="preserve">and </w:t>
      </w:r>
      <w:r w:rsidR="00A75524">
        <w:rPr>
          <w:rFonts w:ascii="Calibri" w:hAnsi="Calibri"/>
          <w:sz w:val="22"/>
          <w:szCs w:val="22"/>
        </w:rPr>
        <w:t xml:space="preserve">to note if any serious adverse events had been observed.  </w:t>
      </w:r>
      <w:r w:rsidR="00AD5C1E">
        <w:rPr>
          <w:rFonts w:ascii="Calibri" w:hAnsi="Calibri"/>
          <w:sz w:val="22"/>
          <w:szCs w:val="22"/>
        </w:rPr>
        <w:t xml:space="preserve">The summary is shown in </w:t>
      </w:r>
      <w:r w:rsidR="00C63FD4">
        <w:rPr>
          <w:rFonts w:ascii="Calibri" w:hAnsi="Calibri"/>
        </w:rPr>
        <w:fldChar w:fldCharType="begin"/>
      </w:r>
      <w:r w:rsidR="00C63FD4">
        <w:rPr>
          <w:rFonts w:ascii="Calibri" w:hAnsi="Calibri"/>
          <w:sz w:val="22"/>
          <w:szCs w:val="22"/>
        </w:rPr>
        <w:instrText xml:space="preserve"> REF _Ref33017608 \h </w:instrText>
      </w:r>
      <w:r w:rsidR="009D220C">
        <w:rPr>
          <w:rFonts w:ascii="Calibri" w:hAnsi="Calibri"/>
          <w:sz w:val="22"/>
          <w:szCs w:val="22"/>
        </w:rPr>
        <w:instrText xml:space="preserve"> \* MERGEFORMAT </w:instrText>
      </w:r>
      <w:r w:rsidR="00C63FD4">
        <w:rPr>
          <w:rFonts w:ascii="Calibri" w:hAnsi="Calibri"/>
        </w:rPr>
      </w:r>
      <w:r w:rsidR="00C63FD4">
        <w:rPr>
          <w:rFonts w:ascii="Calibri" w:hAnsi="Calibri"/>
        </w:rPr>
        <w:fldChar w:fldCharType="separate"/>
      </w:r>
      <w:r w:rsidR="00B263AB" w:rsidRPr="00B263AB">
        <w:rPr>
          <w:rFonts w:asciiTheme="minorHAnsi" w:hAnsiTheme="minorHAnsi" w:cstheme="minorHAnsi"/>
          <w:sz w:val="22"/>
          <w:szCs w:val="22"/>
        </w:rPr>
        <w:t>Table</w:t>
      </w:r>
      <w:r w:rsidR="00B263AB">
        <w:t xml:space="preserve"> </w:t>
      </w:r>
      <w:r w:rsidR="00B263AB">
        <w:rPr>
          <w:noProof/>
        </w:rPr>
        <w:t>1</w:t>
      </w:r>
      <w:r w:rsidR="00C63FD4">
        <w:rPr>
          <w:rFonts w:ascii="Calibri" w:hAnsi="Calibri"/>
        </w:rPr>
        <w:fldChar w:fldCharType="end"/>
      </w:r>
      <w:r w:rsidR="00AD5C1E">
        <w:rPr>
          <w:rFonts w:ascii="Calibri" w:hAnsi="Calibri"/>
          <w:sz w:val="22"/>
          <w:szCs w:val="22"/>
        </w:rPr>
        <w:t>.</w:t>
      </w:r>
      <w:r w:rsidR="006B5FA0">
        <w:rPr>
          <w:rFonts w:ascii="Calibri" w:hAnsi="Calibri"/>
          <w:sz w:val="22"/>
          <w:szCs w:val="22"/>
        </w:rPr>
        <w:t xml:space="preserve">  There have been </w:t>
      </w:r>
      <w:proofErr w:type="gramStart"/>
      <w:r w:rsidR="00C4185F" w:rsidRPr="00C4185F">
        <w:rPr>
          <w:rFonts w:ascii="Calibri" w:hAnsi="Calibri"/>
          <w:sz w:val="22"/>
          <w:szCs w:val="22"/>
        </w:rPr>
        <w:t xml:space="preserve">1,112 </w:t>
      </w:r>
      <w:r w:rsidR="000809EF">
        <w:rPr>
          <w:rFonts w:ascii="Calibri" w:hAnsi="Calibri"/>
          <w:sz w:val="22"/>
          <w:szCs w:val="22"/>
        </w:rPr>
        <w:t xml:space="preserve"> </w:t>
      </w:r>
      <w:r w:rsidR="006B5FA0">
        <w:rPr>
          <w:rFonts w:ascii="Calibri" w:hAnsi="Calibri"/>
          <w:sz w:val="22"/>
          <w:szCs w:val="22"/>
        </w:rPr>
        <w:t>subjects</w:t>
      </w:r>
      <w:proofErr w:type="gramEnd"/>
      <w:r w:rsidR="006B5FA0">
        <w:rPr>
          <w:rFonts w:ascii="Calibri" w:hAnsi="Calibri"/>
          <w:sz w:val="22"/>
          <w:szCs w:val="22"/>
        </w:rPr>
        <w:t xml:space="preserve"> studied </w:t>
      </w:r>
      <w:r w:rsidR="000809EF" w:rsidRPr="000809EF">
        <w:rPr>
          <w:rFonts w:ascii="Calibri" w:hAnsi="Calibri"/>
          <w:sz w:val="22"/>
          <w:szCs w:val="22"/>
        </w:rPr>
        <w:t xml:space="preserve">as of 31 DEC </w:t>
      </w:r>
      <w:r w:rsidR="00C4185F">
        <w:rPr>
          <w:rFonts w:ascii="Calibri" w:hAnsi="Calibri"/>
          <w:sz w:val="22"/>
          <w:szCs w:val="22"/>
        </w:rPr>
        <w:t>2023</w:t>
      </w:r>
      <w:r w:rsidR="000809EF" w:rsidRPr="000809EF">
        <w:rPr>
          <w:rFonts w:ascii="Calibri" w:hAnsi="Calibri"/>
          <w:sz w:val="22"/>
          <w:szCs w:val="22"/>
        </w:rPr>
        <w:t>, and the total number of studies, including repeat studies) for both patients and volunteers reached</w:t>
      </w:r>
      <w:r w:rsidR="00C4185F">
        <w:rPr>
          <w:rFonts w:ascii="Calibri" w:hAnsi="Calibri"/>
          <w:sz w:val="22"/>
          <w:szCs w:val="22"/>
        </w:rPr>
        <w:t xml:space="preserve"> </w:t>
      </w:r>
      <w:r w:rsidR="00C4185F" w:rsidRPr="00C4185F">
        <w:rPr>
          <w:rFonts w:ascii="Calibri" w:hAnsi="Calibri"/>
          <w:sz w:val="22"/>
          <w:szCs w:val="22"/>
        </w:rPr>
        <w:t>1,656</w:t>
      </w:r>
      <w:r w:rsidR="000809EF" w:rsidRPr="000809EF">
        <w:rPr>
          <w:rFonts w:ascii="Calibri" w:hAnsi="Calibri"/>
          <w:sz w:val="22"/>
          <w:szCs w:val="22"/>
        </w:rPr>
        <w:t>. On average, three out of 10 studies involved volunteers.</w:t>
      </w:r>
    </w:p>
    <w:p w14:paraId="48510E97" w14:textId="30A395DF" w:rsidR="009723EE" w:rsidRPr="009723EE" w:rsidRDefault="009723EE" w:rsidP="00FB4297">
      <w:pPr>
        <w:pStyle w:val="NormalWeb"/>
        <w:shd w:val="clear" w:color="auto" w:fill="FFFFFF"/>
        <w:spacing w:line="240" w:lineRule="auto"/>
        <w:rPr>
          <w:rFonts w:ascii="Calibri" w:hAnsi="Calibri"/>
          <w:sz w:val="22"/>
          <w:szCs w:val="22"/>
        </w:rPr>
      </w:pPr>
      <w:r w:rsidRPr="009723EE">
        <w:rPr>
          <w:rFonts w:ascii="Calibri" w:hAnsi="Calibri"/>
          <w:sz w:val="22"/>
          <w:szCs w:val="22"/>
        </w:rPr>
        <w:t xml:space="preserve">Many of these studies represented multiple injections, as can be seen from Table 1, which has been expanded to capture 2, 3 and 4 or more injections in the same subject, with a significant percentage (greater than </w:t>
      </w:r>
      <w:r w:rsidR="006E22CC">
        <w:rPr>
          <w:rFonts w:ascii="Calibri" w:hAnsi="Calibri"/>
          <w:sz w:val="22"/>
          <w:szCs w:val="22"/>
        </w:rPr>
        <w:t>40</w:t>
      </w:r>
      <w:r w:rsidRPr="009723EE">
        <w:rPr>
          <w:rFonts w:ascii="Calibri" w:hAnsi="Calibri"/>
          <w:sz w:val="22"/>
          <w:szCs w:val="22"/>
        </w:rPr>
        <w:t xml:space="preserve">%) of repeated studies allowing test/retest and follow up of responses to therapy.  This </w:t>
      </w:r>
      <w:r w:rsidR="006E22CC" w:rsidRPr="006E22CC">
        <w:rPr>
          <w:rFonts w:ascii="Calibri" w:hAnsi="Calibri"/>
          <w:sz w:val="22"/>
          <w:szCs w:val="22"/>
        </w:rPr>
        <w:t>continues to</w:t>
      </w:r>
      <w:r w:rsidR="006E22CC">
        <w:rPr>
          <w:rFonts w:ascii="Calibri" w:hAnsi="Calibri"/>
          <w:sz w:val="22"/>
          <w:szCs w:val="22"/>
        </w:rPr>
        <w:t xml:space="preserve"> attest</w:t>
      </w:r>
      <w:r w:rsidR="006E22CC" w:rsidRPr="009723EE">
        <w:rPr>
          <w:rFonts w:ascii="Calibri" w:hAnsi="Calibri"/>
          <w:sz w:val="22"/>
          <w:szCs w:val="22"/>
        </w:rPr>
        <w:t xml:space="preserve"> </w:t>
      </w:r>
      <w:r w:rsidRPr="009723EE">
        <w:rPr>
          <w:rFonts w:ascii="Calibri" w:hAnsi="Calibri"/>
          <w:sz w:val="22"/>
          <w:szCs w:val="22"/>
        </w:rPr>
        <w:t xml:space="preserve">to the high safety profile of the formulation, composed of 250 mM pyruvate and no more than 3 </w:t>
      </w:r>
      <w:proofErr w:type="spellStart"/>
      <w:r w:rsidRPr="009723EE">
        <w:rPr>
          <w:rFonts w:ascii="Calibri" w:hAnsi="Calibri"/>
          <w:sz w:val="22"/>
          <w:szCs w:val="22"/>
        </w:rPr>
        <w:t>microM</w:t>
      </w:r>
      <w:proofErr w:type="spellEnd"/>
      <w:r w:rsidRPr="009723EE">
        <w:rPr>
          <w:rFonts w:ascii="Calibri" w:hAnsi="Calibri"/>
          <w:sz w:val="22"/>
          <w:szCs w:val="22"/>
        </w:rPr>
        <w:t xml:space="preserve"> EPA delivered at a rate of 0.43 mL/kg body weight. All sites reported that no serious adverse events were observed. Note that these studies have not been performed under IND 76, 651. The reports are anecdotal, and they have not been verified.  Only self-reported mild side effects associated with the injection and no moderate or severe adverse events even after multiple administrations to the same subject were reported. These appear much milder than those preliminarily reported in the assessed safety and tolerability study of Pyruvate injection in healthy ma</w:t>
      </w:r>
      <w:r w:rsidR="0097412E">
        <w:rPr>
          <w:rFonts w:ascii="Calibri" w:hAnsi="Calibri"/>
          <w:sz w:val="22"/>
          <w:szCs w:val="22"/>
        </w:rPr>
        <w:t>l</w:t>
      </w:r>
      <w:r w:rsidRPr="009723EE">
        <w:rPr>
          <w:rFonts w:ascii="Calibri" w:hAnsi="Calibri"/>
          <w:sz w:val="22"/>
          <w:szCs w:val="22"/>
        </w:rPr>
        <w:t xml:space="preserve">e and female volunteers (protocol GE-101-001, Phase 1 placebo controlled randomized ascending dose study), and which served as the basis for the dose selection. </w:t>
      </w:r>
    </w:p>
    <w:p w14:paraId="68A997BC" w14:textId="313E37DF" w:rsidR="009723EE" w:rsidRPr="009723EE" w:rsidRDefault="009723EE" w:rsidP="00FB4297">
      <w:pPr>
        <w:pStyle w:val="NormalWeb"/>
        <w:shd w:val="clear" w:color="auto" w:fill="FFFFFF"/>
        <w:spacing w:line="240" w:lineRule="auto"/>
        <w:rPr>
          <w:rFonts w:ascii="Calibri" w:hAnsi="Calibri"/>
          <w:sz w:val="22"/>
          <w:szCs w:val="22"/>
        </w:rPr>
      </w:pPr>
      <w:r w:rsidRPr="009723EE">
        <w:rPr>
          <w:rFonts w:ascii="Calibri" w:hAnsi="Calibri"/>
          <w:sz w:val="22"/>
          <w:szCs w:val="22"/>
        </w:rPr>
        <w:t>The applications have remained focused on cancer patients, with prostate, brain and other solid tumors, but cardiology</w:t>
      </w:r>
      <w:r w:rsidR="006E22CC">
        <w:rPr>
          <w:rFonts w:ascii="Calibri" w:hAnsi="Calibri"/>
          <w:sz w:val="22"/>
          <w:szCs w:val="22"/>
        </w:rPr>
        <w:t xml:space="preserve"> </w:t>
      </w:r>
      <w:r w:rsidR="006E22CC" w:rsidRPr="006E22CC">
        <w:rPr>
          <w:rFonts w:ascii="Calibri" w:hAnsi="Calibri"/>
          <w:sz w:val="22"/>
          <w:szCs w:val="22"/>
        </w:rPr>
        <w:t>with about 22% of all studies</w:t>
      </w:r>
      <w:r w:rsidRPr="009723EE">
        <w:rPr>
          <w:rFonts w:ascii="Calibri" w:hAnsi="Calibri"/>
          <w:sz w:val="22"/>
          <w:szCs w:val="22"/>
        </w:rPr>
        <w:t xml:space="preserve"> has gained high interest, both in evaluating the critical issue of chemotherapeutic cardiac toxicity as well as in diabetes research.</w:t>
      </w:r>
    </w:p>
    <w:p w14:paraId="4D2F022E" w14:textId="316A86D2" w:rsidR="009723EE" w:rsidRPr="009723EE" w:rsidRDefault="009723EE" w:rsidP="00FB4297">
      <w:pPr>
        <w:pStyle w:val="NormalWeb"/>
        <w:shd w:val="clear" w:color="auto" w:fill="FFFFFF"/>
        <w:spacing w:line="240" w:lineRule="auto"/>
        <w:rPr>
          <w:rFonts w:ascii="Calibri" w:hAnsi="Calibri"/>
          <w:sz w:val="22"/>
          <w:szCs w:val="22"/>
        </w:rPr>
      </w:pPr>
    </w:p>
    <w:p w14:paraId="5A4A22B4" w14:textId="21151301" w:rsidR="009723EE" w:rsidRPr="009723EE" w:rsidRDefault="009723EE" w:rsidP="00FB4297">
      <w:pPr>
        <w:pStyle w:val="NormalWeb"/>
        <w:shd w:val="clear" w:color="auto" w:fill="FFFFFF"/>
        <w:spacing w:line="240" w:lineRule="auto"/>
        <w:rPr>
          <w:rFonts w:ascii="Calibri" w:hAnsi="Calibri"/>
          <w:sz w:val="22"/>
          <w:szCs w:val="22"/>
        </w:rPr>
      </w:pPr>
      <w:r w:rsidRPr="009723EE">
        <w:rPr>
          <w:rFonts w:ascii="Calibri" w:hAnsi="Calibri"/>
          <w:sz w:val="22"/>
          <w:szCs w:val="22"/>
        </w:rPr>
        <w:lastRenderedPageBreak/>
        <w:t xml:space="preserve">Sites </w:t>
      </w:r>
      <w:r w:rsidR="006E22CC" w:rsidRPr="006E22CC">
        <w:rPr>
          <w:rFonts w:ascii="Calibri" w:hAnsi="Calibri"/>
          <w:sz w:val="22"/>
          <w:szCs w:val="22"/>
        </w:rPr>
        <w:t xml:space="preserve">continue to </w:t>
      </w:r>
      <w:r w:rsidR="006E22CC">
        <w:rPr>
          <w:rFonts w:ascii="Calibri" w:hAnsi="Calibri"/>
          <w:sz w:val="22"/>
          <w:szCs w:val="22"/>
        </w:rPr>
        <w:t>migrate</w:t>
      </w:r>
      <w:r w:rsidR="006E22CC" w:rsidRPr="009723EE">
        <w:rPr>
          <w:rFonts w:ascii="Calibri" w:hAnsi="Calibri"/>
          <w:sz w:val="22"/>
          <w:szCs w:val="22"/>
        </w:rPr>
        <w:t xml:space="preserve"> </w:t>
      </w:r>
      <w:r w:rsidRPr="009723EE">
        <w:rPr>
          <w:rFonts w:ascii="Calibri" w:hAnsi="Calibri"/>
          <w:sz w:val="22"/>
          <w:szCs w:val="22"/>
        </w:rPr>
        <w:t>to an improved Part B with the appropriate qualification runs and smoothly transitioned in the clinic, allowing the combination of multiple probes imaging, such as C-13 Pyruvate in the C-1 and C-2 positions. A major milestone was accomplished by the UCSF team in their co-injecting of hyperpolarized C-13 Pyruvate and N-15 urea</w:t>
      </w:r>
      <w:r w:rsidR="006E22CC">
        <w:rPr>
          <w:rFonts w:ascii="Calibri" w:hAnsi="Calibri"/>
          <w:sz w:val="22"/>
          <w:szCs w:val="22"/>
        </w:rPr>
        <w:t xml:space="preserve"> </w:t>
      </w:r>
      <w:r w:rsidR="006E22CC" w:rsidRPr="006E22CC">
        <w:rPr>
          <w:rFonts w:ascii="Calibri" w:hAnsi="Calibri"/>
          <w:sz w:val="22"/>
          <w:szCs w:val="22"/>
        </w:rPr>
        <w:t>in prostate cancer patients:  https://clinicaltrials.gov/study/NCT06391034</w:t>
      </w:r>
      <w:r w:rsidRPr="009723EE">
        <w:rPr>
          <w:rFonts w:ascii="Calibri" w:hAnsi="Calibri"/>
          <w:sz w:val="22"/>
          <w:szCs w:val="22"/>
        </w:rPr>
        <w:t>, ushering a new era of development. More probes are now in development, such as (13C) alpha-ketoglutarate (</w:t>
      </w:r>
      <w:proofErr w:type="spellStart"/>
      <w:r w:rsidRPr="009723EE">
        <w:rPr>
          <w:rFonts w:ascii="Calibri" w:hAnsi="Calibri"/>
          <w:sz w:val="22"/>
          <w:szCs w:val="22"/>
        </w:rPr>
        <w:t>aKG</w:t>
      </w:r>
      <w:proofErr w:type="spellEnd"/>
      <w:r w:rsidRPr="009723EE">
        <w:rPr>
          <w:rFonts w:ascii="Calibri" w:hAnsi="Calibri"/>
          <w:sz w:val="22"/>
          <w:szCs w:val="22"/>
        </w:rPr>
        <w:t>)</w:t>
      </w:r>
      <w:r w:rsidR="000B5C01">
        <w:rPr>
          <w:rFonts w:ascii="Calibri" w:hAnsi="Calibri"/>
          <w:sz w:val="22"/>
          <w:szCs w:val="22"/>
        </w:rPr>
        <w:t xml:space="preserve"> </w:t>
      </w:r>
      <w:r w:rsidR="000B5C01" w:rsidRPr="000B5C01">
        <w:rPr>
          <w:rFonts w:ascii="Calibri" w:hAnsi="Calibri"/>
          <w:sz w:val="22"/>
          <w:szCs w:val="22"/>
        </w:rPr>
        <w:t xml:space="preserve">for the imaging of IDH mutant in glioma: https://clinicaltrials.gov/study/NCT05851378, </w:t>
      </w:r>
      <w:r w:rsidRPr="009723EE">
        <w:rPr>
          <w:rFonts w:ascii="Calibri" w:hAnsi="Calibri"/>
          <w:sz w:val="22"/>
          <w:szCs w:val="22"/>
        </w:rPr>
        <w:t xml:space="preserve"> 13C bicarbonate</w:t>
      </w:r>
      <w:r w:rsidR="000B5C01">
        <w:rPr>
          <w:rFonts w:ascii="Calibri" w:hAnsi="Calibri"/>
          <w:sz w:val="22"/>
          <w:szCs w:val="22"/>
        </w:rPr>
        <w:t xml:space="preserve"> </w:t>
      </w:r>
      <w:r w:rsidR="000B5C01" w:rsidRPr="000B5C01">
        <w:rPr>
          <w:rFonts w:ascii="Calibri" w:hAnsi="Calibri"/>
          <w:sz w:val="22"/>
          <w:szCs w:val="22"/>
        </w:rPr>
        <w:t>to measure tissue pH in prostate cancer: https://clinicaltrials.gov/study/NCT05851365,  and 13C fumarate for cell death imaging</w:t>
      </w:r>
      <w:r w:rsidRPr="009723EE">
        <w:rPr>
          <w:rFonts w:ascii="Calibri" w:hAnsi="Calibri"/>
          <w:sz w:val="22"/>
          <w:szCs w:val="22"/>
        </w:rPr>
        <w:t>,</w:t>
      </w:r>
      <w:r w:rsidR="000B5C01">
        <w:rPr>
          <w:rFonts w:ascii="Calibri" w:hAnsi="Calibri"/>
          <w:sz w:val="22"/>
          <w:szCs w:val="22"/>
        </w:rPr>
        <w:t xml:space="preserve"> with</w:t>
      </w:r>
      <w:r w:rsidRPr="009723EE">
        <w:rPr>
          <w:rFonts w:ascii="Calibri" w:hAnsi="Calibri"/>
          <w:sz w:val="22"/>
          <w:szCs w:val="22"/>
        </w:rPr>
        <w:t xml:space="preserve"> their quality control facilitated by an MPQC (multi-probe quality control) unit that showed flexibility at an astonishing speed with the partial release of a drug product in a matter of seconds.</w:t>
      </w:r>
      <w:r>
        <w:rPr>
          <w:rFonts w:ascii="Calibri" w:hAnsi="Calibri"/>
          <w:sz w:val="22"/>
          <w:szCs w:val="22"/>
        </w:rPr>
        <w:t xml:space="preserve"> </w:t>
      </w:r>
      <w:r w:rsidRPr="009723EE">
        <w:rPr>
          <w:rFonts w:ascii="Calibri" w:hAnsi="Calibri"/>
          <w:sz w:val="22"/>
          <w:szCs w:val="22"/>
        </w:rPr>
        <w:t>Published clinical studies are summarized in section 6.4 Literature reported studies.</w:t>
      </w:r>
    </w:p>
    <w:p w14:paraId="1F4E5B7E" w14:textId="70388CE9" w:rsidR="00FB4297" w:rsidRDefault="00FB4297">
      <w:pPr>
        <w:rPr>
          <w:rFonts w:ascii="Calibri" w:eastAsia="Times New Roman" w:hAnsi="Calibri" w:cs="Arial"/>
        </w:rPr>
      </w:pPr>
    </w:p>
    <w:p w14:paraId="285488F3" w14:textId="5362417D" w:rsidR="00FB4297" w:rsidRDefault="00FB4297">
      <w:pPr>
        <w:rPr>
          <w:rFonts w:ascii="Calibri" w:eastAsia="Times New Roman" w:hAnsi="Calibri" w:cs="Arial"/>
        </w:rPr>
      </w:pPr>
      <w:r>
        <w:rPr>
          <w:rFonts w:ascii="Calibri" w:hAnsi="Calibri"/>
        </w:rPr>
        <w:br w:type="page"/>
      </w:r>
    </w:p>
    <w:p w14:paraId="464C3048" w14:textId="4CEEE8B1" w:rsidR="000E38BA" w:rsidRPr="00AD0DDE" w:rsidRDefault="00C63FD4" w:rsidP="006B5FA0">
      <w:pPr>
        <w:pStyle w:val="Caption"/>
        <w:rPr>
          <w:color w:val="1F497D"/>
        </w:rPr>
      </w:pPr>
      <w:bookmarkStart w:id="13" w:name="_Ref33017608"/>
      <w:bookmarkStart w:id="14" w:name="_Hlk144197591"/>
      <w:r w:rsidRPr="00AD0DDE">
        <w:rPr>
          <w:color w:val="1F497D"/>
        </w:rPr>
        <w:lastRenderedPageBreak/>
        <w:t xml:space="preserve">Table </w:t>
      </w:r>
      <w:r w:rsidR="009026B3" w:rsidRPr="00AD0DDE">
        <w:rPr>
          <w:color w:val="1F497D"/>
        </w:rPr>
        <w:fldChar w:fldCharType="begin"/>
      </w:r>
      <w:r w:rsidR="009026B3" w:rsidRPr="00AD0DDE">
        <w:rPr>
          <w:color w:val="1F497D"/>
        </w:rPr>
        <w:instrText xml:space="preserve"> SEQ Table \* ARABIC </w:instrText>
      </w:r>
      <w:r w:rsidR="009026B3" w:rsidRPr="00AD0DDE">
        <w:rPr>
          <w:color w:val="1F497D"/>
        </w:rPr>
        <w:fldChar w:fldCharType="separate"/>
      </w:r>
      <w:r w:rsidR="00B263AB" w:rsidRPr="00AD0DDE">
        <w:rPr>
          <w:noProof/>
          <w:color w:val="1F497D"/>
        </w:rPr>
        <w:t>1</w:t>
      </w:r>
      <w:r w:rsidR="009026B3" w:rsidRPr="00AD0DDE">
        <w:rPr>
          <w:noProof/>
          <w:color w:val="1F497D"/>
        </w:rPr>
        <w:fldChar w:fldCharType="end"/>
      </w:r>
      <w:bookmarkEnd w:id="13"/>
      <w:bookmarkEnd w:id="14"/>
      <w:r w:rsidR="00FB4297" w:rsidRPr="00AD0DDE">
        <w:rPr>
          <w:color w:val="1F497D"/>
        </w:rPr>
        <w:t>:</w:t>
      </w:r>
      <w:r w:rsidRPr="00AD0DDE">
        <w:rPr>
          <w:color w:val="1F497D"/>
        </w:rPr>
        <w:t xml:space="preserve">  </w:t>
      </w:r>
      <w:r w:rsidR="009723EE" w:rsidRPr="00AD0DDE">
        <w:rPr>
          <w:color w:val="1F497D"/>
        </w:rPr>
        <w:t xml:space="preserve">Summary of </w:t>
      </w:r>
      <w:r w:rsidR="00AD0DDE">
        <w:rPr>
          <w:color w:val="1F497D"/>
        </w:rPr>
        <w:t>A</w:t>
      </w:r>
      <w:r w:rsidR="009723EE" w:rsidRPr="00AD0DDE">
        <w:rPr>
          <w:color w:val="1F497D"/>
        </w:rPr>
        <w:t xml:space="preserve">ll Clinical C-13 Pyruvate Hyperpolarization </w:t>
      </w:r>
      <w:r w:rsidR="00694C33" w:rsidRPr="00AD0DDE">
        <w:rPr>
          <w:color w:val="1F497D"/>
        </w:rPr>
        <w:t>S</w:t>
      </w:r>
      <w:r w:rsidR="009723EE" w:rsidRPr="00AD0DDE">
        <w:rPr>
          <w:color w:val="1F497D"/>
        </w:rPr>
        <w:t xml:space="preserve">tudies </w:t>
      </w:r>
      <w:r w:rsidR="00FB4297" w:rsidRPr="00AD0DDE">
        <w:rPr>
          <w:color w:val="1F497D"/>
        </w:rPr>
        <w:t>Performed</w:t>
      </w:r>
      <w:r w:rsidR="009723EE" w:rsidRPr="00AD0DDE">
        <w:rPr>
          <w:color w:val="1F497D"/>
        </w:rPr>
        <w:t xml:space="preserve"> </w:t>
      </w:r>
      <w:r w:rsidR="00694C33" w:rsidRPr="00AD0DDE">
        <w:rPr>
          <w:color w:val="1F497D"/>
        </w:rPr>
        <w:t>S</w:t>
      </w:r>
      <w:r w:rsidR="009723EE" w:rsidRPr="00AD0DDE">
        <w:rPr>
          <w:color w:val="1F497D"/>
        </w:rPr>
        <w:t xml:space="preserve">ince </w:t>
      </w:r>
      <w:r w:rsidR="00694C33" w:rsidRPr="00AD0DDE">
        <w:rPr>
          <w:color w:val="1F497D"/>
        </w:rPr>
        <w:t>P</w:t>
      </w:r>
      <w:r w:rsidR="009723EE" w:rsidRPr="00AD0DDE">
        <w:rPr>
          <w:color w:val="1F497D"/>
        </w:rPr>
        <w:t xml:space="preserve">rogram </w:t>
      </w:r>
      <w:r w:rsidR="00FB4297" w:rsidRPr="00AD0DDE">
        <w:rPr>
          <w:color w:val="1F497D"/>
        </w:rPr>
        <w:t>Initiation:</w:t>
      </w:r>
    </w:p>
    <w:p w14:paraId="63C49912" w14:textId="1D4D2B62" w:rsidR="009723EE" w:rsidRDefault="009723EE" w:rsidP="009723EE"/>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85"/>
        <w:gridCol w:w="1870"/>
        <w:gridCol w:w="1914"/>
        <w:gridCol w:w="1903"/>
        <w:gridCol w:w="1958"/>
      </w:tblGrid>
      <w:tr w:rsidR="009723EE" w:rsidRPr="00FB4297" w14:paraId="1C304926" w14:textId="77777777" w:rsidTr="00DA676A">
        <w:trPr>
          <w:trHeight w:val="194"/>
        </w:trPr>
        <w:tc>
          <w:tcPr>
            <w:tcW w:w="10230" w:type="dxa"/>
            <w:gridSpan w:val="5"/>
          </w:tcPr>
          <w:p w14:paraId="6183E68B" w14:textId="681E62D3" w:rsidR="009723EE" w:rsidRPr="00FB4297" w:rsidRDefault="009723EE" w:rsidP="00983219">
            <w:pPr>
              <w:pStyle w:val="TableParagraph"/>
              <w:spacing w:line="174" w:lineRule="exact"/>
              <w:ind w:right="4364"/>
              <w:rPr>
                <w:rFonts w:cstheme="minorHAnsi"/>
                <w:b/>
                <w:sz w:val="20"/>
                <w:szCs w:val="20"/>
              </w:rPr>
            </w:pPr>
            <w:r w:rsidRPr="00FB4297">
              <w:rPr>
                <w:rFonts w:cstheme="minorHAnsi"/>
                <w:b/>
                <w:w w:val="105"/>
                <w:sz w:val="20"/>
                <w:szCs w:val="20"/>
              </w:rPr>
              <w:t>ALL</w:t>
            </w:r>
            <w:r w:rsidRPr="00FB4297">
              <w:rPr>
                <w:rFonts w:cstheme="minorHAnsi"/>
                <w:b/>
                <w:spacing w:val="-7"/>
                <w:w w:val="105"/>
                <w:sz w:val="20"/>
                <w:szCs w:val="20"/>
              </w:rPr>
              <w:t xml:space="preserve"> </w:t>
            </w:r>
            <w:r w:rsidRPr="00FB4297">
              <w:rPr>
                <w:rFonts w:cstheme="minorHAnsi"/>
                <w:b/>
                <w:w w:val="105"/>
                <w:sz w:val="20"/>
                <w:szCs w:val="20"/>
              </w:rPr>
              <w:t>RECEIVED</w:t>
            </w:r>
            <w:r w:rsidRPr="00FB4297">
              <w:rPr>
                <w:rFonts w:cstheme="minorHAnsi"/>
                <w:b/>
                <w:spacing w:val="-9"/>
                <w:w w:val="105"/>
                <w:sz w:val="20"/>
                <w:szCs w:val="20"/>
              </w:rPr>
              <w:t xml:space="preserve"> </w:t>
            </w:r>
            <w:r w:rsidR="00FB4297">
              <w:rPr>
                <w:rFonts w:cstheme="minorHAnsi"/>
                <w:b/>
                <w:spacing w:val="-9"/>
                <w:w w:val="105"/>
                <w:sz w:val="20"/>
                <w:szCs w:val="20"/>
              </w:rPr>
              <w:t>D</w:t>
            </w:r>
            <w:r w:rsidRPr="00FB4297">
              <w:rPr>
                <w:rFonts w:cstheme="minorHAnsi"/>
                <w:b/>
                <w:spacing w:val="-4"/>
                <w:w w:val="105"/>
                <w:sz w:val="20"/>
                <w:szCs w:val="20"/>
              </w:rPr>
              <w:t>ATA</w:t>
            </w:r>
          </w:p>
        </w:tc>
      </w:tr>
      <w:tr w:rsidR="009723EE" w:rsidRPr="00FB4297" w14:paraId="091D2BF5" w14:textId="77777777" w:rsidTr="00DA676A">
        <w:trPr>
          <w:trHeight w:val="205"/>
        </w:trPr>
        <w:tc>
          <w:tcPr>
            <w:tcW w:w="2585" w:type="dxa"/>
          </w:tcPr>
          <w:p w14:paraId="03730ACE" w14:textId="77777777" w:rsidR="009723EE" w:rsidRPr="00983219" w:rsidRDefault="009723EE" w:rsidP="00DA676A">
            <w:pPr>
              <w:pStyle w:val="TableParagraph"/>
              <w:spacing w:before="1" w:line="184" w:lineRule="exact"/>
              <w:ind w:left="25"/>
              <w:rPr>
                <w:rFonts w:cstheme="minorHAnsi"/>
                <w:sz w:val="20"/>
                <w:szCs w:val="20"/>
              </w:rPr>
            </w:pPr>
            <w:r w:rsidRPr="00983219">
              <w:rPr>
                <w:rFonts w:cstheme="minorHAnsi"/>
                <w:spacing w:val="-2"/>
                <w:w w:val="105"/>
                <w:sz w:val="20"/>
                <w:szCs w:val="20"/>
              </w:rPr>
              <w:t>C-13</w:t>
            </w:r>
            <w:r w:rsidRPr="00983219">
              <w:rPr>
                <w:rFonts w:cstheme="minorHAnsi"/>
                <w:spacing w:val="1"/>
                <w:w w:val="105"/>
                <w:sz w:val="20"/>
                <w:szCs w:val="20"/>
              </w:rPr>
              <w:t xml:space="preserve"> </w:t>
            </w:r>
            <w:r w:rsidRPr="00983219">
              <w:rPr>
                <w:rFonts w:cstheme="minorHAnsi"/>
                <w:spacing w:val="-2"/>
                <w:w w:val="105"/>
                <w:sz w:val="20"/>
                <w:szCs w:val="20"/>
              </w:rPr>
              <w:t>Pyruvate</w:t>
            </w:r>
            <w:r w:rsidRPr="00983219">
              <w:rPr>
                <w:rFonts w:cstheme="minorHAnsi"/>
                <w:spacing w:val="2"/>
                <w:w w:val="105"/>
                <w:sz w:val="20"/>
                <w:szCs w:val="20"/>
              </w:rPr>
              <w:t xml:space="preserve"> </w:t>
            </w:r>
            <w:r w:rsidRPr="00983219">
              <w:rPr>
                <w:rFonts w:cstheme="minorHAnsi"/>
                <w:spacing w:val="-2"/>
                <w:w w:val="105"/>
                <w:sz w:val="20"/>
                <w:szCs w:val="20"/>
              </w:rPr>
              <w:t>Hyperpolarization</w:t>
            </w:r>
          </w:p>
        </w:tc>
        <w:tc>
          <w:tcPr>
            <w:tcW w:w="7645" w:type="dxa"/>
            <w:gridSpan w:val="4"/>
          </w:tcPr>
          <w:p w14:paraId="6F7225B3" w14:textId="1C0C1F56" w:rsidR="009723EE" w:rsidRPr="00FB4297" w:rsidRDefault="00887420" w:rsidP="005746A3">
            <w:pPr>
              <w:pStyle w:val="TableParagraph"/>
              <w:spacing w:before="1" w:line="184" w:lineRule="exact"/>
              <w:ind w:right="3147"/>
              <w:jc w:val="center"/>
              <w:rPr>
                <w:rFonts w:cstheme="minorHAnsi"/>
                <w:b/>
                <w:bCs/>
                <w:sz w:val="20"/>
                <w:szCs w:val="20"/>
              </w:rPr>
            </w:pPr>
            <w:r>
              <w:rPr>
                <w:rFonts w:cstheme="minorHAnsi"/>
                <w:b/>
                <w:bCs/>
                <w:w w:val="105"/>
                <w:sz w:val="20"/>
                <w:szCs w:val="20"/>
              </w:rPr>
              <w:t xml:space="preserve">As of </w:t>
            </w:r>
            <w:proofErr w:type="gramStart"/>
            <w:r>
              <w:rPr>
                <w:rFonts w:cstheme="minorHAnsi"/>
                <w:b/>
                <w:bCs/>
                <w:w w:val="105"/>
                <w:sz w:val="20"/>
                <w:szCs w:val="20"/>
              </w:rPr>
              <w:t>31 December 2023</w:t>
            </w:r>
            <w:proofErr w:type="gramEnd"/>
          </w:p>
        </w:tc>
      </w:tr>
      <w:tr w:rsidR="009723EE" w:rsidRPr="00FB4297" w14:paraId="4FE8B2DE" w14:textId="77777777" w:rsidTr="00DA676A">
        <w:trPr>
          <w:trHeight w:val="545"/>
        </w:trPr>
        <w:tc>
          <w:tcPr>
            <w:tcW w:w="2585" w:type="dxa"/>
          </w:tcPr>
          <w:p w14:paraId="3F2C0715" w14:textId="77777777" w:rsidR="009723EE" w:rsidRPr="00FB4297" w:rsidRDefault="009723EE" w:rsidP="00DA676A">
            <w:pPr>
              <w:pStyle w:val="TableParagraph"/>
              <w:rPr>
                <w:rFonts w:cstheme="minorHAnsi"/>
                <w:sz w:val="20"/>
                <w:szCs w:val="20"/>
              </w:rPr>
            </w:pPr>
          </w:p>
        </w:tc>
        <w:tc>
          <w:tcPr>
            <w:tcW w:w="1870" w:type="dxa"/>
            <w:shd w:val="clear" w:color="auto" w:fill="D9E1F2"/>
          </w:tcPr>
          <w:p w14:paraId="1718897F" w14:textId="77777777" w:rsidR="009723EE" w:rsidRPr="00FB4297" w:rsidRDefault="009723EE" w:rsidP="005746A3">
            <w:pPr>
              <w:pStyle w:val="TableParagraph"/>
              <w:spacing w:before="56" w:line="254" w:lineRule="auto"/>
              <w:rPr>
                <w:rFonts w:cstheme="minorHAnsi"/>
                <w:sz w:val="20"/>
                <w:szCs w:val="20"/>
              </w:rPr>
            </w:pPr>
            <w:r w:rsidRPr="00FB4297">
              <w:rPr>
                <w:rFonts w:cstheme="minorHAnsi"/>
                <w:spacing w:val="-2"/>
                <w:w w:val="105"/>
                <w:sz w:val="20"/>
                <w:szCs w:val="20"/>
              </w:rPr>
              <w:t>Patients</w:t>
            </w:r>
            <w:r w:rsidRPr="00FB4297">
              <w:rPr>
                <w:rFonts w:cstheme="minorHAnsi"/>
                <w:spacing w:val="-9"/>
                <w:w w:val="105"/>
                <w:sz w:val="20"/>
                <w:szCs w:val="20"/>
              </w:rPr>
              <w:t xml:space="preserve"> </w:t>
            </w:r>
            <w:r w:rsidRPr="00FB4297">
              <w:rPr>
                <w:rFonts w:cstheme="minorHAnsi"/>
                <w:spacing w:val="-2"/>
                <w:w w:val="105"/>
                <w:sz w:val="20"/>
                <w:szCs w:val="20"/>
              </w:rPr>
              <w:t>with</w:t>
            </w:r>
            <w:r w:rsidRPr="00FB4297">
              <w:rPr>
                <w:rFonts w:cstheme="minorHAnsi"/>
                <w:spacing w:val="-8"/>
                <w:w w:val="105"/>
                <w:sz w:val="20"/>
                <w:szCs w:val="20"/>
              </w:rPr>
              <w:t xml:space="preserve"> </w:t>
            </w:r>
            <w:r w:rsidRPr="00FB4297">
              <w:rPr>
                <w:rFonts w:cstheme="minorHAnsi"/>
                <w:spacing w:val="-2"/>
                <w:w w:val="105"/>
                <w:sz w:val="20"/>
                <w:szCs w:val="20"/>
              </w:rPr>
              <w:t>one</w:t>
            </w:r>
            <w:r w:rsidRPr="00FB4297">
              <w:rPr>
                <w:rFonts w:cstheme="minorHAnsi"/>
                <w:spacing w:val="-8"/>
                <w:w w:val="105"/>
                <w:sz w:val="20"/>
                <w:szCs w:val="20"/>
              </w:rPr>
              <w:t xml:space="preserve"> </w:t>
            </w:r>
            <w:r w:rsidRPr="00FB4297">
              <w:rPr>
                <w:rFonts w:cstheme="minorHAnsi"/>
                <w:spacing w:val="-2"/>
                <w:w w:val="105"/>
                <w:sz w:val="20"/>
                <w:szCs w:val="20"/>
              </w:rPr>
              <w:t>or</w:t>
            </w:r>
            <w:r w:rsidRPr="00FB4297">
              <w:rPr>
                <w:rFonts w:cstheme="minorHAnsi"/>
                <w:w w:val="105"/>
                <w:sz w:val="20"/>
                <w:szCs w:val="20"/>
              </w:rPr>
              <w:t xml:space="preserve"> more injections</w:t>
            </w:r>
          </w:p>
        </w:tc>
        <w:tc>
          <w:tcPr>
            <w:tcW w:w="1914" w:type="dxa"/>
            <w:shd w:val="clear" w:color="auto" w:fill="D9E1F2"/>
          </w:tcPr>
          <w:p w14:paraId="4C325B36" w14:textId="77777777" w:rsidR="005746A3" w:rsidRPr="00FB4297" w:rsidRDefault="009723EE" w:rsidP="005746A3">
            <w:pPr>
              <w:pStyle w:val="TableParagraph"/>
              <w:spacing w:before="56" w:line="254" w:lineRule="auto"/>
              <w:ind w:left="619" w:hanging="594"/>
              <w:rPr>
                <w:rFonts w:cstheme="minorHAnsi"/>
                <w:spacing w:val="-8"/>
                <w:w w:val="105"/>
                <w:sz w:val="20"/>
                <w:szCs w:val="20"/>
              </w:rPr>
            </w:pPr>
            <w:r w:rsidRPr="00FB4297">
              <w:rPr>
                <w:rFonts w:cstheme="minorHAnsi"/>
                <w:spacing w:val="-2"/>
                <w:w w:val="105"/>
                <w:sz w:val="20"/>
                <w:szCs w:val="20"/>
              </w:rPr>
              <w:t>Patients</w:t>
            </w:r>
            <w:r w:rsidRPr="00FB4297">
              <w:rPr>
                <w:rFonts w:cstheme="minorHAnsi"/>
                <w:spacing w:val="-9"/>
                <w:w w:val="105"/>
                <w:sz w:val="20"/>
                <w:szCs w:val="20"/>
              </w:rPr>
              <w:t xml:space="preserve"> </w:t>
            </w:r>
            <w:r w:rsidRPr="00FB4297">
              <w:rPr>
                <w:rFonts w:cstheme="minorHAnsi"/>
                <w:spacing w:val="-2"/>
                <w:w w:val="105"/>
                <w:sz w:val="20"/>
                <w:szCs w:val="20"/>
              </w:rPr>
              <w:t>with</w:t>
            </w:r>
            <w:r w:rsidRPr="00FB4297">
              <w:rPr>
                <w:rFonts w:cstheme="minorHAnsi"/>
                <w:spacing w:val="-8"/>
                <w:w w:val="105"/>
                <w:sz w:val="20"/>
                <w:szCs w:val="20"/>
              </w:rPr>
              <w:t xml:space="preserve"> </w:t>
            </w:r>
            <w:r w:rsidRPr="00FB4297">
              <w:rPr>
                <w:rFonts w:cstheme="minorHAnsi"/>
                <w:spacing w:val="-2"/>
                <w:w w:val="105"/>
                <w:sz w:val="20"/>
                <w:szCs w:val="20"/>
              </w:rPr>
              <w:t>two</w:t>
            </w:r>
            <w:r w:rsidRPr="00FB4297">
              <w:rPr>
                <w:rFonts w:cstheme="minorHAnsi"/>
                <w:spacing w:val="-8"/>
                <w:w w:val="105"/>
                <w:sz w:val="20"/>
                <w:szCs w:val="20"/>
              </w:rPr>
              <w:t xml:space="preserve"> </w:t>
            </w:r>
            <w:r w:rsidRPr="00FB4297">
              <w:rPr>
                <w:rFonts w:cstheme="minorHAnsi"/>
                <w:spacing w:val="-2"/>
                <w:w w:val="105"/>
                <w:sz w:val="20"/>
                <w:szCs w:val="20"/>
              </w:rPr>
              <w:t>or</w:t>
            </w:r>
            <w:r w:rsidRPr="00FB4297">
              <w:rPr>
                <w:rFonts w:cstheme="minorHAnsi"/>
                <w:spacing w:val="-8"/>
                <w:w w:val="105"/>
                <w:sz w:val="20"/>
                <w:szCs w:val="20"/>
              </w:rPr>
              <w:t xml:space="preserve"> </w:t>
            </w:r>
          </w:p>
          <w:p w14:paraId="235F90F3" w14:textId="000B4A69" w:rsidR="009723EE" w:rsidRPr="00FB4297" w:rsidRDefault="009723EE" w:rsidP="005746A3">
            <w:pPr>
              <w:pStyle w:val="TableParagraph"/>
              <w:spacing w:line="254" w:lineRule="auto"/>
              <w:ind w:left="619" w:hanging="594"/>
              <w:rPr>
                <w:rFonts w:cstheme="minorHAnsi"/>
                <w:sz w:val="20"/>
                <w:szCs w:val="20"/>
              </w:rPr>
            </w:pPr>
            <w:r w:rsidRPr="00FB4297">
              <w:rPr>
                <w:rFonts w:cstheme="minorHAnsi"/>
                <w:spacing w:val="-2"/>
                <w:w w:val="105"/>
                <w:sz w:val="20"/>
                <w:szCs w:val="20"/>
              </w:rPr>
              <w:t>more</w:t>
            </w:r>
            <w:r w:rsidR="005746A3" w:rsidRPr="00FB4297">
              <w:rPr>
                <w:rFonts w:cstheme="minorHAnsi"/>
                <w:spacing w:val="40"/>
                <w:w w:val="105"/>
                <w:sz w:val="20"/>
                <w:szCs w:val="20"/>
              </w:rPr>
              <w:t xml:space="preserve"> </w:t>
            </w:r>
            <w:r w:rsidRPr="00FB4297">
              <w:rPr>
                <w:rFonts w:cstheme="minorHAnsi"/>
                <w:spacing w:val="-2"/>
                <w:w w:val="105"/>
                <w:sz w:val="20"/>
                <w:szCs w:val="20"/>
              </w:rPr>
              <w:t>injections</w:t>
            </w:r>
          </w:p>
        </w:tc>
        <w:tc>
          <w:tcPr>
            <w:tcW w:w="1903" w:type="dxa"/>
            <w:shd w:val="clear" w:color="auto" w:fill="D9E1F2"/>
          </w:tcPr>
          <w:p w14:paraId="24487C84" w14:textId="77777777" w:rsidR="009723EE" w:rsidRPr="00FB4297" w:rsidRDefault="009723EE" w:rsidP="005746A3">
            <w:pPr>
              <w:pStyle w:val="TableParagraph"/>
              <w:spacing w:before="56" w:line="254" w:lineRule="auto"/>
              <w:rPr>
                <w:rFonts w:cstheme="minorHAnsi"/>
                <w:sz w:val="20"/>
                <w:szCs w:val="20"/>
              </w:rPr>
            </w:pPr>
            <w:r w:rsidRPr="00FB4297">
              <w:rPr>
                <w:rFonts w:cstheme="minorHAnsi"/>
                <w:spacing w:val="-2"/>
                <w:w w:val="105"/>
                <w:sz w:val="20"/>
                <w:szCs w:val="20"/>
              </w:rPr>
              <w:t>Patients</w:t>
            </w:r>
            <w:r w:rsidRPr="00FB4297">
              <w:rPr>
                <w:rFonts w:cstheme="minorHAnsi"/>
                <w:spacing w:val="-9"/>
                <w:w w:val="105"/>
                <w:sz w:val="20"/>
                <w:szCs w:val="20"/>
              </w:rPr>
              <w:t xml:space="preserve"> </w:t>
            </w:r>
            <w:r w:rsidRPr="00FB4297">
              <w:rPr>
                <w:rFonts w:cstheme="minorHAnsi"/>
                <w:spacing w:val="-2"/>
                <w:w w:val="105"/>
                <w:sz w:val="20"/>
                <w:szCs w:val="20"/>
              </w:rPr>
              <w:t>with</w:t>
            </w:r>
            <w:r w:rsidRPr="00FB4297">
              <w:rPr>
                <w:rFonts w:cstheme="minorHAnsi"/>
                <w:spacing w:val="-8"/>
                <w:w w:val="105"/>
                <w:sz w:val="20"/>
                <w:szCs w:val="20"/>
              </w:rPr>
              <w:t xml:space="preserve"> </w:t>
            </w:r>
            <w:r w:rsidRPr="00FB4297">
              <w:rPr>
                <w:rFonts w:cstheme="minorHAnsi"/>
                <w:spacing w:val="-2"/>
                <w:w w:val="105"/>
                <w:sz w:val="20"/>
                <w:szCs w:val="20"/>
              </w:rPr>
              <w:t>three</w:t>
            </w:r>
            <w:r w:rsidRPr="00FB4297">
              <w:rPr>
                <w:rFonts w:cstheme="minorHAnsi"/>
                <w:spacing w:val="-8"/>
                <w:w w:val="105"/>
                <w:sz w:val="20"/>
                <w:szCs w:val="20"/>
              </w:rPr>
              <w:t xml:space="preserve"> </w:t>
            </w:r>
            <w:r w:rsidRPr="00FB4297">
              <w:rPr>
                <w:rFonts w:cstheme="minorHAnsi"/>
                <w:spacing w:val="-2"/>
                <w:w w:val="105"/>
                <w:sz w:val="20"/>
                <w:szCs w:val="20"/>
              </w:rPr>
              <w:t>or</w:t>
            </w:r>
            <w:r w:rsidRPr="00FB4297">
              <w:rPr>
                <w:rFonts w:cstheme="minorHAnsi"/>
                <w:w w:val="105"/>
                <w:sz w:val="20"/>
                <w:szCs w:val="20"/>
              </w:rPr>
              <w:t xml:space="preserve"> more injections</w:t>
            </w:r>
          </w:p>
        </w:tc>
        <w:tc>
          <w:tcPr>
            <w:tcW w:w="1958" w:type="dxa"/>
            <w:shd w:val="clear" w:color="auto" w:fill="D9E1F2"/>
          </w:tcPr>
          <w:p w14:paraId="736F055A" w14:textId="77777777" w:rsidR="005746A3" w:rsidRPr="00FB4297" w:rsidRDefault="009723EE" w:rsidP="005746A3">
            <w:pPr>
              <w:pStyle w:val="TableParagraph"/>
              <w:spacing w:before="56" w:line="254" w:lineRule="auto"/>
              <w:ind w:left="586" w:hanging="561"/>
              <w:rPr>
                <w:rFonts w:cstheme="minorHAnsi"/>
                <w:spacing w:val="-3"/>
                <w:w w:val="105"/>
                <w:sz w:val="20"/>
                <w:szCs w:val="20"/>
              </w:rPr>
            </w:pPr>
            <w:r w:rsidRPr="00FB4297">
              <w:rPr>
                <w:rFonts w:cstheme="minorHAnsi"/>
                <w:spacing w:val="-2"/>
                <w:w w:val="105"/>
                <w:sz w:val="20"/>
                <w:szCs w:val="20"/>
              </w:rPr>
              <w:t>Patients</w:t>
            </w:r>
            <w:r w:rsidRPr="00FB4297">
              <w:rPr>
                <w:rFonts w:cstheme="minorHAnsi"/>
                <w:spacing w:val="-9"/>
                <w:w w:val="105"/>
                <w:sz w:val="20"/>
                <w:szCs w:val="20"/>
              </w:rPr>
              <w:t xml:space="preserve"> </w:t>
            </w:r>
            <w:r w:rsidRPr="00FB4297">
              <w:rPr>
                <w:rFonts w:cstheme="minorHAnsi"/>
                <w:spacing w:val="-2"/>
                <w:w w:val="105"/>
                <w:sz w:val="20"/>
                <w:szCs w:val="20"/>
              </w:rPr>
              <w:t>with</w:t>
            </w:r>
            <w:r w:rsidRPr="00FB4297">
              <w:rPr>
                <w:rFonts w:cstheme="minorHAnsi"/>
                <w:spacing w:val="-8"/>
                <w:w w:val="105"/>
                <w:sz w:val="20"/>
                <w:szCs w:val="20"/>
              </w:rPr>
              <w:t xml:space="preserve"> </w:t>
            </w:r>
            <w:r w:rsidRPr="00FB4297">
              <w:rPr>
                <w:rFonts w:cstheme="minorHAnsi"/>
                <w:spacing w:val="-2"/>
                <w:w w:val="105"/>
                <w:sz w:val="20"/>
                <w:szCs w:val="20"/>
              </w:rPr>
              <w:t>four</w:t>
            </w:r>
            <w:r w:rsidRPr="00FB4297">
              <w:rPr>
                <w:rFonts w:cstheme="minorHAnsi"/>
                <w:spacing w:val="-6"/>
                <w:w w:val="105"/>
                <w:sz w:val="20"/>
                <w:szCs w:val="20"/>
              </w:rPr>
              <w:t xml:space="preserve"> </w:t>
            </w:r>
            <w:r w:rsidRPr="00FB4297">
              <w:rPr>
                <w:rFonts w:cstheme="minorHAnsi"/>
                <w:spacing w:val="-2"/>
                <w:w w:val="105"/>
                <w:sz w:val="20"/>
                <w:szCs w:val="20"/>
              </w:rPr>
              <w:t>or</w:t>
            </w:r>
            <w:r w:rsidRPr="00FB4297">
              <w:rPr>
                <w:rFonts w:cstheme="minorHAnsi"/>
                <w:spacing w:val="-3"/>
                <w:w w:val="105"/>
                <w:sz w:val="20"/>
                <w:szCs w:val="20"/>
              </w:rPr>
              <w:t xml:space="preserve"> </w:t>
            </w:r>
          </w:p>
          <w:p w14:paraId="0BDD9D50" w14:textId="42E201E2" w:rsidR="009723EE" w:rsidRPr="00FB4297" w:rsidRDefault="009723EE" w:rsidP="005746A3">
            <w:pPr>
              <w:pStyle w:val="TableParagraph"/>
              <w:spacing w:line="254" w:lineRule="auto"/>
              <w:ind w:left="586" w:hanging="561"/>
              <w:rPr>
                <w:rFonts w:cstheme="minorHAnsi"/>
                <w:sz w:val="20"/>
                <w:szCs w:val="20"/>
              </w:rPr>
            </w:pPr>
            <w:r w:rsidRPr="00FB4297">
              <w:rPr>
                <w:rFonts w:cstheme="minorHAnsi"/>
                <w:spacing w:val="-2"/>
                <w:w w:val="105"/>
                <w:sz w:val="20"/>
                <w:szCs w:val="20"/>
              </w:rPr>
              <w:t>more</w:t>
            </w:r>
            <w:r w:rsidRPr="00FB4297">
              <w:rPr>
                <w:rFonts w:cstheme="minorHAnsi"/>
                <w:spacing w:val="40"/>
                <w:w w:val="105"/>
                <w:sz w:val="20"/>
                <w:szCs w:val="20"/>
              </w:rPr>
              <w:t xml:space="preserve"> </w:t>
            </w:r>
            <w:r w:rsidRPr="00FB4297">
              <w:rPr>
                <w:rFonts w:cstheme="minorHAnsi"/>
                <w:spacing w:val="-2"/>
                <w:w w:val="105"/>
                <w:sz w:val="20"/>
                <w:szCs w:val="20"/>
              </w:rPr>
              <w:t>injections*</w:t>
            </w:r>
          </w:p>
        </w:tc>
      </w:tr>
      <w:tr w:rsidR="009723EE" w:rsidRPr="00FB4297" w14:paraId="22CE38B8" w14:textId="77777777" w:rsidTr="00DA676A">
        <w:trPr>
          <w:trHeight w:val="315"/>
        </w:trPr>
        <w:tc>
          <w:tcPr>
            <w:tcW w:w="2585" w:type="dxa"/>
          </w:tcPr>
          <w:p w14:paraId="2D22E051" w14:textId="77777777" w:rsidR="009723EE" w:rsidRPr="00FB4297" w:rsidRDefault="009723EE" w:rsidP="00DA676A">
            <w:pPr>
              <w:pStyle w:val="TableParagraph"/>
              <w:spacing w:before="56"/>
              <w:ind w:left="25"/>
              <w:rPr>
                <w:rFonts w:cstheme="minorHAnsi"/>
                <w:sz w:val="20"/>
                <w:szCs w:val="20"/>
              </w:rPr>
            </w:pPr>
            <w:r w:rsidRPr="00FB4297">
              <w:rPr>
                <w:rFonts w:cstheme="minorHAnsi"/>
                <w:spacing w:val="-2"/>
                <w:w w:val="105"/>
                <w:sz w:val="20"/>
                <w:szCs w:val="20"/>
              </w:rPr>
              <w:t>Volunteers</w:t>
            </w:r>
          </w:p>
        </w:tc>
        <w:tc>
          <w:tcPr>
            <w:tcW w:w="1870" w:type="dxa"/>
          </w:tcPr>
          <w:p w14:paraId="2E044BF5" w14:textId="181AF837" w:rsidR="009723EE" w:rsidRPr="00FB4297" w:rsidRDefault="00887420" w:rsidP="005746A3">
            <w:pPr>
              <w:pStyle w:val="TableParagraph"/>
              <w:spacing w:before="56"/>
              <w:ind w:right="489"/>
              <w:rPr>
                <w:rFonts w:cstheme="minorHAnsi"/>
                <w:sz w:val="20"/>
                <w:szCs w:val="20"/>
              </w:rPr>
            </w:pPr>
            <w:r>
              <w:rPr>
                <w:rFonts w:cstheme="minorHAnsi"/>
                <w:spacing w:val="-5"/>
                <w:w w:val="105"/>
                <w:sz w:val="20"/>
                <w:szCs w:val="20"/>
              </w:rPr>
              <w:t>305</w:t>
            </w:r>
          </w:p>
        </w:tc>
        <w:tc>
          <w:tcPr>
            <w:tcW w:w="1914" w:type="dxa"/>
          </w:tcPr>
          <w:p w14:paraId="75E2C93F" w14:textId="5DB124E1" w:rsidR="009723EE" w:rsidRPr="00FB4297" w:rsidRDefault="00887420" w:rsidP="005746A3">
            <w:pPr>
              <w:pStyle w:val="TableParagraph"/>
              <w:spacing w:before="56"/>
              <w:ind w:right="511"/>
              <w:rPr>
                <w:rFonts w:cstheme="minorHAnsi"/>
                <w:sz w:val="20"/>
                <w:szCs w:val="20"/>
              </w:rPr>
            </w:pPr>
            <w:r>
              <w:rPr>
                <w:rFonts w:cstheme="minorHAnsi"/>
                <w:spacing w:val="-5"/>
                <w:w w:val="105"/>
                <w:sz w:val="20"/>
                <w:szCs w:val="20"/>
              </w:rPr>
              <w:t>151</w:t>
            </w:r>
          </w:p>
        </w:tc>
        <w:tc>
          <w:tcPr>
            <w:tcW w:w="1903" w:type="dxa"/>
          </w:tcPr>
          <w:p w14:paraId="184F6E86" w14:textId="6FE0AFD7" w:rsidR="009723EE" w:rsidRPr="00FB4297" w:rsidRDefault="00887420" w:rsidP="005746A3">
            <w:pPr>
              <w:pStyle w:val="TableParagraph"/>
              <w:spacing w:before="56"/>
              <w:ind w:right="511"/>
              <w:rPr>
                <w:rFonts w:cstheme="minorHAnsi"/>
                <w:sz w:val="20"/>
                <w:szCs w:val="20"/>
              </w:rPr>
            </w:pPr>
            <w:r>
              <w:rPr>
                <w:rFonts w:cstheme="minorHAnsi"/>
                <w:spacing w:val="-5"/>
                <w:w w:val="105"/>
                <w:sz w:val="20"/>
                <w:szCs w:val="20"/>
              </w:rPr>
              <w:t>37</w:t>
            </w:r>
          </w:p>
        </w:tc>
        <w:tc>
          <w:tcPr>
            <w:tcW w:w="1958" w:type="dxa"/>
          </w:tcPr>
          <w:p w14:paraId="3A4FCF3D" w14:textId="19C6BEB9" w:rsidR="009723EE" w:rsidRPr="00FB4297" w:rsidRDefault="00887420" w:rsidP="005746A3">
            <w:pPr>
              <w:pStyle w:val="TableParagraph"/>
              <w:spacing w:before="56"/>
              <w:ind w:right="533"/>
              <w:rPr>
                <w:rFonts w:cstheme="minorHAnsi"/>
                <w:sz w:val="20"/>
                <w:szCs w:val="20"/>
              </w:rPr>
            </w:pPr>
            <w:r>
              <w:rPr>
                <w:rFonts w:cstheme="minorHAnsi"/>
                <w:spacing w:val="-5"/>
                <w:w w:val="105"/>
                <w:sz w:val="20"/>
                <w:szCs w:val="20"/>
              </w:rPr>
              <w:t>27</w:t>
            </w:r>
          </w:p>
        </w:tc>
      </w:tr>
      <w:tr w:rsidR="009723EE" w:rsidRPr="00FB4297" w14:paraId="141F2128" w14:textId="77777777" w:rsidTr="00DA676A">
        <w:trPr>
          <w:trHeight w:val="183"/>
        </w:trPr>
        <w:tc>
          <w:tcPr>
            <w:tcW w:w="2585" w:type="dxa"/>
          </w:tcPr>
          <w:p w14:paraId="5C62B15A" w14:textId="77777777" w:rsidR="009723EE" w:rsidRPr="00FB4297" w:rsidRDefault="009723EE" w:rsidP="00DA676A">
            <w:pPr>
              <w:pStyle w:val="TableParagraph"/>
              <w:spacing w:line="163" w:lineRule="exact"/>
              <w:ind w:left="25"/>
              <w:rPr>
                <w:rFonts w:cstheme="minorHAnsi"/>
                <w:sz w:val="20"/>
                <w:szCs w:val="20"/>
              </w:rPr>
            </w:pPr>
            <w:r w:rsidRPr="00FB4297">
              <w:rPr>
                <w:rFonts w:cstheme="minorHAnsi"/>
                <w:spacing w:val="-2"/>
                <w:w w:val="105"/>
                <w:sz w:val="20"/>
                <w:szCs w:val="20"/>
              </w:rPr>
              <w:t>Patients</w:t>
            </w:r>
          </w:p>
        </w:tc>
        <w:tc>
          <w:tcPr>
            <w:tcW w:w="1870" w:type="dxa"/>
          </w:tcPr>
          <w:p w14:paraId="513AA09D" w14:textId="788F7D2B" w:rsidR="009723EE" w:rsidRPr="00FB4297" w:rsidRDefault="00887420" w:rsidP="005746A3">
            <w:pPr>
              <w:pStyle w:val="TableParagraph"/>
              <w:spacing w:line="163" w:lineRule="exact"/>
              <w:ind w:right="489"/>
              <w:rPr>
                <w:rFonts w:cstheme="minorHAnsi"/>
                <w:sz w:val="20"/>
                <w:szCs w:val="20"/>
              </w:rPr>
            </w:pPr>
            <w:r>
              <w:rPr>
                <w:rFonts w:cstheme="minorHAnsi"/>
                <w:spacing w:val="-5"/>
                <w:w w:val="105"/>
                <w:sz w:val="20"/>
                <w:szCs w:val="20"/>
              </w:rPr>
              <w:t>807</w:t>
            </w:r>
          </w:p>
        </w:tc>
        <w:tc>
          <w:tcPr>
            <w:tcW w:w="1914" w:type="dxa"/>
          </w:tcPr>
          <w:p w14:paraId="5130757C" w14:textId="33C1E324" w:rsidR="009723EE" w:rsidRPr="00FB4297" w:rsidRDefault="00887420" w:rsidP="005746A3">
            <w:pPr>
              <w:pStyle w:val="TableParagraph"/>
              <w:spacing w:line="163" w:lineRule="exact"/>
              <w:ind w:right="511"/>
              <w:rPr>
                <w:rFonts w:cstheme="minorHAnsi"/>
                <w:sz w:val="20"/>
                <w:szCs w:val="20"/>
              </w:rPr>
            </w:pPr>
            <w:r>
              <w:rPr>
                <w:rFonts w:cstheme="minorHAnsi"/>
                <w:spacing w:val="-5"/>
                <w:w w:val="105"/>
                <w:sz w:val="20"/>
                <w:szCs w:val="20"/>
              </w:rPr>
              <w:t>254</w:t>
            </w:r>
          </w:p>
        </w:tc>
        <w:tc>
          <w:tcPr>
            <w:tcW w:w="1903" w:type="dxa"/>
          </w:tcPr>
          <w:p w14:paraId="4B17F6B4" w14:textId="3033B41F" w:rsidR="009723EE" w:rsidRPr="00FB4297" w:rsidRDefault="00887420" w:rsidP="005746A3">
            <w:pPr>
              <w:pStyle w:val="TableParagraph"/>
              <w:spacing w:line="163" w:lineRule="exact"/>
              <w:ind w:right="511"/>
              <w:rPr>
                <w:rFonts w:cstheme="minorHAnsi"/>
                <w:sz w:val="20"/>
                <w:szCs w:val="20"/>
              </w:rPr>
            </w:pPr>
            <w:r>
              <w:rPr>
                <w:rFonts w:cstheme="minorHAnsi"/>
                <w:spacing w:val="-5"/>
                <w:w w:val="105"/>
                <w:sz w:val="20"/>
                <w:szCs w:val="20"/>
              </w:rPr>
              <w:t>49</w:t>
            </w:r>
          </w:p>
        </w:tc>
        <w:tc>
          <w:tcPr>
            <w:tcW w:w="1958" w:type="dxa"/>
          </w:tcPr>
          <w:p w14:paraId="71603D5E" w14:textId="4A91CD25" w:rsidR="009723EE" w:rsidRPr="00FB4297" w:rsidRDefault="00887420" w:rsidP="00DA676A">
            <w:pPr>
              <w:pStyle w:val="TableParagraph"/>
              <w:spacing w:line="163" w:lineRule="exact"/>
              <w:ind w:left="1"/>
              <w:rPr>
                <w:rFonts w:cstheme="minorHAnsi"/>
                <w:sz w:val="20"/>
                <w:szCs w:val="20"/>
              </w:rPr>
            </w:pPr>
            <w:r>
              <w:rPr>
                <w:rFonts w:cstheme="minorHAnsi"/>
                <w:w w:val="103"/>
                <w:sz w:val="20"/>
                <w:szCs w:val="20"/>
              </w:rPr>
              <w:t>15</w:t>
            </w:r>
          </w:p>
        </w:tc>
      </w:tr>
      <w:tr w:rsidR="009723EE" w:rsidRPr="00FB4297" w14:paraId="6670D9C9" w14:textId="77777777" w:rsidTr="00DA676A">
        <w:trPr>
          <w:trHeight w:val="193"/>
        </w:trPr>
        <w:tc>
          <w:tcPr>
            <w:tcW w:w="2585" w:type="dxa"/>
            <w:shd w:val="clear" w:color="auto" w:fill="D9E1F2"/>
          </w:tcPr>
          <w:p w14:paraId="0947C57D" w14:textId="77777777" w:rsidR="009723EE" w:rsidRPr="00FB4297" w:rsidRDefault="009723EE" w:rsidP="00DA676A">
            <w:pPr>
              <w:pStyle w:val="TableParagraph"/>
              <w:spacing w:line="174" w:lineRule="exact"/>
              <w:ind w:left="25"/>
              <w:rPr>
                <w:rFonts w:cstheme="minorHAnsi"/>
                <w:b/>
                <w:sz w:val="20"/>
                <w:szCs w:val="20"/>
              </w:rPr>
            </w:pPr>
            <w:r w:rsidRPr="00FB4297">
              <w:rPr>
                <w:rFonts w:cstheme="minorHAnsi"/>
                <w:b/>
                <w:spacing w:val="-2"/>
                <w:w w:val="105"/>
                <w:sz w:val="20"/>
                <w:szCs w:val="20"/>
              </w:rPr>
              <w:t>TOTAL</w:t>
            </w:r>
          </w:p>
        </w:tc>
        <w:tc>
          <w:tcPr>
            <w:tcW w:w="1870" w:type="dxa"/>
            <w:shd w:val="clear" w:color="auto" w:fill="D9E1F2"/>
          </w:tcPr>
          <w:p w14:paraId="21700A9A" w14:textId="5677F402" w:rsidR="009723EE" w:rsidRPr="00FB4297" w:rsidRDefault="00887420" w:rsidP="005746A3">
            <w:pPr>
              <w:pStyle w:val="TableParagraph"/>
              <w:spacing w:before="1" w:line="173" w:lineRule="exact"/>
              <w:ind w:right="489"/>
              <w:rPr>
                <w:rFonts w:cstheme="minorHAnsi"/>
                <w:b/>
                <w:sz w:val="20"/>
                <w:szCs w:val="20"/>
              </w:rPr>
            </w:pPr>
            <w:r>
              <w:rPr>
                <w:rFonts w:cstheme="minorHAnsi"/>
                <w:b/>
                <w:spacing w:val="-5"/>
                <w:w w:val="105"/>
                <w:sz w:val="20"/>
                <w:szCs w:val="20"/>
              </w:rPr>
              <w:t>1112</w:t>
            </w:r>
          </w:p>
        </w:tc>
        <w:tc>
          <w:tcPr>
            <w:tcW w:w="1914" w:type="dxa"/>
            <w:shd w:val="clear" w:color="auto" w:fill="D9E1F2"/>
          </w:tcPr>
          <w:p w14:paraId="625386A4" w14:textId="52D8DC53" w:rsidR="009723EE" w:rsidRPr="00FB4297" w:rsidRDefault="00887420" w:rsidP="005746A3">
            <w:pPr>
              <w:pStyle w:val="TableParagraph"/>
              <w:spacing w:before="1" w:line="173" w:lineRule="exact"/>
              <w:ind w:right="511"/>
              <w:rPr>
                <w:rFonts w:cstheme="minorHAnsi"/>
                <w:b/>
                <w:sz w:val="20"/>
                <w:szCs w:val="20"/>
              </w:rPr>
            </w:pPr>
            <w:r>
              <w:rPr>
                <w:rFonts w:cstheme="minorHAnsi"/>
                <w:b/>
                <w:spacing w:val="-5"/>
                <w:w w:val="105"/>
                <w:sz w:val="20"/>
                <w:szCs w:val="20"/>
              </w:rPr>
              <w:t>405</w:t>
            </w:r>
          </w:p>
        </w:tc>
        <w:tc>
          <w:tcPr>
            <w:tcW w:w="1903" w:type="dxa"/>
            <w:shd w:val="clear" w:color="auto" w:fill="D9E1F2"/>
          </w:tcPr>
          <w:p w14:paraId="39613378" w14:textId="64892FB2" w:rsidR="009723EE" w:rsidRPr="00FB4297" w:rsidRDefault="00887420" w:rsidP="005746A3">
            <w:pPr>
              <w:pStyle w:val="TableParagraph"/>
              <w:spacing w:before="1" w:line="173" w:lineRule="exact"/>
              <w:ind w:right="511"/>
              <w:rPr>
                <w:rFonts w:cstheme="minorHAnsi"/>
                <w:b/>
                <w:sz w:val="20"/>
                <w:szCs w:val="20"/>
              </w:rPr>
            </w:pPr>
            <w:r>
              <w:rPr>
                <w:rFonts w:cstheme="minorHAnsi"/>
                <w:b/>
                <w:spacing w:val="-5"/>
                <w:w w:val="105"/>
                <w:sz w:val="20"/>
                <w:szCs w:val="20"/>
              </w:rPr>
              <w:t>86</w:t>
            </w:r>
          </w:p>
        </w:tc>
        <w:tc>
          <w:tcPr>
            <w:tcW w:w="1958" w:type="dxa"/>
            <w:shd w:val="clear" w:color="auto" w:fill="D9E1F2"/>
          </w:tcPr>
          <w:p w14:paraId="61006007" w14:textId="7DF7ADCE" w:rsidR="009723EE" w:rsidRPr="00FB4297" w:rsidRDefault="00887420" w:rsidP="005746A3">
            <w:pPr>
              <w:pStyle w:val="TableParagraph"/>
              <w:spacing w:before="1" w:line="173" w:lineRule="exact"/>
              <w:ind w:right="533"/>
              <w:rPr>
                <w:rFonts w:cstheme="minorHAnsi"/>
                <w:b/>
                <w:sz w:val="20"/>
                <w:szCs w:val="20"/>
              </w:rPr>
            </w:pPr>
            <w:r>
              <w:rPr>
                <w:rFonts w:cstheme="minorHAnsi"/>
                <w:b/>
                <w:spacing w:val="-5"/>
                <w:w w:val="105"/>
                <w:sz w:val="20"/>
                <w:szCs w:val="20"/>
              </w:rPr>
              <w:t>42</w:t>
            </w:r>
          </w:p>
        </w:tc>
      </w:tr>
      <w:tr w:rsidR="009723EE" w:rsidRPr="00FB4297" w14:paraId="0531CB81" w14:textId="77777777" w:rsidTr="00FB4297">
        <w:trPr>
          <w:trHeight w:val="315"/>
        </w:trPr>
        <w:tc>
          <w:tcPr>
            <w:tcW w:w="10230" w:type="dxa"/>
            <w:gridSpan w:val="5"/>
            <w:tcBorders>
              <w:left w:val="single" w:sz="4" w:space="0" w:color="auto"/>
            </w:tcBorders>
          </w:tcPr>
          <w:p w14:paraId="125FEDC8" w14:textId="77777777" w:rsidR="009723EE" w:rsidRPr="00FB4297" w:rsidRDefault="009723EE" w:rsidP="00DA676A">
            <w:pPr>
              <w:pStyle w:val="TableParagraph"/>
              <w:spacing w:before="45"/>
              <w:ind w:left="33"/>
              <w:rPr>
                <w:rFonts w:cstheme="minorHAnsi"/>
                <w:sz w:val="20"/>
                <w:szCs w:val="20"/>
              </w:rPr>
            </w:pPr>
            <w:r w:rsidRPr="00FB4297">
              <w:rPr>
                <w:rFonts w:cstheme="minorHAnsi"/>
                <w:spacing w:val="-2"/>
                <w:w w:val="105"/>
                <w:sz w:val="20"/>
                <w:szCs w:val="20"/>
              </w:rPr>
              <w:t>The</w:t>
            </w:r>
            <w:r w:rsidRPr="00FB4297">
              <w:rPr>
                <w:rFonts w:cstheme="minorHAnsi"/>
                <w:w w:val="105"/>
                <w:sz w:val="20"/>
                <w:szCs w:val="20"/>
              </w:rPr>
              <w:t xml:space="preserve"> </w:t>
            </w:r>
            <w:r w:rsidRPr="00FB4297">
              <w:rPr>
                <w:rFonts w:cstheme="minorHAnsi"/>
                <w:spacing w:val="-2"/>
                <w:w w:val="105"/>
                <w:sz w:val="20"/>
                <w:szCs w:val="20"/>
              </w:rPr>
              <w:t>Patients</w:t>
            </w:r>
            <w:r w:rsidRPr="00FB4297">
              <w:rPr>
                <w:rFonts w:cstheme="minorHAnsi"/>
                <w:spacing w:val="-3"/>
                <w:w w:val="105"/>
                <w:sz w:val="20"/>
                <w:szCs w:val="20"/>
              </w:rPr>
              <w:t xml:space="preserve"> </w:t>
            </w:r>
            <w:r w:rsidRPr="00FB4297">
              <w:rPr>
                <w:rFonts w:cstheme="minorHAnsi"/>
                <w:spacing w:val="-2"/>
                <w:w w:val="105"/>
                <w:sz w:val="20"/>
                <w:szCs w:val="20"/>
              </w:rPr>
              <w:t>breakdown</w:t>
            </w:r>
            <w:r w:rsidRPr="00FB4297">
              <w:rPr>
                <w:rFonts w:cstheme="minorHAnsi"/>
                <w:spacing w:val="-3"/>
                <w:w w:val="105"/>
                <w:sz w:val="20"/>
                <w:szCs w:val="20"/>
              </w:rPr>
              <w:t xml:space="preserve"> </w:t>
            </w:r>
            <w:r w:rsidRPr="00FB4297">
              <w:rPr>
                <w:rFonts w:cstheme="minorHAnsi"/>
                <w:spacing w:val="-2"/>
                <w:w w:val="105"/>
                <w:sz w:val="20"/>
                <w:szCs w:val="20"/>
              </w:rPr>
              <w:t>is</w:t>
            </w:r>
            <w:r w:rsidRPr="00FB4297">
              <w:rPr>
                <w:rFonts w:cstheme="minorHAnsi"/>
                <w:spacing w:val="-3"/>
                <w:w w:val="105"/>
                <w:sz w:val="20"/>
                <w:szCs w:val="20"/>
              </w:rPr>
              <w:t xml:space="preserve"> </w:t>
            </w:r>
            <w:r w:rsidRPr="00FB4297">
              <w:rPr>
                <w:rFonts w:cstheme="minorHAnsi"/>
                <w:spacing w:val="-2"/>
                <w:w w:val="105"/>
                <w:sz w:val="20"/>
                <w:szCs w:val="20"/>
              </w:rPr>
              <w:t>as</w:t>
            </w:r>
            <w:r w:rsidRPr="00FB4297">
              <w:rPr>
                <w:rFonts w:cstheme="minorHAnsi"/>
                <w:spacing w:val="-3"/>
                <w:w w:val="105"/>
                <w:sz w:val="20"/>
                <w:szCs w:val="20"/>
              </w:rPr>
              <w:t xml:space="preserve"> </w:t>
            </w:r>
            <w:r w:rsidRPr="00FB4297">
              <w:rPr>
                <w:rFonts w:cstheme="minorHAnsi"/>
                <w:spacing w:val="-2"/>
                <w:w w:val="105"/>
                <w:sz w:val="20"/>
                <w:szCs w:val="20"/>
              </w:rPr>
              <w:t>follows:</w:t>
            </w:r>
          </w:p>
        </w:tc>
      </w:tr>
      <w:tr w:rsidR="009723EE" w:rsidRPr="00FB4297" w14:paraId="7E68B5C4" w14:textId="77777777" w:rsidTr="00FB4297">
        <w:trPr>
          <w:trHeight w:val="271"/>
        </w:trPr>
        <w:tc>
          <w:tcPr>
            <w:tcW w:w="2585" w:type="dxa"/>
            <w:tcBorders>
              <w:left w:val="single" w:sz="4" w:space="0" w:color="auto"/>
            </w:tcBorders>
          </w:tcPr>
          <w:p w14:paraId="6258D007" w14:textId="77777777" w:rsidR="009723EE" w:rsidRPr="00FB4297" w:rsidRDefault="009723EE" w:rsidP="00DA676A">
            <w:pPr>
              <w:pStyle w:val="TableParagraph"/>
              <w:spacing w:before="34"/>
              <w:ind w:left="25"/>
              <w:rPr>
                <w:rFonts w:cstheme="minorHAnsi"/>
                <w:sz w:val="20"/>
                <w:szCs w:val="20"/>
              </w:rPr>
            </w:pPr>
            <w:r w:rsidRPr="00FB4297">
              <w:rPr>
                <w:rFonts w:cstheme="minorHAnsi"/>
                <w:w w:val="105"/>
                <w:sz w:val="20"/>
                <w:szCs w:val="20"/>
              </w:rPr>
              <w:t>Brain</w:t>
            </w:r>
            <w:r w:rsidRPr="00FB4297">
              <w:rPr>
                <w:rFonts w:cstheme="minorHAnsi"/>
                <w:spacing w:val="-5"/>
                <w:w w:val="105"/>
                <w:sz w:val="20"/>
                <w:szCs w:val="20"/>
              </w:rPr>
              <w:t xml:space="preserve"> </w:t>
            </w:r>
            <w:r w:rsidRPr="00FB4297">
              <w:rPr>
                <w:rFonts w:cstheme="minorHAnsi"/>
                <w:w w:val="105"/>
                <w:sz w:val="20"/>
                <w:szCs w:val="20"/>
              </w:rPr>
              <w:t>tumors</w:t>
            </w:r>
            <w:r w:rsidRPr="00FB4297">
              <w:rPr>
                <w:rFonts w:cstheme="minorHAnsi"/>
                <w:spacing w:val="-4"/>
                <w:w w:val="105"/>
                <w:sz w:val="20"/>
                <w:szCs w:val="20"/>
              </w:rPr>
              <w:t xml:space="preserve"> </w:t>
            </w:r>
            <w:r w:rsidRPr="00FB4297">
              <w:rPr>
                <w:rFonts w:cstheme="minorHAnsi"/>
                <w:w w:val="105"/>
                <w:sz w:val="20"/>
                <w:szCs w:val="20"/>
              </w:rPr>
              <w:t>(glioma,</w:t>
            </w:r>
            <w:r w:rsidRPr="00FB4297">
              <w:rPr>
                <w:rFonts w:cstheme="minorHAnsi"/>
                <w:spacing w:val="-1"/>
                <w:w w:val="105"/>
                <w:sz w:val="20"/>
                <w:szCs w:val="20"/>
              </w:rPr>
              <w:t xml:space="preserve"> </w:t>
            </w:r>
            <w:r w:rsidRPr="00FB4297">
              <w:rPr>
                <w:rFonts w:cstheme="minorHAnsi"/>
                <w:spacing w:val="-2"/>
                <w:w w:val="105"/>
                <w:sz w:val="20"/>
                <w:szCs w:val="20"/>
              </w:rPr>
              <w:t>other)</w:t>
            </w:r>
          </w:p>
        </w:tc>
        <w:tc>
          <w:tcPr>
            <w:tcW w:w="1870" w:type="dxa"/>
          </w:tcPr>
          <w:p w14:paraId="04319748" w14:textId="21D3B87D" w:rsidR="009723EE" w:rsidRPr="00FB4297" w:rsidRDefault="00887420" w:rsidP="005746A3">
            <w:pPr>
              <w:pStyle w:val="TableParagraph"/>
              <w:spacing w:before="34"/>
              <w:ind w:right="489"/>
              <w:rPr>
                <w:rFonts w:cstheme="minorHAnsi"/>
                <w:sz w:val="20"/>
                <w:szCs w:val="20"/>
              </w:rPr>
            </w:pPr>
            <w:r>
              <w:rPr>
                <w:rFonts w:cstheme="minorHAnsi"/>
                <w:spacing w:val="-5"/>
                <w:w w:val="105"/>
                <w:sz w:val="20"/>
                <w:szCs w:val="20"/>
              </w:rPr>
              <w:t>192</w:t>
            </w:r>
          </w:p>
        </w:tc>
        <w:tc>
          <w:tcPr>
            <w:tcW w:w="1914" w:type="dxa"/>
          </w:tcPr>
          <w:p w14:paraId="7D85467F" w14:textId="5259689A" w:rsidR="009723EE" w:rsidRPr="00FB4297" w:rsidRDefault="00887420" w:rsidP="005746A3">
            <w:pPr>
              <w:pStyle w:val="TableParagraph"/>
              <w:spacing w:before="34"/>
              <w:ind w:right="511"/>
              <w:rPr>
                <w:rFonts w:cstheme="minorHAnsi"/>
                <w:sz w:val="20"/>
                <w:szCs w:val="20"/>
              </w:rPr>
            </w:pPr>
            <w:r>
              <w:rPr>
                <w:rFonts w:cstheme="minorHAnsi"/>
                <w:spacing w:val="-5"/>
                <w:w w:val="105"/>
                <w:sz w:val="20"/>
                <w:szCs w:val="20"/>
              </w:rPr>
              <w:t>68</w:t>
            </w:r>
          </w:p>
        </w:tc>
        <w:tc>
          <w:tcPr>
            <w:tcW w:w="1903" w:type="dxa"/>
          </w:tcPr>
          <w:p w14:paraId="7CEE6FD1" w14:textId="4B0EC9F1" w:rsidR="009723EE" w:rsidRPr="00FB4297" w:rsidRDefault="00887420" w:rsidP="00DA676A">
            <w:pPr>
              <w:pStyle w:val="TableParagraph"/>
              <w:spacing w:before="34"/>
              <w:ind w:left="12"/>
              <w:rPr>
                <w:rFonts w:cstheme="minorHAnsi"/>
                <w:sz w:val="20"/>
                <w:szCs w:val="20"/>
              </w:rPr>
            </w:pPr>
            <w:r>
              <w:rPr>
                <w:rFonts w:cstheme="minorHAnsi"/>
                <w:w w:val="103"/>
                <w:sz w:val="20"/>
                <w:szCs w:val="20"/>
              </w:rPr>
              <w:t>7</w:t>
            </w:r>
          </w:p>
        </w:tc>
        <w:tc>
          <w:tcPr>
            <w:tcW w:w="1958" w:type="dxa"/>
          </w:tcPr>
          <w:p w14:paraId="6244A487" w14:textId="77777777" w:rsidR="009723EE" w:rsidRPr="00FB4297" w:rsidRDefault="009723EE" w:rsidP="00DA676A">
            <w:pPr>
              <w:pStyle w:val="TableParagraph"/>
              <w:spacing w:before="34"/>
              <w:ind w:left="1"/>
              <w:rPr>
                <w:rFonts w:cstheme="minorHAnsi"/>
                <w:sz w:val="20"/>
                <w:szCs w:val="20"/>
              </w:rPr>
            </w:pPr>
            <w:r w:rsidRPr="00FB4297">
              <w:rPr>
                <w:rFonts w:cstheme="minorHAnsi"/>
                <w:w w:val="103"/>
                <w:sz w:val="20"/>
                <w:szCs w:val="20"/>
              </w:rPr>
              <w:t>1</w:t>
            </w:r>
          </w:p>
        </w:tc>
      </w:tr>
      <w:tr w:rsidR="009723EE" w:rsidRPr="00FB4297" w14:paraId="21DFEF9F" w14:textId="77777777" w:rsidTr="00DA676A">
        <w:trPr>
          <w:trHeight w:val="281"/>
        </w:trPr>
        <w:tc>
          <w:tcPr>
            <w:tcW w:w="2585" w:type="dxa"/>
          </w:tcPr>
          <w:p w14:paraId="12122188" w14:textId="77777777" w:rsidR="009723EE" w:rsidRPr="00FB4297" w:rsidRDefault="009723EE" w:rsidP="00DA676A">
            <w:pPr>
              <w:pStyle w:val="TableParagraph"/>
              <w:spacing w:before="34"/>
              <w:ind w:left="25"/>
              <w:rPr>
                <w:rFonts w:cstheme="minorHAnsi"/>
                <w:sz w:val="20"/>
                <w:szCs w:val="20"/>
              </w:rPr>
            </w:pPr>
            <w:r w:rsidRPr="00FB4297">
              <w:rPr>
                <w:rFonts w:cstheme="minorHAnsi"/>
                <w:spacing w:val="-2"/>
                <w:w w:val="105"/>
                <w:sz w:val="20"/>
                <w:szCs w:val="20"/>
              </w:rPr>
              <w:t>Prostate</w:t>
            </w:r>
            <w:r w:rsidRPr="00FB4297">
              <w:rPr>
                <w:rFonts w:cstheme="minorHAnsi"/>
                <w:spacing w:val="3"/>
                <w:w w:val="105"/>
                <w:sz w:val="20"/>
                <w:szCs w:val="20"/>
              </w:rPr>
              <w:t xml:space="preserve"> </w:t>
            </w:r>
            <w:r w:rsidRPr="00FB4297">
              <w:rPr>
                <w:rFonts w:cstheme="minorHAnsi"/>
                <w:spacing w:val="-2"/>
                <w:w w:val="105"/>
                <w:sz w:val="20"/>
                <w:szCs w:val="20"/>
              </w:rPr>
              <w:t>related</w:t>
            </w:r>
            <w:r w:rsidRPr="00FB4297">
              <w:rPr>
                <w:rFonts w:cstheme="minorHAnsi"/>
                <w:spacing w:val="-1"/>
                <w:w w:val="105"/>
                <w:sz w:val="20"/>
                <w:szCs w:val="20"/>
              </w:rPr>
              <w:t xml:space="preserve"> </w:t>
            </w:r>
            <w:r w:rsidRPr="00FB4297">
              <w:rPr>
                <w:rFonts w:cstheme="minorHAnsi"/>
                <w:spacing w:val="-2"/>
                <w:w w:val="105"/>
                <w:sz w:val="20"/>
                <w:szCs w:val="20"/>
              </w:rPr>
              <w:t>tumors</w:t>
            </w:r>
          </w:p>
        </w:tc>
        <w:tc>
          <w:tcPr>
            <w:tcW w:w="1870" w:type="dxa"/>
          </w:tcPr>
          <w:p w14:paraId="5C9D25A9" w14:textId="1165EEE8" w:rsidR="009723EE" w:rsidRPr="00FB4297" w:rsidRDefault="00887420" w:rsidP="005746A3">
            <w:pPr>
              <w:pStyle w:val="TableParagraph"/>
              <w:spacing w:before="34"/>
              <w:ind w:right="489"/>
              <w:rPr>
                <w:rFonts w:cstheme="minorHAnsi"/>
                <w:sz w:val="20"/>
                <w:szCs w:val="20"/>
              </w:rPr>
            </w:pPr>
            <w:r>
              <w:rPr>
                <w:rFonts w:cstheme="minorHAnsi"/>
                <w:spacing w:val="-5"/>
                <w:w w:val="105"/>
                <w:sz w:val="20"/>
                <w:szCs w:val="20"/>
              </w:rPr>
              <w:t>281</w:t>
            </w:r>
          </w:p>
        </w:tc>
        <w:tc>
          <w:tcPr>
            <w:tcW w:w="1914" w:type="dxa"/>
          </w:tcPr>
          <w:p w14:paraId="13BABAA2" w14:textId="0E8AF148" w:rsidR="009723EE" w:rsidRPr="00FB4297" w:rsidRDefault="00887420" w:rsidP="005746A3">
            <w:pPr>
              <w:pStyle w:val="TableParagraph"/>
              <w:spacing w:before="34"/>
              <w:ind w:right="511"/>
              <w:rPr>
                <w:rFonts w:cstheme="minorHAnsi"/>
                <w:sz w:val="20"/>
                <w:szCs w:val="20"/>
              </w:rPr>
            </w:pPr>
            <w:r>
              <w:rPr>
                <w:rFonts w:cstheme="minorHAnsi"/>
                <w:spacing w:val="-5"/>
                <w:w w:val="105"/>
                <w:sz w:val="20"/>
                <w:szCs w:val="20"/>
              </w:rPr>
              <w:t>29</w:t>
            </w:r>
          </w:p>
        </w:tc>
        <w:tc>
          <w:tcPr>
            <w:tcW w:w="1903" w:type="dxa"/>
          </w:tcPr>
          <w:p w14:paraId="7D96A473" w14:textId="77777777" w:rsidR="009723EE" w:rsidRPr="00FB4297" w:rsidRDefault="009723EE" w:rsidP="00DA676A">
            <w:pPr>
              <w:pStyle w:val="TableParagraph"/>
              <w:spacing w:before="34"/>
              <w:ind w:left="12"/>
              <w:rPr>
                <w:rFonts w:cstheme="minorHAnsi"/>
                <w:sz w:val="20"/>
                <w:szCs w:val="20"/>
              </w:rPr>
            </w:pPr>
            <w:r w:rsidRPr="00FB4297">
              <w:rPr>
                <w:rFonts w:cstheme="minorHAnsi"/>
                <w:w w:val="103"/>
                <w:sz w:val="20"/>
                <w:szCs w:val="20"/>
              </w:rPr>
              <w:t>4</w:t>
            </w:r>
          </w:p>
        </w:tc>
        <w:tc>
          <w:tcPr>
            <w:tcW w:w="1958" w:type="dxa"/>
          </w:tcPr>
          <w:p w14:paraId="172FDA8C" w14:textId="77777777" w:rsidR="009723EE" w:rsidRPr="00FB4297" w:rsidRDefault="009723EE" w:rsidP="00DA676A">
            <w:pPr>
              <w:pStyle w:val="TableParagraph"/>
              <w:spacing w:before="34"/>
              <w:ind w:left="1"/>
              <w:rPr>
                <w:rFonts w:cstheme="minorHAnsi"/>
                <w:sz w:val="20"/>
                <w:szCs w:val="20"/>
              </w:rPr>
            </w:pPr>
            <w:r w:rsidRPr="00FB4297">
              <w:rPr>
                <w:rFonts w:cstheme="minorHAnsi"/>
                <w:w w:val="103"/>
                <w:sz w:val="20"/>
                <w:szCs w:val="20"/>
              </w:rPr>
              <w:t>1</w:t>
            </w:r>
          </w:p>
        </w:tc>
      </w:tr>
      <w:tr w:rsidR="009723EE" w:rsidRPr="00FB4297" w14:paraId="75C92057" w14:textId="77777777" w:rsidTr="00DA676A">
        <w:trPr>
          <w:trHeight w:val="711"/>
        </w:trPr>
        <w:tc>
          <w:tcPr>
            <w:tcW w:w="2585" w:type="dxa"/>
          </w:tcPr>
          <w:p w14:paraId="26F87A89" w14:textId="77777777" w:rsidR="009723EE" w:rsidRPr="00FB4297" w:rsidRDefault="009723EE" w:rsidP="00DA676A">
            <w:pPr>
              <w:pStyle w:val="TableParagraph"/>
              <w:spacing w:before="21" w:line="220" w:lineRule="atLeast"/>
              <w:ind w:left="25" w:right="68"/>
              <w:rPr>
                <w:rFonts w:cstheme="minorHAnsi"/>
                <w:sz w:val="20"/>
                <w:szCs w:val="20"/>
              </w:rPr>
            </w:pPr>
            <w:r w:rsidRPr="00FB4297">
              <w:rPr>
                <w:rFonts w:cstheme="minorHAnsi"/>
                <w:spacing w:val="-2"/>
                <w:w w:val="105"/>
                <w:sz w:val="20"/>
                <w:szCs w:val="20"/>
              </w:rPr>
              <w:t>Other solid</w:t>
            </w:r>
            <w:r w:rsidRPr="00FB4297">
              <w:rPr>
                <w:rFonts w:cstheme="minorHAnsi"/>
                <w:spacing w:val="-7"/>
                <w:w w:val="105"/>
                <w:sz w:val="20"/>
                <w:szCs w:val="20"/>
              </w:rPr>
              <w:t xml:space="preserve"> </w:t>
            </w:r>
            <w:r w:rsidRPr="00FB4297">
              <w:rPr>
                <w:rFonts w:cstheme="minorHAnsi"/>
                <w:spacing w:val="-2"/>
                <w:w w:val="105"/>
                <w:sz w:val="20"/>
                <w:szCs w:val="20"/>
              </w:rPr>
              <w:t>tumors</w:t>
            </w:r>
            <w:r w:rsidRPr="00FB4297">
              <w:rPr>
                <w:rFonts w:cstheme="minorHAnsi"/>
                <w:spacing w:val="-6"/>
                <w:w w:val="105"/>
                <w:sz w:val="20"/>
                <w:szCs w:val="20"/>
              </w:rPr>
              <w:t xml:space="preserve"> </w:t>
            </w:r>
            <w:r w:rsidRPr="00FB4297">
              <w:rPr>
                <w:rFonts w:cstheme="minorHAnsi"/>
                <w:spacing w:val="-2"/>
                <w:w w:val="105"/>
                <w:sz w:val="20"/>
                <w:szCs w:val="20"/>
              </w:rPr>
              <w:t>(pancreas,</w:t>
            </w:r>
            <w:r w:rsidRPr="00FB4297">
              <w:rPr>
                <w:rFonts w:cstheme="minorHAnsi"/>
                <w:w w:val="105"/>
                <w:sz w:val="20"/>
                <w:szCs w:val="20"/>
              </w:rPr>
              <w:t xml:space="preserve"> ovarian, cervical, thyroid, </w:t>
            </w:r>
            <w:proofErr w:type="gramStart"/>
            <w:r w:rsidRPr="00FB4297">
              <w:rPr>
                <w:rFonts w:cstheme="minorHAnsi"/>
                <w:spacing w:val="-2"/>
                <w:w w:val="105"/>
                <w:sz w:val="20"/>
                <w:szCs w:val="20"/>
              </w:rPr>
              <w:t>breast,…</w:t>
            </w:r>
            <w:proofErr w:type="gramEnd"/>
            <w:r w:rsidRPr="00FB4297">
              <w:rPr>
                <w:rFonts w:cstheme="minorHAnsi"/>
                <w:spacing w:val="-2"/>
                <w:w w:val="105"/>
                <w:sz w:val="20"/>
                <w:szCs w:val="20"/>
              </w:rPr>
              <w:t>)</w:t>
            </w:r>
          </w:p>
        </w:tc>
        <w:tc>
          <w:tcPr>
            <w:tcW w:w="1870" w:type="dxa"/>
          </w:tcPr>
          <w:p w14:paraId="7681B6A4" w14:textId="03571713" w:rsidR="009723EE" w:rsidRPr="00FB4297" w:rsidRDefault="00887420" w:rsidP="005746A3">
            <w:pPr>
              <w:pStyle w:val="TableParagraph"/>
              <w:ind w:right="489"/>
              <w:rPr>
                <w:rFonts w:cstheme="minorHAnsi"/>
                <w:sz w:val="20"/>
                <w:szCs w:val="20"/>
              </w:rPr>
            </w:pPr>
            <w:r>
              <w:rPr>
                <w:rFonts w:cstheme="minorHAnsi"/>
                <w:spacing w:val="-5"/>
                <w:w w:val="105"/>
                <w:sz w:val="20"/>
                <w:szCs w:val="20"/>
              </w:rPr>
              <w:t>170</w:t>
            </w:r>
          </w:p>
        </w:tc>
        <w:tc>
          <w:tcPr>
            <w:tcW w:w="1914" w:type="dxa"/>
          </w:tcPr>
          <w:p w14:paraId="244F1D9D" w14:textId="3F1CE50E" w:rsidR="009723EE" w:rsidRPr="00FB4297" w:rsidRDefault="00887420" w:rsidP="005746A3">
            <w:pPr>
              <w:pStyle w:val="TableParagraph"/>
              <w:ind w:right="511"/>
              <w:rPr>
                <w:rFonts w:cstheme="minorHAnsi"/>
                <w:sz w:val="20"/>
                <w:szCs w:val="20"/>
              </w:rPr>
            </w:pPr>
            <w:r>
              <w:rPr>
                <w:rFonts w:cstheme="minorHAnsi"/>
                <w:spacing w:val="-5"/>
                <w:w w:val="105"/>
                <w:sz w:val="20"/>
                <w:szCs w:val="20"/>
              </w:rPr>
              <w:t>62</w:t>
            </w:r>
          </w:p>
        </w:tc>
        <w:tc>
          <w:tcPr>
            <w:tcW w:w="1903" w:type="dxa"/>
          </w:tcPr>
          <w:p w14:paraId="674C54AA" w14:textId="528C29EB" w:rsidR="009723EE" w:rsidRPr="00FB4297" w:rsidRDefault="00887420" w:rsidP="00DA676A">
            <w:pPr>
              <w:pStyle w:val="TableParagraph"/>
              <w:ind w:left="12"/>
              <w:rPr>
                <w:rFonts w:cstheme="minorHAnsi"/>
                <w:sz w:val="20"/>
                <w:szCs w:val="20"/>
              </w:rPr>
            </w:pPr>
            <w:r>
              <w:rPr>
                <w:rFonts w:cstheme="minorHAnsi"/>
                <w:w w:val="103"/>
                <w:sz w:val="20"/>
                <w:szCs w:val="20"/>
              </w:rPr>
              <w:t>6</w:t>
            </w:r>
          </w:p>
        </w:tc>
        <w:tc>
          <w:tcPr>
            <w:tcW w:w="1958" w:type="dxa"/>
          </w:tcPr>
          <w:p w14:paraId="499BB705" w14:textId="6631026C" w:rsidR="009723EE" w:rsidRPr="00FB4297" w:rsidRDefault="00887420" w:rsidP="00DA676A">
            <w:pPr>
              <w:pStyle w:val="TableParagraph"/>
              <w:ind w:left="1"/>
              <w:rPr>
                <w:rFonts w:cstheme="minorHAnsi"/>
                <w:sz w:val="20"/>
                <w:szCs w:val="20"/>
              </w:rPr>
            </w:pPr>
            <w:r>
              <w:rPr>
                <w:rFonts w:cstheme="minorHAnsi"/>
                <w:w w:val="103"/>
                <w:sz w:val="20"/>
                <w:szCs w:val="20"/>
              </w:rPr>
              <w:t>1</w:t>
            </w:r>
          </w:p>
        </w:tc>
      </w:tr>
      <w:tr w:rsidR="009723EE" w:rsidRPr="00FB4297" w14:paraId="366D537C" w14:textId="77777777" w:rsidTr="00DA676A">
        <w:trPr>
          <w:trHeight w:val="292"/>
        </w:trPr>
        <w:tc>
          <w:tcPr>
            <w:tcW w:w="2585" w:type="dxa"/>
          </w:tcPr>
          <w:p w14:paraId="3FEAAE87" w14:textId="77777777" w:rsidR="009723EE" w:rsidRPr="00FB4297" w:rsidRDefault="009723EE" w:rsidP="00DA676A">
            <w:pPr>
              <w:pStyle w:val="TableParagraph"/>
              <w:spacing w:before="45"/>
              <w:ind w:left="69"/>
              <w:rPr>
                <w:rFonts w:cstheme="minorHAnsi"/>
                <w:sz w:val="20"/>
                <w:szCs w:val="20"/>
              </w:rPr>
            </w:pPr>
            <w:r w:rsidRPr="00FB4297">
              <w:rPr>
                <w:rFonts w:cstheme="minorHAnsi"/>
                <w:w w:val="105"/>
                <w:sz w:val="20"/>
                <w:szCs w:val="20"/>
              </w:rPr>
              <w:t>Traumatic</w:t>
            </w:r>
            <w:r w:rsidRPr="00FB4297">
              <w:rPr>
                <w:rFonts w:cstheme="minorHAnsi"/>
                <w:spacing w:val="5"/>
                <w:w w:val="105"/>
                <w:sz w:val="20"/>
                <w:szCs w:val="20"/>
              </w:rPr>
              <w:t xml:space="preserve"> </w:t>
            </w:r>
            <w:r w:rsidRPr="00FB4297">
              <w:rPr>
                <w:rFonts w:cstheme="minorHAnsi"/>
                <w:w w:val="105"/>
                <w:sz w:val="20"/>
                <w:szCs w:val="20"/>
              </w:rPr>
              <w:t>Brain</w:t>
            </w:r>
            <w:r w:rsidRPr="00FB4297">
              <w:rPr>
                <w:rFonts w:cstheme="minorHAnsi"/>
                <w:spacing w:val="-2"/>
                <w:w w:val="105"/>
                <w:sz w:val="20"/>
                <w:szCs w:val="20"/>
              </w:rPr>
              <w:t xml:space="preserve"> injury</w:t>
            </w:r>
          </w:p>
        </w:tc>
        <w:tc>
          <w:tcPr>
            <w:tcW w:w="1870" w:type="dxa"/>
          </w:tcPr>
          <w:p w14:paraId="293653E0" w14:textId="0136D237" w:rsidR="009723EE" w:rsidRPr="00FB4297" w:rsidRDefault="00887420" w:rsidP="00DA676A">
            <w:pPr>
              <w:pStyle w:val="TableParagraph"/>
              <w:spacing w:before="45"/>
              <w:ind w:left="1"/>
              <w:rPr>
                <w:rFonts w:cstheme="minorHAnsi"/>
                <w:sz w:val="20"/>
                <w:szCs w:val="20"/>
              </w:rPr>
            </w:pPr>
            <w:r>
              <w:rPr>
                <w:rFonts w:cstheme="minorHAnsi"/>
                <w:w w:val="103"/>
                <w:sz w:val="20"/>
                <w:szCs w:val="20"/>
              </w:rPr>
              <w:t>10</w:t>
            </w:r>
          </w:p>
        </w:tc>
        <w:tc>
          <w:tcPr>
            <w:tcW w:w="1914" w:type="dxa"/>
          </w:tcPr>
          <w:p w14:paraId="243C8242" w14:textId="2F2B2774" w:rsidR="009723EE" w:rsidRPr="00FB4297" w:rsidRDefault="00887420" w:rsidP="00DA676A">
            <w:pPr>
              <w:pStyle w:val="TableParagraph"/>
              <w:spacing w:before="45"/>
              <w:ind w:left="1"/>
              <w:rPr>
                <w:rFonts w:cstheme="minorHAnsi"/>
                <w:sz w:val="20"/>
                <w:szCs w:val="20"/>
              </w:rPr>
            </w:pPr>
            <w:r>
              <w:rPr>
                <w:rFonts w:cstheme="minorHAnsi"/>
                <w:w w:val="103"/>
                <w:sz w:val="20"/>
                <w:szCs w:val="20"/>
              </w:rPr>
              <w:t>9</w:t>
            </w:r>
          </w:p>
        </w:tc>
        <w:tc>
          <w:tcPr>
            <w:tcW w:w="1903" w:type="dxa"/>
          </w:tcPr>
          <w:p w14:paraId="405DD533" w14:textId="25954BB5" w:rsidR="009723EE" w:rsidRPr="00FB4297" w:rsidRDefault="00887420" w:rsidP="00DA676A">
            <w:pPr>
              <w:pStyle w:val="TableParagraph"/>
              <w:spacing w:before="45"/>
              <w:ind w:left="12"/>
              <w:rPr>
                <w:rFonts w:cstheme="minorHAnsi"/>
                <w:sz w:val="20"/>
                <w:szCs w:val="20"/>
              </w:rPr>
            </w:pPr>
            <w:r>
              <w:rPr>
                <w:rFonts w:cstheme="minorHAnsi"/>
                <w:w w:val="103"/>
                <w:sz w:val="20"/>
                <w:szCs w:val="20"/>
              </w:rPr>
              <w:t>2</w:t>
            </w:r>
          </w:p>
        </w:tc>
        <w:tc>
          <w:tcPr>
            <w:tcW w:w="1958" w:type="dxa"/>
          </w:tcPr>
          <w:p w14:paraId="6AC8DA58" w14:textId="6B86376E" w:rsidR="009723EE" w:rsidRPr="00FB4297" w:rsidRDefault="00887420" w:rsidP="00DA676A">
            <w:pPr>
              <w:pStyle w:val="TableParagraph"/>
              <w:spacing w:before="45"/>
              <w:ind w:left="1"/>
              <w:rPr>
                <w:rFonts w:cstheme="minorHAnsi"/>
                <w:sz w:val="20"/>
                <w:szCs w:val="20"/>
              </w:rPr>
            </w:pPr>
            <w:r>
              <w:rPr>
                <w:rFonts w:cstheme="minorHAnsi"/>
                <w:w w:val="103"/>
                <w:sz w:val="20"/>
                <w:szCs w:val="20"/>
              </w:rPr>
              <w:t>2</w:t>
            </w:r>
          </w:p>
        </w:tc>
      </w:tr>
      <w:tr w:rsidR="009723EE" w:rsidRPr="00FB4297" w14:paraId="123EB34A" w14:textId="77777777" w:rsidTr="00DA676A">
        <w:trPr>
          <w:trHeight w:val="600"/>
        </w:trPr>
        <w:tc>
          <w:tcPr>
            <w:tcW w:w="2585" w:type="dxa"/>
          </w:tcPr>
          <w:p w14:paraId="1B289D15" w14:textId="77777777" w:rsidR="009723EE" w:rsidRPr="00FB4297" w:rsidRDefault="009723EE" w:rsidP="00DA676A">
            <w:pPr>
              <w:pStyle w:val="TableParagraph"/>
              <w:spacing w:before="89" w:line="254" w:lineRule="auto"/>
              <w:ind w:left="25"/>
              <w:rPr>
                <w:rFonts w:cstheme="minorHAnsi"/>
                <w:sz w:val="20"/>
                <w:szCs w:val="20"/>
              </w:rPr>
            </w:pPr>
            <w:r w:rsidRPr="00FB4297">
              <w:rPr>
                <w:rFonts w:cstheme="minorHAnsi"/>
                <w:w w:val="105"/>
                <w:sz w:val="20"/>
                <w:szCs w:val="20"/>
              </w:rPr>
              <w:t xml:space="preserve">Cardiac related (diabetes, </w:t>
            </w:r>
            <w:r w:rsidRPr="00FB4297">
              <w:rPr>
                <w:rFonts w:cstheme="minorHAnsi"/>
                <w:spacing w:val="-2"/>
                <w:w w:val="105"/>
                <w:sz w:val="20"/>
                <w:szCs w:val="20"/>
              </w:rPr>
              <w:t>cardiotoxicity, cardiac function)</w:t>
            </w:r>
          </w:p>
        </w:tc>
        <w:tc>
          <w:tcPr>
            <w:tcW w:w="1870" w:type="dxa"/>
          </w:tcPr>
          <w:p w14:paraId="3D1F889C" w14:textId="170962E6" w:rsidR="009723EE" w:rsidRPr="00FB4297" w:rsidRDefault="00887420" w:rsidP="005746A3">
            <w:pPr>
              <w:pStyle w:val="TableParagraph"/>
              <w:ind w:right="489"/>
              <w:rPr>
                <w:rFonts w:cstheme="minorHAnsi"/>
                <w:sz w:val="20"/>
                <w:szCs w:val="20"/>
              </w:rPr>
            </w:pPr>
            <w:r>
              <w:rPr>
                <w:rFonts w:cstheme="minorHAnsi"/>
                <w:spacing w:val="-5"/>
                <w:w w:val="105"/>
                <w:sz w:val="20"/>
                <w:szCs w:val="20"/>
              </w:rPr>
              <w:t>135</w:t>
            </w:r>
          </w:p>
        </w:tc>
        <w:tc>
          <w:tcPr>
            <w:tcW w:w="1914" w:type="dxa"/>
          </w:tcPr>
          <w:p w14:paraId="12F5D3D6" w14:textId="5E23CB06" w:rsidR="009723EE" w:rsidRPr="00FB4297" w:rsidRDefault="00887420" w:rsidP="005746A3">
            <w:pPr>
              <w:pStyle w:val="TableParagraph"/>
              <w:ind w:right="511"/>
              <w:rPr>
                <w:rFonts w:cstheme="minorHAnsi"/>
                <w:sz w:val="20"/>
                <w:szCs w:val="20"/>
              </w:rPr>
            </w:pPr>
            <w:r>
              <w:rPr>
                <w:rFonts w:cstheme="minorHAnsi"/>
                <w:spacing w:val="-5"/>
                <w:w w:val="105"/>
                <w:sz w:val="20"/>
                <w:szCs w:val="20"/>
              </w:rPr>
              <w:t>78</w:t>
            </w:r>
          </w:p>
        </w:tc>
        <w:tc>
          <w:tcPr>
            <w:tcW w:w="1903" w:type="dxa"/>
          </w:tcPr>
          <w:p w14:paraId="6C1B751E" w14:textId="1E308B3C" w:rsidR="009723EE" w:rsidRPr="00FB4297" w:rsidRDefault="00887420" w:rsidP="005746A3">
            <w:pPr>
              <w:pStyle w:val="TableParagraph"/>
              <w:ind w:right="511"/>
              <w:rPr>
                <w:rFonts w:cstheme="minorHAnsi"/>
                <w:sz w:val="20"/>
                <w:szCs w:val="20"/>
              </w:rPr>
            </w:pPr>
            <w:r>
              <w:rPr>
                <w:rFonts w:cstheme="minorHAnsi"/>
                <w:spacing w:val="-5"/>
                <w:w w:val="105"/>
                <w:sz w:val="20"/>
                <w:szCs w:val="20"/>
              </w:rPr>
              <w:t>29</w:t>
            </w:r>
          </w:p>
        </w:tc>
        <w:tc>
          <w:tcPr>
            <w:tcW w:w="1958" w:type="dxa"/>
          </w:tcPr>
          <w:p w14:paraId="78BD53A4" w14:textId="475A3F68" w:rsidR="009723EE" w:rsidRPr="00FB4297" w:rsidRDefault="00887420" w:rsidP="00DA676A">
            <w:pPr>
              <w:pStyle w:val="TableParagraph"/>
              <w:ind w:left="1"/>
              <w:rPr>
                <w:rFonts w:cstheme="minorHAnsi"/>
                <w:sz w:val="20"/>
                <w:szCs w:val="20"/>
              </w:rPr>
            </w:pPr>
            <w:r>
              <w:rPr>
                <w:rFonts w:cstheme="minorHAnsi"/>
                <w:w w:val="103"/>
                <w:sz w:val="20"/>
                <w:szCs w:val="20"/>
              </w:rPr>
              <w:t>10</w:t>
            </w:r>
          </w:p>
        </w:tc>
      </w:tr>
      <w:tr w:rsidR="009723EE" w:rsidRPr="00FB4297" w14:paraId="09E8F93E" w14:textId="77777777" w:rsidTr="00DA676A">
        <w:trPr>
          <w:trHeight w:val="205"/>
        </w:trPr>
        <w:tc>
          <w:tcPr>
            <w:tcW w:w="2585" w:type="dxa"/>
          </w:tcPr>
          <w:p w14:paraId="0A70E957" w14:textId="77777777" w:rsidR="009723EE" w:rsidRPr="00FB4297" w:rsidRDefault="009723EE" w:rsidP="00DA676A">
            <w:pPr>
              <w:pStyle w:val="TableParagraph"/>
              <w:spacing w:before="1" w:line="184" w:lineRule="exact"/>
              <w:ind w:left="25"/>
              <w:rPr>
                <w:rFonts w:cstheme="minorHAnsi"/>
                <w:sz w:val="20"/>
                <w:szCs w:val="20"/>
              </w:rPr>
            </w:pPr>
            <w:r w:rsidRPr="00FB4297">
              <w:rPr>
                <w:rFonts w:cstheme="minorHAnsi"/>
                <w:spacing w:val="-2"/>
                <w:w w:val="105"/>
                <w:sz w:val="20"/>
                <w:szCs w:val="20"/>
              </w:rPr>
              <w:t>Other</w:t>
            </w:r>
          </w:p>
        </w:tc>
        <w:tc>
          <w:tcPr>
            <w:tcW w:w="1870" w:type="dxa"/>
          </w:tcPr>
          <w:p w14:paraId="28B45EB6" w14:textId="6C3F64FA" w:rsidR="009723EE" w:rsidRPr="00FB4297" w:rsidRDefault="00887420" w:rsidP="00DA676A">
            <w:pPr>
              <w:pStyle w:val="TableParagraph"/>
              <w:spacing w:before="1" w:line="184" w:lineRule="exact"/>
              <w:ind w:left="1"/>
              <w:rPr>
                <w:rFonts w:cstheme="minorHAnsi"/>
                <w:sz w:val="20"/>
                <w:szCs w:val="20"/>
              </w:rPr>
            </w:pPr>
            <w:r>
              <w:rPr>
                <w:rFonts w:cstheme="minorHAnsi"/>
                <w:w w:val="103"/>
                <w:sz w:val="20"/>
                <w:szCs w:val="20"/>
              </w:rPr>
              <w:t>19</w:t>
            </w:r>
          </w:p>
        </w:tc>
        <w:tc>
          <w:tcPr>
            <w:tcW w:w="1914" w:type="dxa"/>
          </w:tcPr>
          <w:p w14:paraId="2AA2371F" w14:textId="5711AFBF" w:rsidR="009723EE" w:rsidRPr="00FB4297" w:rsidRDefault="00887420" w:rsidP="00DA676A">
            <w:pPr>
              <w:pStyle w:val="TableParagraph"/>
              <w:spacing w:before="1" w:line="184" w:lineRule="exact"/>
              <w:ind w:left="1"/>
              <w:rPr>
                <w:rFonts w:cstheme="minorHAnsi"/>
                <w:sz w:val="20"/>
                <w:szCs w:val="20"/>
              </w:rPr>
            </w:pPr>
            <w:r>
              <w:rPr>
                <w:rFonts w:cstheme="minorHAnsi"/>
                <w:w w:val="103"/>
                <w:sz w:val="20"/>
                <w:szCs w:val="20"/>
              </w:rPr>
              <w:t>8</w:t>
            </w:r>
          </w:p>
        </w:tc>
        <w:tc>
          <w:tcPr>
            <w:tcW w:w="1903" w:type="dxa"/>
          </w:tcPr>
          <w:p w14:paraId="2C297349" w14:textId="77777777" w:rsidR="009723EE" w:rsidRPr="00FB4297" w:rsidRDefault="009723EE" w:rsidP="00DA676A">
            <w:pPr>
              <w:pStyle w:val="TableParagraph"/>
              <w:spacing w:before="1" w:line="184" w:lineRule="exact"/>
              <w:ind w:left="12"/>
              <w:rPr>
                <w:rFonts w:cstheme="minorHAnsi"/>
                <w:sz w:val="20"/>
                <w:szCs w:val="20"/>
              </w:rPr>
            </w:pPr>
            <w:r w:rsidRPr="00FB4297">
              <w:rPr>
                <w:rFonts w:cstheme="minorHAnsi"/>
                <w:w w:val="103"/>
                <w:sz w:val="20"/>
                <w:szCs w:val="20"/>
              </w:rPr>
              <w:t>1</w:t>
            </w:r>
          </w:p>
        </w:tc>
        <w:tc>
          <w:tcPr>
            <w:tcW w:w="1958" w:type="dxa"/>
          </w:tcPr>
          <w:p w14:paraId="4D3874E3" w14:textId="77777777" w:rsidR="009723EE" w:rsidRPr="00FB4297" w:rsidRDefault="009723EE" w:rsidP="00DA676A">
            <w:pPr>
              <w:pStyle w:val="TableParagraph"/>
              <w:spacing w:before="1" w:line="184" w:lineRule="exact"/>
              <w:ind w:left="1"/>
              <w:rPr>
                <w:rFonts w:cstheme="minorHAnsi"/>
                <w:sz w:val="20"/>
                <w:szCs w:val="20"/>
              </w:rPr>
            </w:pPr>
            <w:r w:rsidRPr="00FB4297">
              <w:rPr>
                <w:rFonts w:cstheme="minorHAnsi"/>
                <w:w w:val="103"/>
                <w:sz w:val="20"/>
                <w:szCs w:val="20"/>
              </w:rPr>
              <w:t>0</w:t>
            </w:r>
          </w:p>
        </w:tc>
      </w:tr>
      <w:tr w:rsidR="009723EE" w:rsidRPr="00FB4297" w14:paraId="232ACF2D" w14:textId="77777777" w:rsidTr="00FB4297">
        <w:trPr>
          <w:trHeight w:val="194"/>
        </w:trPr>
        <w:tc>
          <w:tcPr>
            <w:tcW w:w="2585" w:type="dxa"/>
            <w:tcBorders>
              <w:bottom w:val="single" w:sz="4" w:space="0" w:color="auto"/>
            </w:tcBorders>
            <w:shd w:val="clear" w:color="auto" w:fill="D9E1F2"/>
          </w:tcPr>
          <w:p w14:paraId="49AE6BA8" w14:textId="77777777" w:rsidR="009723EE" w:rsidRPr="00FB4297" w:rsidRDefault="009723EE" w:rsidP="00DA676A">
            <w:pPr>
              <w:pStyle w:val="TableParagraph"/>
              <w:spacing w:line="174" w:lineRule="exact"/>
              <w:ind w:left="25"/>
              <w:rPr>
                <w:rFonts w:cstheme="minorHAnsi"/>
                <w:b/>
                <w:sz w:val="20"/>
                <w:szCs w:val="20"/>
              </w:rPr>
            </w:pPr>
            <w:r w:rsidRPr="00FB4297">
              <w:rPr>
                <w:rFonts w:cstheme="minorHAnsi"/>
                <w:b/>
                <w:spacing w:val="-2"/>
                <w:w w:val="105"/>
                <w:sz w:val="20"/>
                <w:szCs w:val="20"/>
              </w:rPr>
              <w:t>TOTAL</w:t>
            </w:r>
          </w:p>
        </w:tc>
        <w:tc>
          <w:tcPr>
            <w:tcW w:w="1870" w:type="dxa"/>
            <w:shd w:val="clear" w:color="auto" w:fill="D9E1F2"/>
          </w:tcPr>
          <w:p w14:paraId="4364E559" w14:textId="5C902600" w:rsidR="009723EE" w:rsidRPr="00983219" w:rsidRDefault="00887420" w:rsidP="005746A3">
            <w:pPr>
              <w:pStyle w:val="TableParagraph"/>
              <w:spacing w:before="1" w:line="173" w:lineRule="exact"/>
              <w:ind w:right="489"/>
              <w:rPr>
                <w:rFonts w:cstheme="minorHAnsi"/>
                <w:b/>
                <w:bCs/>
                <w:sz w:val="20"/>
                <w:szCs w:val="20"/>
              </w:rPr>
            </w:pPr>
            <w:r>
              <w:rPr>
                <w:rFonts w:cstheme="minorHAnsi"/>
                <w:b/>
                <w:bCs/>
                <w:spacing w:val="-5"/>
                <w:w w:val="105"/>
                <w:sz w:val="20"/>
                <w:szCs w:val="20"/>
              </w:rPr>
              <w:t>807</w:t>
            </w:r>
          </w:p>
        </w:tc>
        <w:tc>
          <w:tcPr>
            <w:tcW w:w="1914" w:type="dxa"/>
            <w:shd w:val="clear" w:color="auto" w:fill="D9E1F2"/>
          </w:tcPr>
          <w:p w14:paraId="10BF4E98" w14:textId="210EB242" w:rsidR="009723EE" w:rsidRPr="00983219" w:rsidRDefault="008857AB" w:rsidP="005746A3">
            <w:pPr>
              <w:pStyle w:val="TableParagraph"/>
              <w:spacing w:before="1" w:line="173" w:lineRule="exact"/>
              <w:ind w:right="511"/>
              <w:rPr>
                <w:rFonts w:cstheme="minorHAnsi"/>
                <w:b/>
                <w:bCs/>
                <w:sz w:val="20"/>
                <w:szCs w:val="20"/>
              </w:rPr>
            </w:pPr>
            <w:r>
              <w:rPr>
                <w:rFonts w:cstheme="minorHAnsi"/>
                <w:b/>
                <w:bCs/>
                <w:spacing w:val="-5"/>
                <w:w w:val="105"/>
                <w:sz w:val="20"/>
                <w:szCs w:val="20"/>
              </w:rPr>
              <w:t>254</w:t>
            </w:r>
          </w:p>
        </w:tc>
        <w:tc>
          <w:tcPr>
            <w:tcW w:w="1903" w:type="dxa"/>
            <w:shd w:val="clear" w:color="auto" w:fill="D9E1F2"/>
          </w:tcPr>
          <w:p w14:paraId="1636C6BB" w14:textId="4BD942CD" w:rsidR="009723EE" w:rsidRPr="00983219" w:rsidRDefault="008857AB" w:rsidP="005746A3">
            <w:pPr>
              <w:pStyle w:val="TableParagraph"/>
              <w:spacing w:before="1" w:line="173" w:lineRule="exact"/>
              <w:ind w:right="511"/>
              <w:rPr>
                <w:rFonts w:cstheme="minorHAnsi"/>
                <w:b/>
                <w:bCs/>
                <w:sz w:val="20"/>
                <w:szCs w:val="20"/>
              </w:rPr>
            </w:pPr>
            <w:r>
              <w:rPr>
                <w:rFonts w:cstheme="minorHAnsi"/>
                <w:b/>
                <w:bCs/>
                <w:spacing w:val="-5"/>
                <w:w w:val="105"/>
                <w:sz w:val="20"/>
                <w:szCs w:val="20"/>
              </w:rPr>
              <w:t>49</w:t>
            </w:r>
          </w:p>
        </w:tc>
        <w:tc>
          <w:tcPr>
            <w:tcW w:w="1958" w:type="dxa"/>
            <w:shd w:val="clear" w:color="auto" w:fill="D9E1F2"/>
          </w:tcPr>
          <w:p w14:paraId="4E72BF89" w14:textId="68E48E7C" w:rsidR="009723EE" w:rsidRPr="00983219" w:rsidRDefault="008857AB" w:rsidP="00DA676A">
            <w:pPr>
              <w:pStyle w:val="TableParagraph"/>
              <w:spacing w:before="1" w:line="173" w:lineRule="exact"/>
              <w:ind w:left="1"/>
              <w:rPr>
                <w:rFonts w:cstheme="minorHAnsi"/>
                <w:b/>
                <w:bCs/>
                <w:sz w:val="20"/>
                <w:szCs w:val="20"/>
              </w:rPr>
            </w:pPr>
            <w:r>
              <w:rPr>
                <w:rFonts w:cstheme="minorHAnsi"/>
                <w:b/>
                <w:bCs/>
                <w:w w:val="103"/>
                <w:sz w:val="20"/>
                <w:szCs w:val="20"/>
              </w:rPr>
              <w:t>15</w:t>
            </w:r>
          </w:p>
        </w:tc>
      </w:tr>
      <w:tr w:rsidR="009723EE" w:rsidRPr="00FB4297" w14:paraId="7EBC69F0" w14:textId="77777777" w:rsidTr="00FB4297">
        <w:trPr>
          <w:trHeight w:val="215"/>
        </w:trPr>
        <w:tc>
          <w:tcPr>
            <w:tcW w:w="10230" w:type="dxa"/>
            <w:gridSpan w:val="5"/>
            <w:tcBorders>
              <w:left w:val="single" w:sz="4" w:space="0" w:color="auto"/>
            </w:tcBorders>
          </w:tcPr>
          <w:p w14:paraId="3C5AB41C" w14:textId="77777777" w:rsidR="009723EE" w:rsidRPr="00FB4297" w:rsidRDefault="009723EE" w:rsidP="00DA676A">
            <w:pPr>
              <w:pStyle w:val="TableParagraph"/>
              <w:rPr>
                <w:rFonts w:cstheme="minorHAnsi"/>
                <w:sz w:val="20"/>
                <w:szCs w:val="20"/>
              </w:rPr>
            </w:pPr>
          </w:p>
        </w:tc>
      </w:tr>
      <w:tr w:rsidR="009723EE" w:rsidRPr="00FB4297" w14:paraId="33703529" w14:textId="77777777" w:rsidTr="00DA676A">
        <w:trPr>
          <w:trHeight w:val="194"/>
        </w:trPr>
        <w:tc>
          <w:tcPr>
            <w:tcW w:w="10230" w:type="dxa"/>
            <w:gridSpan w:val="5"/>
          </w:tcPr>
          <w:p w14:paraId="1D391F3D" w14:textId="77777777" w:rsidR="009723EE" w:rsidRPr="00FB4297" w:rsidRDefault="009723EE" w:rsidP="00983219">
            <w:pPr>
              <w:pStyle w:val="TableParagraph"/>
              <w:spacing w:line="174" w:lineRule="exact"/>
              <w:ind w:right="4364"/>
              <w:rPr>
                <w:rFonts w:cstheme="minorHAnsi"/>
                <w:b/>
                <w:sz w:val="20"/>
                <w:szCs w:val="20"/>
              </w:rPr>
            </w:pPr>
            <w:r w:rsidRPr="00FB4297">
              <w:rPr>
                <w:rFonts w:cstheme="minorHAnsi"/>
                <w:b/>
                <w:w w:val="105"/>
                <w:sz w:val="20"/>
                <w:szCs w:val="20"/>
              </w:rPr>
              <w:t>ALL</w:t>
            </w:r>
            <w:r w:rsidRPr="00FB4297">
              <w:rPr>
                <w:rFonts w:cstheme="minorHAnsi"/>
                <w:b/>
                <w:spacing w:val="-7"/>
                <w:w w:val="105"/>
                <w:sz w:val="20"/>
                <w:szCs w:val="20"/>
              </w:rPr>
              <w:t xml:space="preserve"> </w:t>
            </w:r>
            <w:r w:rsidRPr="00FB4297">
              <w:rPr>
                <w:rFonts w:cstheme="minorHAnsi"/>
                <w:b/>
                <w:w w:val="105"/>
                <w:sz w:val="20"/>
                <w:szCs w:val="20"/>
              </w:rPr>
              <w:t>RECEIVED</w:t>
            </w:r>
            <w:r w:rsidRPr="00FB4297">
              <w:rPr>
                <w:rFonts w:cstheme="minorHAnsi"/>
                <w:b/>
                <w:spacing w:val="-9"/>
                <w:w w:val="105"/>
                <w:sz w:val="20"/>
                <w:szCs w:val="20"/>
              </w:rPr>
              <w:t xml:space="preserve"> </w:t>
            </w:r>
            <w:r w:rsidRPr="00FB4297">
              <w:rPr>
                <w:rFonts w:cstheme="minorHAnsi"/>
                <w:b/>
                <w:spacing w:val="-4"/>
                <w:w w:val="105"/>
                <w:sz w:val="20"/>
                <w:szCs w:val="20"/>
              </w:rPr>
              <w:t>DATA</w:t>
            </w:r>
          </w:p>
        </w:tc>
      </w:tr>
      <w:tr w:rsidR="009723EE" w:rsidRPr="00FB4297" w14:paraId="140D00A4" w14:textId="77777777" w:rsidTr="00DA676A">
        <w:trPr>
          <w:trHeight w:val="205"/>
        </w:trPr>
        <w:tc>
          <w:tcPr>
            <w:tcW w:w="2585" w:type="dxa"/>
          </w:tcPr>
          <w:p w14:paraId="72B4431A" w14:textId="77777777" w:rsidR="009723EE" w:rsidRPr="00983219" w:rsidRDefault="009723EE" w:rsidP="00DA676A">
            <w:pPr>
              <w:pStyle w:val="TableParagraph"/>
              <w:spacing w:before="1" w:line="184" w:lineRule="exact"/>
              <w:ind w:left="25"/>
              <w:rPr>
                <w:rFonts w:cstheme="minorHAnsi"/>
                <w:sz w:val="20"/>
                <w:szCs w:val="20"/>
              </w:rPr>
            </w:pPr>
            <w:r w:rsidRPr="00983219">
              <w:rPr>
                <w:rFonts w:cstheme="minorHAnsi"/>
                <w:spacing w:val="-2"/>
                <w:w w:val="105"/>
                <w:sz w:val="20"/>
                <w:szCs w:val="20"/>
              </w:rPr>
              <w:t>C-13</w:t>
            </w:r>
            <w:r w:rsidRPr="00983219">
              <w:rPr>
                <w:rFonts w:cstheme="minorHAnsi"/>
                <w:spacing w:val="1"/>
                <w:w w:val="105"/>
                <w:sz w:val="20"/>
                <w:szCs w:val="20"/>
              </w:rPr>
              <w:t xml:space="preserve"> </w:t>
            </w:r>
            <w:r w:rsidRPr="00983219">
              <w:rPr>
                <w:rFonts w:cstheme="minorHAnsi"/>
                <w:spacing w:val="-2"/>
                <w:w w:val="105"/>
                <w:sz w:val="20"/>
                <w:szCs w:val="20"/>
              </w:rPr>
              <w:t>Pyruvate</w:t>
            </w:r>
            <w:r w:rsidRPr="00983219">
              <w:rPr>
                <w:rFonts w:cstheme="minorHAnsi"/>
                <w:spacing w:val="2"/>
                <w:w w:val="105"/>
                <w:sz w:val="20"/>
                <w:szCs w:val="20"/>
              </w:rPr>
              <w:t xml:space="preserve"> </w:t>
            </w:r>
            <w:r w:rsidRPr="00983219">
              <w:rPr>
                <w:rFonts w:cstheme="minorHAnsi"/>
                <w:spacing w:val="-2"/>
                <w:w w:val="105"/>
                <w:sz w:val="20"/>
                <w:szCs w:val="20"/>
              </w:rPr>
              <w:t>Hyperpolarization</w:t>
            </w:r>
          </w:p>
        </w:tc>
        <w:tc>
          <w:tcPr>
            <w:tcW w:w="7645" w:type="dxa"/>
            <w:gridSpan w:val="4"/>
          </w:tcPr>
          <w:p w14:paraId="087F3B27" w14:textId="0552510E" w:rsidR="009723EE" w:rsidRPr="00FB4297" w:rsidRDefault="005746A3" w:rsidP="005746A3">
            <w:pPr>
              <w:pStyle w:val="TableParagraph"/>
              <w:spacing w:before="1" w:line="184" w:lineRule="exact"/>
              <w:ind w:right="3147"/>
              <w:jc w:val="center"/>
              <w:rPr>
                <w:rFonts w:cstheme="minorHAnsi"/>
                <w:b/>
                <w:bCs/>
                <w:sz w:val="20"/>
                <w:szCs w:val="20"/>
              </w:rPr>
            </w:pPr>
            <w:r w:rsidRPr="00FB4297">
              <w:rPr>
                <w:rFonts w:cstheme="minorHAnsi"/>
                <w:b/>
                <w:bCs/>
                <w:w w:val="105"/>
                <w:sz w:val="20"/>
                <w:szCs w:val="20"/>
              </w:rPr>
              <w:t>As</w:t>
            </w:r>
            <w:r w:rsidR="009723EE" w:rsidRPr="00FB4297">
              <w:rPr>
                <w:rFonts w:cstheme="minorHAnsi"/>
                <w:b/>
                <w:bCs/>
                <w:spacing w:val="-4"/>
                <w:w w:val="105"/>
                <w:sz w:val="20"/>
                <w:szCs w:val="20"/>
              </w:rPr>
              <w:t xml:space="preserve"> </w:t>
            </w:r>
            <w:r w:rsidR="009723EE" w:rsidRPr="00FB4297">
              <w:rPr>
                <w:rFonts w:cstheme="minorHAnsi"/>
                <w:b/>
                <w:bCs/>
                <w:w w:val="105"/>
                <w:sz w:val="20"/>
                <w:szCs w:val="20"/>
              </w:rPr>
              <w:t xml:space="preserve">of </w:t>
            </w:r>
            <w:proofErr w:type="gramStart"/>
            <w:r w:rsidR="00FB4297" w:rsidRPr="00FB4297">
              <w:rPr>
                <w:rFonts w:cstheme="minorHAnsi"/>
                <w:b/>
                <w:bCs/>
                <w:w w:val="105"/>
                <w:sz w:val="20"/>
                <w:szCs w:val="20"/>
              </w:rPr>
              <w:t>31</w:t>
            </w:r>
            <w:r w:rsidR="00FB4297" w:rsidRPr="00FB4297">
              <w:rPr>
                <w:rFonts w:cstheme="minorHAnsi"/>
                <w:b/>
                <w:bCs/>
                <w:spacing w:val="-2"/>
                <w:w w:val="105"/>
                <w:sz w:val="20"/>
                <w:szCs w:val="20"/>
              </w:rPr>
              <w:t xml:space="preserve"> </w:t>
            </w:r>
            <w:r w:rsidR="00FB4297" w:rsidRPr="00FB4297">
              <w:rPr>
                <w:rFonts w:cstheme="minorHAnsi"/>
                <w:b/>
                <w:bCs/>
                <w:w w:val="105"/>
                <w:sz w:val="20"/>
                <w:szCs w:val="20"/>
              </w:rPr>
              <w:t>December</w:t>
            </w:r>
            <w:r w:rsidR="00FB4297" w:rsidRPr="00FB4297">
              <w:rPr>
                <w:rFonts w:cstheme="minorHAnsi"/>
                <w:b/>
                <w:bCs/>
                <w:spacing w:val="4"/>
                <w:w w:val="105"/>
                <w:sz w:val="20"/>
                <w:szCs w:val="20"/>
              </w:rPr>
              <w:t xml:space="preserve"> </w:t>
            </w:r>
            <w:r w:rsidR="00FB4297" w:rsidRPr="00FB4297">
              <w:rPr>
                <w:rFonts w:cstheme="minorHAnsi"/>
                <w:b/>
                <w:bCs/>
                <w:spacing w:val="-4"/>
                <w:w w:val="105"/>
                <w:sz w:val="20"/>
                <w:szCs w:val="20"/>
              </w:rPr>
              <w:t>2022</w:t>
            </w:r>
            <w:proofErr w:type="gramEnd"/>
          </w:p>
        </w:tc>
      </w:tr>
      <w:tr w:rsidR="009723EE" w:rsidRPr="00FB4297" w14:paraId="56F29EB7" w14:textId="77777777" w:rsidTr="00DA676A">
        <w:trPr>
          <w:trHeight w:val="600"/>
        </w:trPr>
        <w:tc>
          <w:tcPr>
            <w:tcW w:w="2585" w:type="dxa"/>
          </w:tcPr>
          <w:p w14:paraId="51DE5344" w14:textId="77777777" w:rsidR="009723EE" w:rsidRPr="00FB4297" w:rsidRDefault="009723EE" w:rsidP="00DA676A">
            <w:pPr>
              <w:pStyle w:val="TableParagraph"/>
              <w:rPr>
                <w:rFonts w:cstheme="minorHAnsi"/>
                <w:sz w:val="20"/>
                <w:szCs w:val="20"/>
              </w:rPr>
            </w:pPr>
          </w:p>
        </w:tc>
        <w:tc>
          <w:tcPr>
            <w:tcW w:w="1870" w:type="dxa"/>
            <w:shd w:val="clear" w:color="auto" w:fill="D9E1F2"/>
          </w:tcPr>
          <w:p w14:paraId="592D40AD" w14:textId="77777777" w:rsidR="009723EE" w:rsidRPr="00FB4297" w:rsidRDefault="009723EE" w:rsidP="005746A3">
            <w:pPr>
              <w:pStyle w:val="TableParagraph"/>
              <w:spacing w:before="89" w:line="254" w:lineRule="auto"/>
              <w:ind w:left="47"/>
              <w:rPr>
                <w:rFonts w:cstheme="minorHAnsi"/>
                <w:sz w:val="20"/>
                <w:szCs w:val="20"/>
              </w:rPr>
            </w:pPr>
            <w:r w:rsidRPr="00FB4297">
              <w:rPr>
                <w:rFonts w:cstheme="minorHAnsi"/>
                <w:sz w:val="20"/>
                <w:szCs w:val="20"/>
              </w:rPr>
              <w:t>Patients/Volunteers</w:t>
            </w:r>
            <w:r w:rsidRPr="00FB4297">
              <w:rPr>
                <w:rFonts w:cstheme="minorHAnsi"/>
                <w:spacing w:val="-3"/>
                <w:sz w:val="20"/>
                <w:szCs w:val="20"/>
              </w:rPr>
              <w:t xml:space="preserve"> </w:t>
            </w:r>
            <w:r w:rsidRPr="00FB4297">
              <w:rPr>
                <w:rFonts w:cstheme="minorHAnsi"/>
                <w:sz w:val="20"/>
                <w:szCs w:val="20"/>
              </w:rPr>
              <w:t>with</w:t>
            </w:r>
            <w:r w:rsidRPr="00FB4297">
              <w:rPr>
                <w:rFonts w:cstheme="minorHAnsi"/>
                <w:w w:val="105"/>
                <w:sz w:val="20"/>
                <w:szCs w:val="20"/>
              </w:rPr>
              <w:t xml:space="preserve"> one or more injections</w:t>
            </w:r>
          </w:p>
        </w:tc>
        <w:tc>
          <w:tcPr>
            <w:tcW w:w="1914" w:type="dxa"/>
            <w:shd w:val="clear" w:color="auto" w:fill="D9E1F2"/>
          </w:tcPr>
          <w:p w14:paraId="3817190B" w14:textId="77777777" w:rsidR="009723EE" w:rsidRPr="00FB4297" w:rsidRDefault="009723EE" w:rsidP="005746A3">
            <w:pPr>
              <w:pStyle w:val="TableParagraph"/>
              <w:spacing w:before="89" w:line="254" w:lineRule="auto"/>
              <w:ind w:left="69"/>
              <w:rPr>
                <w:rFonts w:cstheme="minorHAnsi"/>
                <w:sz w:val="20"/>
                <w:szCs w:val="20"/>
              </w:rPr>
            </w:pPr>
            <w:r w:rsidRPr="00FB4297">
              <w:rPr>
                <w:rFonts w:cstheme="minorHAnsi"/>
                <w:sz w:val="20"/>
                <w:szCs w:val="20"/>
              </w:rPr>
              <w:t>Patients/Volunteers</w:t>
            </w:r>
            <w:r w:rsidRPr="00FB4297">
              <w:rPr>
                <w:rFonts w:cstheme="minorHAnsi"/>
                <w:spacing w:val="-3"/>
                <w:sz w:val="20"/>
                <w:szCs w:val="20"/>
              </w:rPr>
              <w:t xml:space="preserve"> </w:t>
            </w:r>
            <w:r w:rsidRPr="00FB4297">
              <w:rPr>
                <w:rFonts w:cstheme="minorHAnsi"/>
                <w:sz w:val="20"/>
                <w:szCs w:val="20"/>
              </w:rPr>
              <w:t>with</w:t>
            </w:r>
            <w:r w:rsidRPr="00FB4297">
              <w:rPr>
                <w:rFonts w:cstheme="minorHAnsi"/>
                <w:w w:val="105"/>
                <w:sz w:val="20"/>
                <w:szCs w:val="20"/>
              </w:rPr>
              <w:t xml:space="preserve"> two</w:t>
            </w:r>
            <w:r w:rsidRPr="00FB4297">
              <w:rPr>
                <w:rFonts w:cstheme="minorHAnsi"/>
                <w:spacing w:val="-5"/>
                <w:w w:val="105"/>
                <w:sz w:val="20"/>
                <w:szCs w:val="20"/>
              </w:rPr>
              <w:t xml:space="preserve"> </w:t>
            </w:r>
            <w:r w:rsidRPr="00FB4297">
              <w:rPr>
                <w:rFonts w:cstheme="minorHAnsi"/>
                <w:w w:val="105"/>
                <w:sz w:val="20"/>
                <w:szCs w:val="20"/>
              </w:rPr>
              <w:t>or more injections</w:t>
            </w:r>
          </w:p>
        </w:tc>
        <w:tc>
          <w:tcPr>
            <w:tcW w:w="1903" w:type="dxa"/>
            <w:shd w:val="clear" w:color="auto" w:fill="D9E1F2"/>
          </w:tcPr>
          <w:p w14:paraId="69289FEC" w14:textId="77777777" w:rsidR="009723EE" w:rsidRPr="00FB4297" w:rsidRDefault="009723EE" w:rsidP="00DA676A">
            <w:pPr>
              <w:pStyle w:val="TableParagraph"/>
              <w:spacing w:before="89" w:line="254" w:lineRule="auto"/>
              <w:ind w:left="80" w:hanging="11"/>
              <w:rPr>
                <w:rFonts w:cstheme="minorHAnsi"/>
                <w:sz w:val="20"/>
                <w:szCs w:val="20"/>
              </w:rPr>
            </w:pPr>
            <w:r w:rsidRPr="00FB4297">
              <w:rPr>
                <w:rFonts w:cstheme="minorHAnsi"/>
                <w:sz w:val="20"/>
                <w:szCs w:val="20"/>
              </w:rPr>
              <w:t>Patients/Volunteers</w:t>
            </w:r>
            <w:r w:rsidRPr="00FB4297">
              <w:rPr>
                <w:rFonts w:cstheme="minorHAnsi"/>
                <w:spacing w:val="-3"/>
                <w:sz w:val="20"/>
                <w:szCs w:val="20"/>
              </w:rPr>
              <w:t xml:space="preserve"> </w:t>
            </w:r>
            <w:r w:rsidRPr="00FB4297">
              <w:rPr>
                <w:rFonts w:cstheme="minorHAnsi"/>
                <w:sz w:val="20"/>
                <w:szCs w:val="20"/>
              </w:rPr>
              <w:t>with</w:t>
            </w:r>
            <w:r w:rsidRPr="00FB4297">
              <w:rPr>
                <w:rFonts w:cstheme="minorHAnsi"/>
                <w:w w:val="105"/>
                <w:sz w:val="20"/>
                <w:szCs w:val="20"/>
              </w:rPr>
              <w:t xml:space="preserve"> three</w:t>
            </w:r>
            <w:r w:rsidRPr="00FB4297">
              <w:rPr>
                <w:rFonts w:cstheme="minorHAnsi"/>
                <w:spacing w:val="-5"/>
                <w:w w:val="105"/>
                <w:sz w:val="20"/>
                <w:szCs w:val="20"/>
              </w:rPr>
              <w:t xml:space="preserve"> </w:t>
            </w:r>
            <w:r w:rsidRPr="00FB4297">
              <w:rPr>
                <w:rFonts w:cstheme="minorHAnsi"/>
                <w:w w:val="105"/>
                <w:sz w:val="20"/>
                <w:szCs w:val="20"/>
              </w:rPr>
              <w:t>or</w:t>
            </w:r>
            <w:r w:rsidRPr="00FB4297">
              <w:rPr>
                <w:rFonts w:cstheme="minorHAnsi"/>
                <w:spacing w:val="-2"/>
                <w:w w:val="105"/>
                <w:sz w:val="20"/>
                <w:szCs w:val="20"/>
              </w:rPr>
              <w:t xml:space="preserve"> </w:t>
            </w:r>
            <w:r w:rsidRPr="00FB4297">
              <w:rPr>
                <w:rFonts w:cstheme="minorHAnsi"/>
                <w:w w:val="105"/>
                <w:sz w:val="20"/>
                <w:szCs w:val="20"/>
              </w:rPr>
              <w:t>more</w:t>
            </w:r>
            <w:r w:rsidRPr="00FB4297">
              <w:rPr>
                <w:rFonts w:cstheme="minorHAnsi"/>
                <w:spacing w:val="-5"/>
                <w:w w:val="105"/>
                <w:sz w:val="20"/>
                <w:szCs w:val="20"/>
              </w:rPr>
              <w:t xml:space="preserve"> </w:t>
            </w:r>
            <w:r w:rsidRPr="00FB4297">
              <w:rPr>
                <w:rFonts w:cstheme="minorHAnsi"/>
                <w:spacing w:val="-2"/>
                <w:w w:val="105"/>
                <w:sz w:val="20"/>
                <w:szCs w:val="20"/>
              </w:rPr>
              <w:t>injections</w:t>
            </w:r>
          </w:p>
        </w:tc>
        <w:tc>
          <w:tcPr>
            <w:tcW w:w="1958" w:type="dxa"/>
            <w:shd w:val="clear" w:color="auto" w:fill="D9E1F2"/>
          </w:tcPr>
          <w:p w14:paraId="568C1446" w14:textId="77777777" w:rsidR="009723EE" w:rsidRPr="00FB4297" w:rsidRDefault="009723EE" w:rsidP="00DA676A">
            <w:pPr>
              <w:pStyle w:val="TableParagraph"/>
              <w:spacing w:before="89" w:line="254" w:lineRule="auto"/>
              <w:ind w:left="135" w:hanging="44"/>
              <w:rPr>
                <w:rFonts w:cstheme="minorHAnsi"/>
                <w:sz w:val="20"/>
                <w:szCs w:val="20"/>
              </w:rPr>
            </w:pPr>
            <w:r w:rsidRPr="00FB4297">
              <w:rPr>
                <w:rFonts w:cstheme="minorHAnsi"/>
                <w:sz w:val="20"/>
                <w:szCs w:val="20"/>
              </w:rPr>
              <w:t>Patients/Volunteers</w:t>
            </w:r>
            <w:r w:rsidRPr="00FB4297">
              <w:rPr>
                <w:rFonts w:cstheme="minorHAnsi"/>
                <w:spacing w:val="-3"/>
                <w:sz w:val="20"/>
                <w:szCs w:val="20"/>
              </w:rPr>
              <w:t xml:space="preserve"> </w:t>
            </w:r>
            <w:r w:rsidRPr="00FB4297">
              <w:rPr>
                <w:rFonts w:cstheme="minorHAnsi"/>
                <w:sz w:val="20"/>
                <w:szCs w:val="20"/>
              </w:rPr>
              <w:t>with</w:t>
            </w:r>
            <w:r w:rsidRPr="00FB4297">
              <w:rPr>
                <w:rFonts w:cstheme="minorHAnsi"/>
                <w:w w:val="105"/>
                <w:sz w:val="20"/>
                <w:szCs w:val="20"/>
              </w:rPr>
              <w:t xml:space="preserve"> Four</w:t>
            </w:r>
            <w:r w:rsidRPr="00FB4297">
              <w:rPr>
                <w:rFonts w:cstheme="minorHAnsi"/>
                <w:spacing w:val="-4"/>
                <w:w w:val="105"/>
                <w:sz w:val="20"/>
                <w:szCs w:val="20"/>
              </w:rPr>
              <w:t xml:space="preserve"> </w:t>
            </w:r>
            <w:r w:rsidRPr="00FB4297">
              <w:rPr>
                <w:rFonts w:cstheme="minorHAnsi"/>
                <w:w w:val="105"/>
                <w:sz w:val="20"/>
                <w:szCs w:val="20"/>
              </w:rPr>
              <w:t>or</w:t>
            </w:r>
            <w:r w:rsidRPr="00FB4297">
              <w:rPr>
                <w:rFonts w:cstheme="minorHAnsi"/>
                <w:spacing w:val="-4"/>
                <w:w w:val="105"/>
                <w:sz w:val="20"/>
                <w:szCs w:val="20"/>
              </w:rPr>
              <w:t xml:space="preserve"> </w:t>
            </w:r>
            <w:r w:rsidRPr="00FB4297">
              <w:rPr>
                <w:rFonts w:cstheme="minorHAnsi"/>
                <w:w w:val="105"/>
                <w:sz w:val="20"/>
                <w:szCs w:val="20"/>
              </w:rPr>
              <w:t>more</w:t>
            </w:r>
            <w:r w:rsidRPr="00FB4297">
              <w:rPr>
                <w:rFonts w:cstheme="minorHAnsi"/>
                <w:spacing w:val="-7"/>
                <w:w w:val="105"/>
                <w:sz w:val="20"/>
                <w:szCs w:val="20"/>
              </w:rPr>
              <w:t xml:space="preserve"> </w:t>
            </w:r>
            <w:r w:rsidRPr="00FB4297">
              <w:rPr>
                <w:rFonts w:cstheme="minorHAnsi"/>
                <w:w w:val="105"/>
                <w:sz w:val="20"/>
                <w:szCs w:val="20"/>
              </w:rPr>
              <w:t>injections</w:t>
            </w:r>
          </w:p>
        </w:tc>
      </w:tr>
      <w:tr w:rsidR="009723EE" w:rsidRPr="00FB4297" w14:paraId="0C3FC918" w14:textId="77777777" w:rsidTr="00DA676A">
        <w:trPr>
          <w:trHeight w:val="194"/>
        </w:trPr>
        <w:tc>
          <w:tcPr>
            <w:tcW w:w="2585" w:type="dxa"/>
          </w:tcPr>
          <w:p w14:paraId="34BFB1CA" w14:textId="77777777" w:rsidR="009723EE" w:rsidRPr="00FB4297" w:rsidRDefault="009723EE" w:rsidP="00DA676A">
            <w:pPr>
              <w:pStyle w:val="TableParagraph"/>
              <w:spacing w:line="174" w:lineRule="exact"/>
              <w:ind w:left="25"/>
              <w:rPr>
                <w:rFonts w:cstheme="minorHAnsi"/>
                <w:sz w:val="20"/>
                <w:szCs w:val="20"/>
              </w:rPr>
            </w:pPr>
            <w:r w:rsidRPr="00FB4297">
              <w:rPr>
                <w:rFonts w:cstheme="minorHAnsi"/>
                <w:spacing w:val="-2"/>
                <w:w w:val="105"/>
                <w:sz w:val="20"/>
                <w:szCs w:val="20"/>
              </w:rPr>
              <w:t>Aarhus</w:t>
            </w:r>
          </w:p>
        </w:tc>
        <w:tc>
          <w:tcPr>
            <w:tcW w:w="1870" w:type="dxa"/>
          </w:tcPr>
          <w:p w14:paraId="39146E05" w14:textId="233B06FC" w:rsidR="009723EE" w:rsidRPr="00FB4297" w:rsidRDefault="00653F35" w:rsidP="005746A3">
            <w:pPr>
              <w:pStyle w:val="TableParagraph"/>
              <w:spacing w:line="174" w:lineRule="exact"/>
              <w:ind w:right="489"/>
              <w:rPr>
                <w:rFonts w:cstheme="minorHAnsi"/>
                <w:sz w:val="20"/>
                <w:szCs w:val="20"/>
              </w:rPr>
            </w:pPr>
            <w:r>
              <w:rPr>
                <w:rFonts w:cstheme="minorHAnsi"/>
                <w:spacing w:val="-5"/>
                <w:w w:val="105"/>
                <w:sz w:val="20"/>
                <w:szCs w:val="20"/>
              </w:rPr>
              <w:t>39</w:t>
            </w:r>
          </w:p>
        </w:tc>
        <w:tc>
          <w:tcPr>
            <w:tcW w:w="1914" w:type="dxa"/>
          </w:tcPr>
          <w:p w14:paraId="5FCD9546" w14:textId="77777777" w:rsidR="009723EE" w:rsidRPr="00FB4297" w:rsidRDefault="009723EE" w:rsidP="005746A3">
            <w:pPr>
              <w:pStyle w:val="TableParagraph"/>
              <w:spacing w:line="174" w:lineRule="exact"/>
              <w:ind w:right="511"/>
              <w:rPr>
                <w:rFonts w:cstheme="minorHAnsi"/>
                <w:sz w:val="20"/>
                <w:szCs w:val="20"/>
              </w:rPr>
            </w:pPr>
            <w:r w:rsidRPr="00FB4297">
              <w:rPr>
                <w:rFonts w:cstheme="minorHAnsi"/>
                <w:spacing w:val="-5"/>
                <w:w w:val="105"/>
                <w:sz w:val="20"/>
                <w:szCs w:val="20"/>
              </w:rPr>
              <w:t>10</w:t>
            </w:r>
          </w:p>
        </w:tc>
        <w:tc>
          <w:tcPr>
            <w:tcW w:w="1903" w:type="dxa"/>
          </w:tcPr>
          <w:p w14:paraId="6CE48800" w14:textId="3A2D8825" w:rsidR="009723EE" w:rsidRPr="00FB4297" w:rsidRDefault="00653F35" w:rsidP="00DA676A">
            <w:pPr>
              <w:pStyle w:val="TableParagraph"/>
              <w:rPr>
                <w:rFonts w:cstheme="minorHAnsi"/>
                <w:sz w:val="20"/>
                <w:szCs w:val="20"/>
              </w:rPr>
            </w:pPr>
            <w:r>
              <w:rPr>
                <w:rFonts w:cstheme="minorHAnsi"/>
                <w:sz w:val="20"/>
                <w:szCs w:val="20"/>
              </w:rPr>
              <w:t>0</w:t>
            </w:r>
          </w:p>
        </w:tc>
        <w:tc>
          <w:tcPr>
            <w:tcW w:w="1958" w:type="dxa"/>
          </w:tcPr>
          <w:p w14:paraId="16426595" w14:textId="0FBA9065" w:rsidR="009723EE" w:rsidRPr="00FB4297" w:rsidRDefault="00653F35" w:rsidP="00DA676A">
            <w:pPr>
              <w:pStyle w:val="TableParagraph"/>
              <w:rPr>
                <w:rFonts w:cstheme="minorHAnsi"/>
                <w:sz w:val="20"/>
                <w:szCs w:val="20"/>
              </w:rPr>
            </w:pPr>
            <w:r>
              <w:rPr>
                <w:rFonts w:cstheme="minorHAnsi"/>
                <w:sz w:val="20"/>
                <w:szCs w:val="20"/>
              </w:rPr>
              <w:t>0</w:t>
            </w:r>
          </w:p>
        </w:tc>
      </w:tr>
      <w:tr w:rsidR="009723EE" w:rsidRPr="00FB4297" w14:paraId="5666215D" w14:textId="77777777" w:rsidTr="00DA676A">
        <w:trPr>
          <w:trHeight w:val="193"/>
        </w:trPr>
        <w:tc>
          <w:tcPr>
            <w:tcW w:w="2585" w:type="dxa"/>
          </w:tcPr>
          <w:p w14:paraId="06124788" w14:textId="77777777" w:rsidR="009723EE" w:rsidRPr="00FB4297" w:rsidRDefault="009723EE" w:rsidP="00DA676A">
            <w:pPr>
              <w:pStyle w:val="TableParagraph"/>
              <w:spacing w:line="174" w:lineRule="exact"/>
              <w:ind w:left="25"/>
              <w:rPr>
                <w:rFonts w:cstheme="minorHAnsi"/>
                <w:sz w:val="20"/>
                <w:szCs w:val="20"/>
              </w:rPr>
            </w:pPr>
            <w:r w:rsidRPr="00FB4297">
              <w:rPr>
                <w:rFonts w:cstheme="minorHAnsi"/>
                <w:spacing w:val="-2"/>
                <w:w w:val="105"/>
                <w:sz w:val="20"/>
                <w:szCs w:val="20"/>
              </w:rPr>
              <w:t>Cambridge</w:t>
            </w:r>
          </w:p>
        </w:tc>
        <w:tc>
          <w:tcPr>
            <w:tcW w:w="1870" w:type="dxa"/>
          </w:tcPr>
          <w:p w14:paraId="064EED86" w14:textId="2A87C684" w:rsidR="009723EE" w:rsidRPr="00FB4297" w:rsidRDefault="00653F35" w:rsidP="005746A3">
            <w:pPr>
              <w:pStyle w:val="TableParagraph"/>
              <w:spacing w:line="174" w:lineRule="exact"/>
              <w:ind w:right="489"/>
              <w:rPr>
                <w:rFonts w:cstheme="minorHAnsi"/>
                <w:sz w:val="20"/>
                <w:szCs w:val="20"/>
              </w:rPr>
            </w:pPr>
            <w:r>
              <w:rPr>
                <w:rFonts w:cstheme="minorHAnsi"/>
                <w:spacing w:val="-5"/>
                <w:w w:val="105"/>
                <w:sz w:val="20"/>
                <w:szCs w:val="20"/>
              </w:rPr>
              <w:t>117</w:t>
            </w:r>
          </w:p>
        </w:tc>
        <w:tc>
          <w:tcPr>
            <w:tcW w:w="1914" w:type="dxa"/>
          </w:tcPr>
          <w:p w14:paraId="1CFADB3D" w14:textId="35D78F0B" w:rsidR="009723EE" w:rsidRPr="00FB4297" w:rsidRDefault="00653F35" w:rsidP="005746A3">
            <w:pPr>
              <w:pStyle w:val="TableParagraph"/>
              <w:spacing w:line="174" w:lineRule="exact"/>
              <w:ind w:right="511"/>
              <w:rPr>
                <w:rFonts w:cstheme="minorHAnsi"/>
                <w:sz w:val="20"/>
                <w:szCs w:val="20"/>
              </w:rPr>
            </w:pPr>
            <w:r>
              <w:rPr>
                <w:rFonts w:cstheme="minorHAnsi"/>
                <w:spacing w:val="-5"/>
                <w:w w:val="105"/>
                <w:sz w:val="20"/>
                <w:szCs w:val="20"/>
              </w:rPr>
              <w:t>37</w:t>
            </w:r>
          </w:p>
        </w:tc>
        <w:tc>
          <w:tcPr>
            <w:tcW w:w="1903" w:type="dxa"/>
          </w:tcPr>
          <w:p w14:paraId="5EB9776B" w14:textId="77A6AA7A" w:rsidR="009723EE" w:rsidRPr="00FB4297" w:rsidRDefault="00653F35" w:rsidP="00DA676A">
            <w:pPr>
              <w:pStyle w:val="TableParagraph"/>
              <w:rPr>
                <w:rFonts w:cstheme="minorHAnsi"/>
                <w:sz w:val="20"/>
                <w:szCs w:val="20"/>
              </w:rPr>
            </w:pPr>
            <w:r>
              <w:rPr>
                <w:rFonts w:cstheme="minorHAnsi"/>
                <w:sz w:val="20"/>
                <w:szCs w:val="20"/>
              </w:rPr>
              <w:t>1</w:t>
            </w:r>
          </w:p>
        </w:tc>
        <w:tc>
          <w:tcPr>
            <w:tcW w:w="1958" w:type="dxa"/>
          </w:tcPr>
          <w:p w14:paraId="0C272FEC" w14:textId="546843AC" w:rsidR="009723EE" w:rsidRPr="00FB4297" w:rsidRDefault="00653F35" w:rsidP="00DA676A">
            <w:pPr>
              <w:pStyle w:val="TableParagraph"/>
              <w:rPr>
                <w:rFonts w:cstheme="minorHAnsi"/>
                <w:sz w:val="20"/>
                <w:szCs w:val="20"/>
              </w:rPr>
            </w:pPr>
            <w:r>
              <w:rPr>
                <w:rFonts w:cstheme="minorHAnsi"/>
                <w:sz w:val="20"/>
                <w:szCs w:val="20"/>
              </w:rPr>
              <w:t>1</w:t>
            </w:r>
          </w:p>
        </w:tc>
      </w:tr>
      <w:tr w:rsidR="009723EE" w:rsidRPr="00FB4297" w14:paraId="2C31EBA7" w14:textId="77777777" w:rsidTr="00DA676A">
        <w:trPr>
          <w:trHeight w:val="194"/>
        </w:trPr>
        <w:tc>
          <w:tcPr>
            <w:tcW w:w="2585" w:type="dxa"/>
          </w:tcPr>
          <w:p w14:paraId="271AC235" w14:textId="77777777" w:rsidR="009723EE" w:rsidRPr="00FB4297" w:rsidRDefault="009723EE" w:rsidP="00DA676A">
            <w:pPr>
              <w:pStyle w:val="TableParagraph"/>
              <w:spacing w:line="174" w:lineRule="exact"/>
              <w:ind w:left="25"/>
              <w:rPr>
                <w:rFonts w:cstheme="minorHAnsi"/>
                <w:sz w:val="20"/>
                <w:szCs w:val="20"/>
              </w:rPr>
            </w:pPr>
            <w:r w:rsidRPr="00FB4297">
              <w:rPr>
                <w:rFonts w:cstheme="minorHAnsi"/>
                <w:w w:val="105"/>
                <w:sz w:val="20"/>
                <w:szCs w:val="20"/>
              </w:rPr>
              <w:t>CGMH,</w:t>
            </w:r>
            <w:r w:rsidRPr="00FB4297">
              <w:rPr>
                <w:rFonts w:cstheme="minorHAnsi"/>
                <w:spacing w:val="-1"/>
                <w:w w:val="105"/>
                <w:sz w:val="20"/>
                <w:szCs w:val="20"/>
              </w:rPr>
              <w:t xml:space="preserve"> </w:t>
            </w:r>
            <w:r w:rsidRPr="00FB4297">
              <w:rPr>
                <w:rFonts w:cstheme="minorHAnsi"/>
                <w:spacing w:val="-2"/>
                <w:w w:val="105"/>
                <w:sz w:val="20"/>
                <w:szCs w:val="20"/>
              </w:rPr>
              <w:t>Taipei</w:t>
            </w:r>
          </w:p>
        </w:tc>
        <w:tc>
          <w:tcPr>
            <w:tcW w:w="1870" w:type="dxa"/>
          </w:tcPr>
          <w:p w14:paraId="4899216D" w14:textId="299771B6" w:rsidR="009723EE" w:rsidRPr="00FB4297" w:rsidRDefault="00653F35" w:rsidP="00DA676A">
            <w:pPr>
              <w:pStyle w:val="TableParagraph"/>
              <w:spacing w:line="174" w:lineRule="exact"/>
              <w:ind w:left="23"/>
              <w:rPr>
                <w:rFonts w:cstheme="minorHAnsi"/>
                <w:sz w:val="20"/>
                <w:szCs w:val="20"/>
              </w:rPr>
            </w:pPr>
            <w:r>
              <w:rPr>
                <w:rFonts w:cstheme="minorHAnsi"/>
                <w:w w:val="103"/>
                <w:sz w:val="20"/>
                <w:szCs w:val="20"/>
              </w:rPr>
              <w:t>11</w:t>
            </w:r>
          </w:p>
        </w:tc>
        <w:tc>
          <w:tcPr>
            <w:tcW w:w="1914" w:type="dxa"/>
          </w:tcPr>
          <w:p w14:paraId="35A438F3" w14:textId="77777777" w:rsidR="009723EE" w:rsidRPr="00FB4297" w:rsidRDefault="009723EE" w:rsidP="00DA676A">
            <w:pPr>
              <w:pStyle w:val="TableParagraph"/>
              <w:spacing w:line="174" w:lineRule="exact"/>
              <w:ind w:left="23"/>
              <w:rPr>
                <w:rFonts w:cstheme="minorHAnsi"/>
                <w:sz w:val="20"/>
                <w:szCs w:val="20"/>
              </w:rPr>
            </w:pPr>
            <w:r w:rsidRPr="00FB4297">
              <w:rPr>
                <w:rFonts w:cstheme="minorHAnsi"/>
                <w:w w:val="103"/>
                <w:sz w:val="20"/>
                <w:szCs w:val="20"/>
              </w:rPr>
              <w:t>4</w:t>
            </w:r>
          </w:p>
        </w:tc>
        <w:tc>
          <w:tcPr>
            <w:tcW w:w="1903" w:type="dxa"/>
          </w:tcPr>
          <w:p w14:paraId="7829A0C2" w14:textId="7D18FC56" w:rsidR="009723EE" w:rsidRPr="00FB4297" w:rsidRDefault="00653F35" w:rsidP="00DA676A">
            <w:pPr>
              <w:pStyle w:val="TableParagraph"/>
              <w:rPr>
                <w:rFonts w:cstheme="minorHAnsi"/>
                <w:sz w:val="20"/>
                <w:szCs w:val="20"/>
              </w:rPr>
            </w:pPr>
            <w:r>
              <w:rPr>
                <w:rFonts w:cstheme="minorHAnsi"/>
                <w:sz w:val="20"/>
                <w:szCs w:val="20"/>
              </w:rPr>
              <w:t>0</w:t>
            </w:r>
          </w:p>
        </w:tc>
        <w:tc>
          <w:tcPr>
            <w:tcW w:w="1958" w:type="dxa"/>
          </w:tcPr>
          <w:p w14:paraId="7009348D" w14:textId="7A29C408" w:rsidR="009723EE" w:rsidRPr="00FB4297" w:rsidRDefault="00653F35" w:rsidP="00DA676A">
            <w:pPr>
              <w:pStyle w:val="TableParagraph"/>
              <w:rPr>
                <w:rFonts w:cstheme="minorHAnsi"/>
                <w:sz w:val="20"/>
                <w:szCs w:val="20"/>
              </w:rPr>
            </w:pPr>
            <w:r>
              <w:rPr>
                <w:rFonts w:cstheme="minorHAnsi"/>
                <w:sz w:val="20"/>
                <w:szCs w:val="20"/>
              </w:rPr>
              <w:t>0</w:t>
            </w:r>
          </w:p>
        </w:tc>
      </w:tr>
      <w:tr w:rsidR="009723EE" w:rsidRPr="00FB4297" w14:paraId="2189978E" w14:textId="77777777" w:rsidTr="00DA676A">
        <w:trPr>
          <w:trHeight w:val="193"/>
        </w:trPr>
        <w:tc>
          <w:tcPr>
            <w:tcW w:w="2585" w:type="dxa"/>
          </w:tcPr>
          <w:p w14:paraId="122A24D6" w14:textId="77777777" w:rsidR="009723EE" w:rsidRPr="00FB4297" w:rsidRDefault="009723EE" w:rsidP="00DA676A">
            <w:pPr>
              <w:pStyle w:val="TableParagraph"/>
              <w:spacing w:line="174" w:lineRule="exact"/>
              <w:ind w:left="25"/>
              <w:rPr>
                <w:rFonts w:cstheme="minorHAnsi"/>
                <w:sz w:val="20"/>
                <w:szCs w:val="20"/>
              </w:rPr>
            </w:pPr>
            <w:r w:rsidRPr="00FB4297">
              <w:rPr>
                <w:rFonts w:cstheme="minorHAnsi"/>
                <w:spacing w:val="-2"/>
                <w:w w:val="105"/>
                <w:sz w:val="20"/>
                <w:szCs w:val="20"/>
              </w:rPr>
              <w:t>Maryland</w:t>
            </w:r>
          </w:p>
        </w:tc>
        <w:tc>
          <w:tcPr>
            <w:tcW w:w="1870" w:type="dxa"/>
          </w:tcPr>
          <w:p w14:paraId="75D3DDEF" w14:textId="77777777" w:rsidR="009723EE" w:rsidRPr="00FB4297" w:rsidRDefault="009723EE" w:rsidP="00DA676A">
            <w:pPr>
              <w:pStyle w:val="TableParagraph"/>
              <w:spacing w:line="174" w:lineRule="exact"/>
              <w:ind w:left="23"/>
              <w:rPr>
                <w:rFonts w:cstheme="minorHAnsi"/>
                <w:sz w:val="20"/>
                <w:szCs w:val="20"/>
              </w:rPr>
            </w:pPr>
            <w:r w:rsidRPr="00FB4297">
              <w:rPr>
                <w:rFonts w:cstheme="minorHAnsi"/>
                <w:w w:val="103"/>
                <w:sz w:val="20"/>
                <w:szCs w:val="20"/>
              </w:rPr>
              <w:t>2</w:t>
            </w:r>
          </w:p>
        </w:tc>
        <w:tc>
          <w:tcPr>
            <w:tcW w:w="1914" w:type="dxa"/>
          </w:tcPr>
          <w:p w14:paraId="5BF622DE" w14:textId="77777777" w:rsidR="009723EE" w:rsidRPr="00FB4297" w:rsidRDefault="009723EE" w:rsidP="00DA676A">
            <w:pPr>
              <w:pStyle w:val="TableParagraph"/>
              <w:spacing w:line="174" w:lineRule="exact"/>
              <w:ind w:left="23"/>
              <w:rPr>
                <w:rFonts w:cstheme="minorHAnsi"/>
                <w:sz w:val="20"/>
                <w:szCs w:val="20"/>
              </w:rPr>
            </w:pPr>
            <w:r w:rsidRPr="00FB4297">
              <w:rPr>
                <w:rFonts w:cstheme="minorHAnsi"/>
                <w:w w:val="103"/>
                <w:sz w:val="20"/>
                <w:szCs w:val="20"/>
              </w:rPr>
              <w:t>0</w:t>
            </w:r>
          </w:p>
        </w:tc>
        <w:tc>
          <w:tcPr>
            <w:tcW w:w="1903" w:type="dxa"/>
          </w:tcPr>
          <w:p w14:paraId="0CA48108" w14:textId="06BD7AA1" w:rsidR="009723EE" w:rsidRPr="00FB4297" w:rsidRDefault="00653F35" w:rsidP="00DA676A">
            <w:pPr>
              <w:pStyle w:val="TableParagraph"/>
              <w:rPr>
                <w:rFonts w:cstheme="minorHAnsi"/>
                <w:sz w:val="20"/>
                <w:szCs w:val="20"/>
              </w:rPr>
            </w:pPr>
            <w:r>
              <w:rPr>
                <w:rFonts w:cstheme="minorHAnsi"/>
                <w:sz w:val="20"/>
                <w:szCs w:val="20"/>
              </w:rPr>
              <w:t>0</w:t>
            </w:r>
          </w:p>
        </w:tc>
        <w:tc>
          <w:tcPr>
            <w:tcW w:w="1958" w:type="dxa"/>
          </w:tcPr>
          <w:p w14:paraId="1DF6D657" w14:textId="55C77074" w:rsidR="009723EE" w:rsidRPr="00FB4297" w:rsidRDefault="00653F35" w:rsidP="00DA676A">
            <w:pPr>
              <w:pStyle w:val="TableParagraph"/>
              <w:rPr>
                <w:rFonts w:cstheme="minorHAnsi"/>
                <w:sz w:val="20"/>
                <w:szCs w:val="20"/>
              </w:rPr>
            </w:pPr>
            <w:r>
              <w:rPr>
                <w:rFonts w:cstheme="minorHAnsi"/>
                <w:sz w:val="20"/>
                <w:szCs w:val="20"/>
              </w:rPr>
              <w:t>0</w:t>
            </w:r>
          </w:p>
        </w:tc>
      </w:tr>
      <w:tr w:rsidR="009723EE" w:rsidRPr="00FB4297" w14:paraId="06F757FE" w14:textId="77777777" w:rsidTr="00DA676A">
        <w:trPr>
          <w:trHeight w:val="194"/>
        </w:trPr>
        <w:tc>
          <w:tcPr>
            <w:tcW w:w="2585" w:type="dxa"/>
          </w:tcPr>
          <w:p w14:paraId="3687F528" w14:textId="77777777" w:rsidR="009723EE" w:rsidRPr="00FB4297" w:rsidRDefault="009723EE" w:rsidP="00DA676A">
            <w:pPr>
              <w:pStyle w:val="TableParagraph"/>
              <w:spacing w:line="174" w:lineRule="exact"/>
              <w:ind w:left="25"/>
              <w:rPr>
                <w:rFonts w:cstheme="minorHAnsi"/>
                <w:sz w:val="20"/>
                <w:szCs w:val="20"/>
              </w:rPr>
            </w:pPr>
            <w:r w:rsidRPr="00FB4297">
              <w:rPr>
                <w:rFonts w:cstheme="minorHAnsi"/>
                <w:w w:val="105"/>
                <w:sz w:val="20"/>
                <w:szCs w:val="20"/>
              </w:rPr>
              <w:t>MD</w:t>
            </w:r>
            <w:r w:rsidRPr="00FB4297">
              <w:rPr>
                <w:rFonts w:cstheme="minorHAnsi"/>
                <w:spacing w:val="3"/>
                <w:w w:val="105"/>
                <w:sz w:val="20"/>
                <w:szCs w:val="20"/>
              </w:rPr>
              <w:t xml:space="preserve"> </w:t>
            </w:r>
            <w:r w:rsidRPr="00FB4297">
              <w:rPr>
                <w:rFonts w:cstheme="minorHAnsi"/>
                <w:spacing w:val="-2"/>
                <w:w w:val="105"/>
                <w:sz w:val="20"/>
                <w:szCs w:val="20"/>
              </w:rPr>
              <w:t>Anderson</w:t>
            </w:r>
          </w:p>
        </w:tc>
        <w:tc>
          <w:tcPr>
            <w:tcW w:w="1870" w:type="dxa"/>
          </w:tcPr>
          <w:p w14:paraId="18D4DFD1" w14:textId="77777777" w:rsidR="009723EE" w:rsidRPr="00FB4297" w:rsidRDefault="009723EE" w:rsidP="00DA676A">
            <w:pPr>
              <w:pStyle w:val="TableParagraph"/>
              <w:spacing w:line="174" w:lineRule="exact"/>
              <w:ind w:left="23"/>
              <w:rPr>
                <w:rFonts w:cstheme="minorHAnsi"/>
                <w:sz w:val="20"/>
                <w:szCs w:val="20"/>
              </w:rPr>
            </w:pPr>
            <w:r w:rsidRPr="00FB4297">
              <w:rPr>
                <w:rFonts w:cstheme="minorHAnsi"/>
                <w:w w:val="103"/>
                <w:sz w:val="20"/>
                <w:szCs w:val="20"/>
              </w:rPr>
              <w:t>6</w:t>
            </w:r>
          </w:p>
        </w:tc>
        <w:tc>
          <w:tcPr>
            <w:tcW w:w="1914" w:type="dxa"/>
          </w:tcPr>
          <w:p w14:paraId="399B1810" w14:textId="77777777" w:rsidR="009723EE" w:rsidRPr="00FB4297" w:rsidRDefault="009723EE" w:rsidP="00DA676A">
            <w:pPr>
              <w:pStyle w:val="TableParagraph"/>
              <w:spacing w:line="174" w:lineRule="exact"/>
              <w:ind w:left="23"/>
              <w:rPr>
                <w:rFonts w:cstheme="minorHAnsi"/>
                <w:sz w:val="20"/>
                <w:szCs w:val="20"/>
              </w:rPr>
            </w:pPr>
            <w:r w:rsidRPr="00FB4297">
              <w:rPr>
                <w:rFonts w:cstheme="minorHAnsi"/>
                <w:w w:val="103"/>
                <w:sz w:val="20"/>
                <w:szCs w:val="20"/>
              </w:rPr>
              <w:t>3</w:t>
            </w:r>
          </w:p>
        </w:tc>
        <w:tc>
          <w:tcPr>
            <w:tcW w:w="1903" w:type="dxa"/>
          </w:tcPr>
          <w:p w14:paraId="0DF6EE10" w14:textId="6B3799B0" w:rsidR="009723EE" w:rsidRPr="00FB4297" w:rsidRDefault="00653F35" w:rsidP="00DA676A">
            <w:pPr>
              <w:pStyle w:val="TableParagraph"/>
              <w:rPr>
                <w:rFonts w:cstheme="minorHAnsi"/>
                <w:sz w:val="20"/>
                <w:szCs w:val="20"/>
              </w:rPr>
            </w:pPr>
            <w:r>
              <w:rPr>
                <w:rFonts w:cstheme="minorHAnsi"/>
                <w:sz w:val="20"/>
                <w:szCs w:val="20"/>
              </w:rPr>
              <w:t>0</w:t>
            </w:r>
          </w:p>
        </w:tc>
        <w:tc>
          <w:tcPr>
            <w:tcW w:w="1958" w:type="dxa"/>
          </w:tcPr>
          <w:p w14:paraId="5517A3E4" w14:textId="54FBE78F" w:rsidR="009723EE" w:rsidRPr="00FB4297" w:rsidRDefault="00653F35" w:rsidP="00DA676A">
            <w:pPr>
              <w:pStyle w:val="TableParagraph"/>
              <w:rPr>
                <w:rFonts w:cstheme="minorHAnsi"/>
                <w:sz w:val="20"/>
                <w:szCs w:val="20"/>
              </w:rPr>
            </w:pPr>
            <w:r>
              <w:rPr>
                <w:rFonts w:cstheme="minorHAnsi"/>
                <w:sz w:val="20"/>
                <w:szCs w:val="20"/>
              </w:rPr>
              <w:t>0</w:t>
            </w:r>
          </w:p>
        </w:tc>
      </w:tr>
      <w:tr w:rsidR="009723EE" w:rsidRPr="00FB4297" w14:paraId="3AED8655" w14:textId="77777777" w:rsidTr="00DA676A">
        <w:trPr>
          <w:trHeight w:val="193"/>
        </w:trPr>
        <w:tc>
          <w:tcPr>
            <w:tcW w:w="2585" w:type="dxa"/>
          </w:tcPr>
          <w:p w14:paraId="59F76FE8" w14:textId="77777777" w:rsidR="009723EE" w:rsidRPr="00FB4297" w:rsidRDefault="009723EE" w:rsidP="00DA676A">
            <w:pPr>
              <w:pStyle w:val="TableParagraph"/>
              <w:spacing w:line="174" w:lineRule="exact"/>
              <w:ind w:left="25"/>
              <w:rPr>
                <w:rFonts w:cstheme="minorHAnsi"/>
                <w:sz w:val="20"/>
                <w:szCs w:val="20"/>
              </w:rPr>
            </w:pPr>
            <w:r w:rsidRPr="00FB4297">
              <w:rPr>
                <w:rFonts w:cstheme="minorHAnsi"/>
                <w:spacing w:val="-4"/>
                <w:w w:val="105"/>
                <w:sz w:val="20"/>
                <w:szCs w:val="20"/>
              </w:rPr>
              <w:t>MSKCC</w:t>
            </w:r>
          </w:p>
        </w:tc>
        <w:tc>
          <w:tcPr>
            <w:tcW w:w="1870" w:type="dxa"/>
          </w:tcPr>
          <w:p w14:paraId="048CFFCF" w14:textId="31F22F5B" w:rsidR="009723EE" w:rsidRPr="00FB4297" w:rsidRDefault="00653F35" w:rsidP="005746A3">
            <w:pPr>
              <w:pStyle w:val="TableParagraph"/>
              <w:spacing w:line="174" w:lineRule="exact"/>
              <w:ind w:right="489"/>
              <w:rPr>
                <w:rFonts w:cstheme="minorHAnsi"/>
                <w:sz w:val="20"/>
                <w:szCs w:val="20"/>
              </w:rPr>
            </w:pPr>
            <w:r>
              <w:rPr>
                <w:rFonts w:cstheme="minorHAnsi"/>
                <w:spacing w:val="-5"/>
                <w:w w:val="105"/>
                <w:sz w:val="20"/>
                <w:szCs w:val="20"/>
              </w:rPr>
              <w:t>35</w:t>
            </w:r>
          </w:p>
        </w:tc>
        <w:tc>
          <w:tcPr>
            <w:tcW w:w="1914" w:type="dxa"/>
          </w:tcPr>
          <w:p w14:paraId="303E6A96" w14:textId="77777777" w:rsidR="009723EE" w:rsidRPr="00FB4297" w:rsidRDefault="009723EE" w:rsidP="005746A3">
            <w:pPr>
              <w:pStyle w:val="TableParagraph"/>
              <w:spacing w:line="174" w:lineRule="exact"/>
              <w:ind w:right="511"/>
              <w:rPr>
                <w:rFonts w:cstheme="minorHAnsi"/>
                <w:sz w:val="20"/>
                <w:szCs w:val="20"/>
              </w:rPr>
            </w:pPr>
            <w:r w:rsidRPr="00FB4297">
              <w:rPr>
                <w:rFonts w:cstheme="minorHAnsi"/>
                <w:spacing w:val="-5"/>
                <w:w w:val="105"/>
                <w:sz w:val="20"/>
                <w:szCs w:val="20"/>
              </w:rPr>
              <w:t>11</w:t>
            </w:r>
          </w:p>
        </w:tc>
        <w:tc>
          <w:tcPr>
            <w:tcW w:w="1903" w:type="dxa"/>
          </w:tcPr>
          <w:p w14:paraId="658BD3C8" w14:textId="65C4737A" w:rsidR="009723EE" w:rsidRPr="00FB4297" w:rsidRDefault="00653F35" w:rsidP="00DA676A">
            <w:pPr>
              <w:pStyle w:val="TableParagraph"/>
              <w:rPr>
                <w:rFonts w:cstheme="minorHAnsi"/>
                <w:sz w:val="20"/>
                <w:szCs w:val="20"/>
              </w:rPr>
            </w:pPr>
            <w:r>
              <w:rPr>
                <w:rFonts w:cstheme="minorHAnsi"/>
                <w:sz w:val="20"/>
                <w:szCs w:val="20"/>
              </w:rPr>
              <w:t>0</w:t>
            </w:r>
          </w:p>
        </w:tc>
        <w:tc>
          <w:tcPr>
            <w:tcW w:w="1958" w:type="dxa"/>
          </w:tcPr>
          <w:p w14:paraId="404890F3" w14:textId="455B0CCD" w:rsidR="009723EE" w:rsidRPr="00FB4297" w:rsidRDefault="00653F35" w:rsidP="00DA676A">
            <w:pPr>
              <w:pStyle w:val="TableParagraph"/>
              <w:rPr>
                <w:rFonts w:cstheme="minorHAnsi"/>
                <w:sz w:val="20"/>
                <w:szCs w:val="20"/>
              </w:rPr>
            </w:pPr>
            <w:r>
              <w:rPr>
                <w:rFonts w:cstheme="minorHAnsi"/>
                <w:sz w:val="20"/>
                <w:szCs w:val="20"/>
              </w:rPr>
              <w:t>0</w:t>
            </w:r>
          </w:p>
        </w:tc>
      </w:tr>
      <w:tr w:rsidR="009723EE" w:rsidRPr="00FB4297" w14:paraId="5A0AC2E7" w14:textId="77777777" w:rsidTr="00DA676A">
        <w:trPr>
          <w:trHeight w:val="193"/>
        </w:trPr>
        <w:tc>
          <w:tcPr>
            <w:tcW w:w="2585" w:type="dxa"/>
          </w:tcPr>
          <w:p w14:paraId="45472C5E" w14:textId="77777777" w:rsidR="009723EE" w:rsidRPr="00FB4297" w:rsidRDefault="009723EE" w:rsidP="00DA676A">
            <w:pPr>
              <w:pStyle w:val="TableParagraph"/>
              <w:spacing w:line="174" w:lineRule="exact"/>
              <w:ind w:left="25"/>
              <w:rPr>
                <w:rFonts w:cstheme="minorHAnsi"/>
                <w:sz w:val="20"/>
                <w:szCs w:val="20"/>
              </w:rPr>
            </w:pPr>
            <w:r w:rsidRPr="00FB4297">
              <w:rPr>
                <w:rFonts w:cstheme="minorHAnsi"/>
                <w:spacing w:val="-2"/>
                <w:w w:val="105"/>
                <w:sz w:val="20"/>
                <w:szCs w:val="20"/>
              </w:rPr>
              <w:t>Nottingham</w:t>
            </w:r>
          </w:p>
        </w:tc>
        <w:tc>
          <w:tcPr>
            <w:tcW w:w="1870" w:type="dxa"/>
          </w:tcPr>
          <w:p w14:paraId="567DE28C" w14:textId="330F808A" w:rsidR="009723EE" w:rsidRPr="00FB4297" w:rsidRDefault="00653F35" w:rsidP="00FB4297">
            <w:pPr>
              <w:pStyle w:val="TableParagraph"/>
              <w:spacing w:line="174" w:lineRule="exact"/>
              <w:ind w:right="489"/>
              <w:rPr>
                <w:rFonts w:cstheme="minorHAnsi"/>
                <w:sz w:val="20"/>
                <w:szCs w:val="20"/>
              </w:rPr>
            </w:pPr>
            <w:r>
              <w:rPr>
                <w:rFonts w:cstheme="minorHAnsi"/>
                <w:spacing w:val="-5"/>
                <w:w w:val="105"/>
                <w:sz w:val="20"/>
                <w:szCs w:val="20"/>
              </w:rPr>
              <w:t>24</w:t>
            </w:r>
          </w:p>
        </w:tc>
        <w:tc>
          <w:tcPr>
            <w:tcW w:w="1914" w:type="dxa"/>
          </w:tcPr>
          <w:p w14:paraId="3668EAE1" w14:textId="74C2F6BC" w:rsidR="009723EE" w:rsidRPr="00FB4297" w:rsidRDefault="00653F35" w:rsidP="00DA676A">
            <w:pPr>
              <w:pStyle w:val="TableParagraph"/>
              <w:spacing w:line="174" w:lineRule="exact"/>
              <w:ind w:left="23"/>
              <w:rPr>
                <w:rFonts w:cstheme="minorHAnsi"/>
                <w:sz w:val="20"/>
                <w:szCs w:val="20"/>
              </w:rPr>
            </w:pPr>
            <w:r>
              <w:rPr>
                <w:rFonts w:cstheme="minorHAnsi"/>
                <w:w w:val="103"/>
                <w:sz w:val="20"/>
                <w:szCs w:val="20"/>
              </w:rPr>
              <w:t>1</w:t>
            </w:r>
          </w:p>
        </w:tc>
        <w:tc>
          <w:tcPr>
            <w:tcW w:w="1903" w:type="dxa"/>
          </w:tcPr>
          <w:p w14:paraId="7207814B" w14:textId="1D10B7EB" w:rsidR="009723EE" w:rsidRPr="00FB4297" w:rsidRDefault="00653F35" w:rsidP="00DA676A">
            <w:pPr>
              <w:pStyle w:val="TableParagraph"/>
              <w:rPr>
                <w:rFonts w:cstheme="minorHAnsi"/>
                <w:sz w:val="20"/>
                <w:szCs w:val="20"/>
              </w:rPr>
            </w:pPr>
            <w:r>
              <w:rPr>
                <w:rFonts w:cstheme="minorHAnsi"/>
                <w:sz w:val="20"/>
                <w:szCs w:val="20"/>
              </w:rPr>
              <w:t>0</w:t>
            </w:r>
          </w:p>
        </w:tc>
        <w:tc>
          <w:tcPr>
            <w:tcW w:w="1958" w:type="dxa"/>
          </w:tcPr>
          <w:p w14:paraId="24F805FF" w14:textId="33E38F04" w:rsidR="009723EE" w:rsidRPr="00FB4297" w:rsidRDefault="00653F35" w:rsidP="00DA676A">
            <w:pPr>
              <w:pStyle w:val="TableParagraph"/>
              <w:rPr>
                <w:rFonts w:cstheme="minorHAnsi"/>
                <w:sz w:val="20"/>
                <w:szCs w:val="20"/>
              </w:rPr>
            </w:pPr>
            <w:r>
              <w:rPr>
                <w:rFonts w:cstheme="minorHAnsi"/>
                <w:sz w:val="20"/>
                <w:szCs w:val="20"/>
              </w:rPr>
              <w:t>0</w:t>
            </w:r>
          </w:p>
        </w:tc>
      </w:tr>
      <w:tr w:rsidR="009723EE" w:rsidRPr="00FB4297" w14:paraId="0165EE25" w14:textId="77777777" w:rsidTr="00DA676A">
        <w:trPr>
          <w:trHeight w:val="194"/>
        </w:trPr>
        <w:tc>
          <w:tcPr>
            <w:tcW w:w="2585" w:type="dxa"/>
          </w:tcPr>
          <w:p w14:paraId="69E40BC1" w14:textId="77777777" w:rsidR="009723EE" w:rsidRPr="00FB4297" w:rsidRDefault="009723EE" w:rsidP="00DA676A">
            <w:pPr>
              <w:pStyle w:val="TableParagraph"/>
              <w:spacing w:line="174" w:lineRule="exact"/>
              <w:ind w:left="25"/>
              <w:rPr>
                <w:rFonts w:cstheme="minorHAnsi"/>
                <w:sz w:val="20"/>
                <w:szCs w:val="20"/>
              </w:rPr>
            </w:pPr>
            <w:r w:rsidRPr="00FB4297">
              <w:rPr>
                <w:rFonts w:cstheme="minorHAnsi"/>
                <w:spacing w:val="-2"/>
                <w:w w:val="105"/>
                <w:sz w:val="20"/>
                <w:szCs w:val="20"/>
              </w:rPr>
              <w:t>Oxford</w:t>
            </w:r>
          </w:p>
        </w:tc>
        <w:tc>
          <w:tcPr>
            <w:tcW w:w="1870" w:type="dxa"/>
          </w:tcPr>
          <w:p w14:paraId="6CA3E445" w14:textId="76808ADF" w:rsidR="009723EE" w:rsidRPr="00FB4297" w:rsidRDefault="00653F35" w:rsidP="00FB4297">
            <w:pPr>
              <w:pStyle w:val="TableParagraph"/>
              <w:spacing w:line="174" w:lineRule="exact"/>
              <w:ind w:right="489"/>
              <w:rPr>
                <w:rFonts w:cstheme="minorHAnsi"/>
                <w:sz w:val="20"/>
                <w:szCs w:val="20"/>
              </w:rPr>
            </w:pPr>
            <w:r>
              <w:rPr>
                <w:rFonts w:cstheme="minorHAnsi"/>
                <w:spacing w:val="-5"/>
                <w:w w:val="105"/>
                <w:sz w:val="20"/>
                <w:szCs w:val="20"/>
              </w:rPr>
              <w:t>59</w:t>
            </w:r>
          </w:p>
        </w:tc>
        <w:tc>
          <w:tcPr>
            <w:tcW w:w="1914" w:type="dxa"/>
          </w:tcPr>
          <w:p w14:paraId="66792041" w14:textId="3C5C8187" w:rsidR="009723EE" w:rsidRPr="00FB4297" w:rsidRDefault="00653F35" w:rsidP="00FB4297">
            <w:pPr>
              <w:pStyle w:val="TableParagraph"/>
              <w:spacing w:line="174" w:lineRule="exact"/>
              <w:ind w:right="511"/>
              <w:rPr>
                <w:rFonts w:cstheme="minorHAnsi"/>
                <w:sz w:val="20"/>
                <w:szCs w:val="20"/>
              </w:rPr>
            </w:pPr>
            <w:r>
              <w:rPr>
                <w:rFonts w:cstheme="minorHAnsi"/>
                <w:spacing w:val="-5"/>
                <w:w w:val="105"/>
                <w:sz w:val="20"/>
                <w:szCs w:val="20"/>
              </w:rPr>
              <w:t>23</w:t>
            </w:r>
          </w:p>
        </w:tc>
        <w:tc>
          <w:tcPr>
            <w:tcW w:w="1903" w:type="dxa"/>
          </w:tcPr>
          <w:p w14:paraId="4FD73AC0" w14:textId="50E414EA" w:rsidR="009723EE" w:rsidRPr="00FB4297" w:rsidRDefault="00653F35" w:rsidP="00DA676A">
            <w:pPr>
              <w:pStyle w:val="TableParagraph"/>
              <w:rPr>
                <w:rFonts w:cstheme="minorHAnsi"/>
                <w:sz w:val="20"/>
                <w:szCs w:val="20"/>
              </w:rPr>
            </w:pPr>
            <w:r>
              <w:rPr>
                <w:rFonts w:cstheme="minorHAnsi"/>
                <w:sz w:val="20"/>
                <w:szCs w:val="20"/>
              </w:rPr>
              <w:t>1</w:t>
            </w:r>
          </w:p>
        </w:tc>
        <w:tc>
          <w:tcPr>
            <w:tcW w:w="1958" w:type="dxa"/>
          </w:tcPr>
          <w:p w14:paraId="0EF5A920" w14:textId="326E80C9" w:rsidR="009723EE" w:rsidRPr="00FB4297" w:rsidRDefault="00653F35" w:rsidP="00DA676A">
            <w:pPr>
              <w:pStyle w:val="TableParagraph"/>
              <w:rPr>
                <w:rFonts w:cstheme="minorHAnsi"/>
                <w:sz w:val="20"/>
                <w:szCs w:val="20"/>
              </w:rPr>
            </w:pPr>
            <w:r>
              <w:rPr>
                <w:rFonts w:cstheme="minorHAnsi"/>
                <w:sz w:val="20"/>
                <w:szCs w:val="20"/>
              </w:rPr>
              <w:t>0</w:t>
            </w:r>
          </w:p>
        </w:tc>
      </w:tr>
      <w:tr w:rsidR="009723EE" w:rsidRPr="00FB4297" w14:paraId="3715F282" w14:textId="77777777" w:rsidTr="00DA676A">
        <w:trPr>
          <w:trHeight w:val="193"/>
        </w:trPr>
        <w:tc>
          <w:tcPr>
            <w:tcW w:w="2585" w:type="dxa"/>
          </w:tcPr>
          <w:p w14:paraId="3E6DB9CA" w14:textId="77777777" w:rsidR="009723EE" w:rsidRPr="00FB4297" w:rsidRDefault="009723EE" w:rsidP="00DA676A">
            <w:pPr>
              <w:pStyle w:val="TableParagraph"/>
              <w:spacing w:line="174" w:lineRule="exact"/>
              <w:ind w:left="25"/>
              <w:rPr>
                <w:rFonts w:cstheme="minorHAnsi"/>
                <w:sz w:val="20"/>
                <w:szCs w:val="20"/>
              </w:rPr>
            </w:pPr>
            <w:r w:rsidRPr="00FB4297">
              <w:rPr>
                <w:rFonts w:cstheme="minorHAnsi"/>
                <w:spacing w:val="-2"/>
                <w:w w:val="105"/>
                <w:sz w:val="20"/>
                <w:szCs w:val="20"/>
              </w:rPr>
              <w:t>Singapore</w:t>
            </w:r>
          </w:p>
        </w:tc>
        <w:tc>
          <w:tcPr>
            <w:tcW w:w="1870" w:type="dxa"/>
          </w:tcPr>
          <w:p w14:paraId="127D44A4" w14:textId="77777777" w:rsidR="009723EE" w:rsidRPr="00FB4297" w:rsidRDefault="009723EE" w:rsidP="00DA676A">
            <w:pPr>
              <w:pStyle w:val="TableParagraph"/>
              <w:spacing w:line="174" w:lineRule="exact"/>
              <w:ind w:left="23"/>
              <w:rPr>
                <w:rFonts w:cstheme="minorHAnsi"/>
                <w:sz w:val="20"/>
                <w:szCs w:val="20"/>
              </w:rPr>
            </w:pPr>
            <w:r w:rsidRPr="00FB4297">
              <w:rPr>
                <w:rFonts w:cstheme="minorHAnsi"/>
                <w:w w:val="103"/>
                <w:sz w:val="20"/>
                <w:szCs w:val="20"/>
              </w:rPr>
              <w:t>0</w:t>
            </w:r>
          </w:p>
        </w:tc>
        <w:tc>
          <w:tcPr>
            <w:tcW w:w="1914" w:type="dxa"/>
          </w:tcPr>
          <w:p w14:paraId="6ABF06BE" w14:textId="77777777" w:rsidR="009723EE" w:rsidRPr="00FB4297" w:rsidRDefault="009723EE" w:rsidP="00DA676A">
            <w:pPr>
              <w:pStyle w:val="TableParagraph"/>
              <w:spacing w:line="174" w:lineRule="exact"/>
              <w:ind w:left="23"/>
              <w:rPr>
                <w:rFonts w:cstheme="minorHAnsi"/>
                <w:sz w:val="20"/>
                <w:szCs w:val="20"/>
              </w:rPr>
            </w:pPr>
            <w:r w:rsidRPr="00FB4297">
              <w:rPr>
                <w:rFonts w:cstheme="minorHAnsi"/>
                <w:w w:val="103"/>
                <w:sz w:val="20"/>
                <w:szCs w:val="20"/>
              </w:rPr>
              <w:t>0</w:t>
            </w:r>
          </w:p>
        </w:tc>
        <w:tc>
          <w:tcPr>
            <w:tcW w:w="1903" w:type="dxa"/>
          </w:tcPr>
          <w:p w14:paraId="3D728595" w14:textId="62AFEF1D" w:rsidR="009723EE" w:rsidRPr="00FB4297" w:rsidRDefault="00653F35" w:rsidP="00DA676A">
            <w:pPr>
              <w:pStyle w:val="TableParagraph"/>
              <w:rPr>
                <w:rFonts w:cstheme="minorHAnsi"/>
                <w:sz w:val="20"/>
                <w:szCs w:val="20"/>
              </w:rPr>
            </w:pPr>
            <w:r>
              <w:rPr>
                <w:rFonts w:cstheme="minorHAnsi"/>
                <w:sz w:val="20"/>
                <w:szCs w:val="20"/>
              </w:rPr>
              <w:t>0</w:t>
            </w:r>
          </w:p>
        </w:tc>
        <w:tc>
          <w:tcPr>
            <w:tcW w:w="1958" w:type="dxa"/>
          </w:tcPr>
          <w:p w14:paraId="6D7B87CF" w14:textId="23AD0096" w:rsidR="009723EE" w:rsidRPr="00FB4297" w:rsidRDefault="00653F35" w:rsidP="00DA676A">
            <w:pPr>
              <w:pStyle w:val="TableParagraph"/>
              <w:rPr>
                <w:rFonts w:cstheme="minorHAnsi"/>
                <w:sz w:val="20"/>
                <w:szCs w:val="20"/>
              </w:rPr>
            </w:pPr>
            <w:r>
              <w:rPr>
                <w:rFonts w:cstheme="minorHAnsi"/>
                <w:sz w:val="20"/>
                <w:szCs w:val="20"/>
              </w:rPr>
              <w:t>0</w:t>
            </w:r>
          </w:p>
        </w:tc>
      </w:tr>
      <w:tr w:rsidR="009723EE" w:rsidRPr="00FB4297" w14:paraId="3E79D4AD" w14:textId="77777777" w:rsidTr="00DA676A">
        <w:trPr>
          <w:trHeight w:val="194"/>
        </w:trPr>
        <w:tc>
          <w:tcPr>
            <w:tcW w:w="2585" w:type="dxa"/>
          </w:tcPr>
          <w:p w14:paraId="600524B0" w14:textId="77777777" w:rsidR="009723EE" w:rsidRPr="00FB4297" w:rsidRDefault="009723EE" w:rsidP="00DA676A">
            <w:pPr>
              <w:pStyle w:val="TableParagraph"/>
              <w:spacing w:line="174" w:lineRule="exact"/>
              <w:ind w:left="25"/>
              <w:rPr>
                <w:rFonts w:cstheme="minorHAnsi"/>
                <w:sz w:val="20"/>
                <w:szCs w:val="20"/>
              </w:rPr>
            </w:pPr>
            <w:r w:rsidRPr="00FB4297">
              <w:rPr>
                <w:rFonts w:cstheme="minorHAnsi"/>
                <w:spacing w:val="-2"/>
                <w:w w:val="105"/>
                <w:sz w:val="20"/>
                <w:szCs w:val="20"/>
              </w:rPr>
              <w:t>Stanford</w:t>
            </w:r>
          </w:p>
        </w:tc>
        <w:tc>
          <w:tcPr>
            <w:tcW w:w="1870" w:type="dxa"/>
          </w:tcPr>
          <w:p w14:paraId="405D6E5F" w14:textId="77777777" w:rsidR="009723EE" w:rsidRPr="00FB4297" w:rsidRDefault="009723EE" w:rsidP="00DA676A">
            <w:pPr>
              <w:pStyle w:val="TableParagraph"/>
              <w:spacing w:line="174" w:lineRule="exact"/>
              <w:ind w:left="23"/>
              <w:rPr>
                <w:rFonts w:cstheme="minorHAnsi"/>
                <w:sz w:val="20"/>
                <w:szCs w:val="20"/>
              </w:rPr>
            </w:pPr>
            <w:r w:rsidRPr="00FB4297">
              <w:rPr>
                <w:rFonts w:cstheme="minorHAnsi"/>
                <w:w w:val="103"/>
                <w:sz w:val="20"/>
                <w:szCs w:val="20"/>
              </w:rPr>
              <w:t>4</w:t>
            </w:r>
          </w:p>
        </w:tc>
        <w:tc>
          <w:tcPr>
            <w:tcW w:w="1914" w:type="dxa"/>
          </w:tcPr>
          <w:p w14:paraId="5B6004B5" w14:textId="77777777" w:rsidR="009723EE" w:rsidRPr="00FB4297" w:rsidRDefault="009723EE" w:rsidP="00DA676A">
            <w:pPr>
              <w:pStyle w:val="TableParagraph"/>
              <w:spacing w:line="174" w:lineRule="exact"/>
              <w:ind w:left="23"/>
              <w:rPr>
                <w:rFonts w:cstheme="minorHAnsi"/>
                <w:sz w:val="20"/>
                <w:szCs w:val="20"/>
              </w:rPr>
            </w:pPr>
            <w:r w:rsidRPr="00FB4297">
              <w:rPr>
                <w:rFonts w:cstheme="minorHAnsi"/>
                <w:w w:val="103"/>
                <w:sz w:val="20"/>
                <w:szCs w:val="20"/>
              </w:rPr>
              <w:t>2</w:t>
            </w:r>
          </w:p>
        </w:tc>
        <w:tc>
          <w:tcPr>
            <w:tcW w:w="1903" w:type="dxa"/>
          </w:tcPr>
          <w:p w14:paraId="0DA17790" w14:textId="7811A47F" w:rsidR="009723EE" w:rsidRPr="00FB4297" w:rsidRDefault="00653F35" w:rsidP="00DA676A">
            <w:pPr>
              <w:pStyle w:val="TableParagraph"/>
              <w:rPr>
                <w:rFonts w:cstheme="minorHAnsi"/>
                <w:sz w:val="20"/>
                <w:szCs w:val="20"/>
              </w:rPr>
            </w:pPr>
            <w:r>
              <w:rPr>
                <w:rFonts w:cstheme="minorHAnsi"/>
                <w:sz w:val="20"/>
                <w:szCs w:val="20"/>
              </w:rPr>
              <w:t>0</w:t>
            </w:r>
          </w:p>
        </w:tc>
        <w:tc>
          <w:tcPr>
            <w:tcW w:w="1958" w:type="dxa"/>
          </w:tcPr>
          <w:p w14:paraId="067480B2" w14:textId="48862760" w:rsidR="009723EE" w:rsidRPr="00FB4297" w:rsidRDefault="00653F35" w:rsidP="00DA676A">
            <w:pPr>
              <w:pStyle w:val="TableParagraph"/>
              <w:rPr>
                <w:rFonts w:cstheme="minorHAnsi"/>
                <w:sz w:val="20"/>
                <w:szCs w:val="20"/>
              </w:rPr>
            </w:pPr>
            <w:r>
              <w:rPr>
                <w:rFonts w:cstheme="minorHAnsi"/>
                <w:sz w:val="20"/>
                <w:szCs w:val="20"/>
              </w:rPr>
              <w:t>0</w:t>
            </w:r>
          </w:p>
        </w:tc>
      </w:tr>
      <w:tr w:rsidR="009723EE" w:rsidRPr="00FB4297" w14:paraId="5F245421" w14:textId="77777777" w:rsidTr="00DA676A">
        <w:trPr>
          <w:trHeight w:val="193"/>
        </w:trPr>
        <w:tc>
          <w:tcPr>
            <w:tcW w:w="2585" w:type="dxa"/>
          </w:tcPr>
          <w:p w14:paraId="62E0CA89" w14:textId="77777777" w:rsidR="009723EE" w:rsidRPr="00FB4297" w:rsidRDefault="009723EE" w:rsidP="00DA676A">
            <w:pPr>
              <w:pStyle w:val="TableParagraph"/>
              <w:spacing w:line="174" w:lineRule="exact"/>
              <w:ind w:left="25"/>
              <w:rPr>
                <w:rFonts w:cstheme="minorHAnsi"/>
                <w:sz w:val="20"/>
                <w:szCs w:val="20"/>
              </w:rPr>
            </w:pPr>
            <w:r w:rsidRPr="00FB4297">
              <w:rPr>
                <w:rFonts w:cstheme="minorHAnsi"/>
                <w:spacing w:val="-2"/>
                <w:w w:val="105"/>
                <w:sz w:val="20"/>
                <w:szCs w:val="20"/>
              </w:rPr>
              <w:t>Sunnybrook</w:t>
            </w:r>
          </w:p>
        </w:tc>
        <w:tc>
          <w:tcPr>
            <w:tcW w:w="1870" w:type="dxa"/>
          </w:tcPr>
          <w:p w14:paraId="64C6D3DE" w14:textId="43E1DCE7" w:rsidR="009723EE" w:rsidRPr="00FB4297" w:rsidRDefault="00653F35" w:rsidP="00FB4297">
            <w:pPr>
              <w:pStyle w:val="TableParagraph"/>
              <w:spacing w:line="174" w:lineRule="exact"/>
              <w:ind w:right="489"/>
              <w:rPr>
                <w:rFonts w:cstheme="minorHAnsi"/>
                <w:sz w:val="20"/>
                <w:szCs w:val="20"/>
              </w:rPr>
            </w:pPr>
            <w:r>
              <w:rPr>
                <w:rFonts w:cstheme="minorHAnsi"/>
                <w:spacing w:val="-5"/>
                <w:w w:val="105"/>
                <w:sz w:val="20"/>
                <w:szCs w:val="20"/>
              </w:rPr>
              <w:t>85</w:t>
            </w:r>
          </w:p>
        </w:tc>
        <w:tc>
          <w:tcPr>
            <w:tcW w:w="1914" w:type="dxa"/>
          </w:tcPr>
          <w:p w14:paraId="3ABACD48" w14:textId="4AE460FC" w:rsidR="009723EE" w:rsidRPr="00FB4297" w:rsidRDefault="00653F35" w:rsidP="00FB4297">
            <w:pPr>
              <w:pStyle w:val="TableParagraph"/>
              <w:spacing w:line="174" w:lineRule="exact"/>
              <w:ind w:right="511"/>
              <w:rPr>
                <w:rFonts w:cstheme="minorHAnsi"/>
                <w:sz w:val="20"/>
                <w:szCs w:val="20"/>
              </w:rPr>
            </w:pPr>
            <w:r>
              <w:rPr>
                <w:rFonts w:cstheme="minorHAnsi"/>
                <w:spacing w:val="-5"/>
                <w:w w:val="105"/>
                <w:sz w:val="20"/>
                <w:szCs w:val="20"/>
              </w:rPr>
              <w:t>24</w:t>
            </w:r>
          </w:p>
        </w:tc>
        <w:tc>
          <w:tcPr>
            <w:tcW w:w="1903" w:type="dxa"/>
          </w:tcPr>
          <w:p w14:paraId="2B6210A2" w14:textId="72561973" w:rsidR="009723EE" w:rsidRPr="00FB4297" w:rsidRDefault="00653F35" w:rsidP="00DA676A">
            <w:pPr>
              <w:pStyle w:val="TableParagraph"/>
              <w:rPr>
                <w:rFonts w:cstheme="minorHAnsi"/>
                <w:sz w:val="20"/>
                <w:szCs w:val="20"/>
              </w:rPr>
            </w:pPr>
            <w:r>
              <w:rPr>
                <w:rFonts w:cstheme="minorHAnsi"/>
                <w:sz w:val="20"/>
                <w:szCs w:val="20"/>
              </w:rPr>
              <w:t>0</w:t>
            </w:r>
          </w:p>
        </w:tc>
        <w:tc>
          <w:tcPr>
            <w:tcW w:w="1958" w:type="dxa"/>
          </w:tcPr>
          <w:p w14:paraId="6C24E9A5" w14:textId="3FD613A2" w:rsidR="009723EE" w:rsidRPr="00FB4297" w:rsidRDefault="00653F35" w:rsidP="00DA676A">
            <w:pPr>
              <w:pStyle w:val="TableParagraph"/>
              <w:rPr>
                <w:rFonts w:cstheme="minorHAnsi"/>
                <w:sz w:val="20"/>
                <w:szCs w:val="20"/>
              </w:rPr>
            </w:pPr>
            <w:r>
              <w:rPr>
                <w:rFonts w:cstheme="minorHAnsi"/>
                <w:sz w:val="20"/>
                <w:szCs w:val="20"/>
              </w:rPr>
              <w:t>0</w:t>
            </w:r>
          </w:p>
        </w:tc>
      </w:tr>
      <w:tr w:rsidR="009723EE" w:rsidRPr="00FB4297" w14:paraId="40FD0C27" w14:textId="77777777" w:rsidTr="00DA676A">
        <w:trPr>
          <w:trHeight w:val="193"/>
        </w:trPr>
        <w:tc>
          <w:tcPr>
            <w:tcW w:w="2585" w:type="dxa"/>
          </w:tcPr>
          <w:p w14:paraId="0FBC5321" w14:textId="77777777" w:rsidR="009723EE" w:rsidRPr="00FB4297" w:rsidRDefault="009723EE" w:rsidP="00DA676A">
            <w:pPr>
              <w:pStyle w:val="TableParagraph"/>
              <w:spacing w:line="174" w:lineRule="exact"/>
              <w:ind w:left="25"/>
              <w:rPr>
                <w:rFonts w:cstheme="minorHAnsi"/>
                <w:sz w:val="20"/>
                <w:szCs w:val="20"/>
              </w:rPr>
            </w:pPr>
            <w:r w:rsidRPr="00FB4297">
              <w:rPr>
                <w:rFonts w:cstheme="minorHAnsi"/>
                <w:w w:val="105"/>
                <w:sz w:val="20"/>
                <w:szCs w:val="20"/>
              </w:rPr>
              <w:t xml:space="preserve">UC </w:t>
            </w:r>
            <w:r w:rsidRPr="00FB4297">
              <w:rPr>
                <w:rFonts w:cstheme="minorHAnsi"/>
                <w:spacing w:val="-2"/>
                <w:w w:val="105"/>
                <w:sz w:val="20"/>
                <w:szCs w:val="20"/>
              </w:rPr>
              <w:t>London</w:t>
            </w:r>
          </w:p>
        </w:tc>
        <w:tc>
          <w:tcPr>
            <w:tcW w:w="1870" w:type="dxa"/>
          </w:tcPr>
          <w:p w14:paraId="46CDC3FF" w14:textId="36697FEF" w:rsidR="009723EE" w:rsidRPr="00FB4297" w:rsidRDefault="00653F35" w:rsidP="00FB4297">
            <w:pPr>
              <w:pStyle w:val="TableParagraph"/>
              <w:spacing w:line="174" w:lineRule="exact"/>
              <w:ind w:right="489"/>
              <w:rPr>
                <w:rFonts w:cstheme="minorHAnsi"/>
                <w:sz w:val="20"/>
                <w:szCs w:val="20"/>
              </w:rPr>
            </w:pPr>
            <w:r>
              <w:rPr>
                <w:rFonts w:cstheme="minorHAnsi"/>
                <w:spacing w:val="-5"/>
                <w:w w:val="105"/>
                <w:sz w:val="20"/>
                <w:szCs w:val="20"/>
              </w:rPr>
              <w:t>91</w:t>
            </w:r>
          </w:p>
        </w:tc>
        <w:tc>
          <w:tcPr>
            <w:tcW w:w="1914" w:type="dxa"/>
          </w:tcPr>
          <w:p w14:paraId="5EE4F184" w14:textId="77777777" w:rsidR="009723EE" w:rsidRPr="00FB4297" w:rsidRDefault="009723EE" w:rsidP="00DA676A">
            <w:pPr>
              <w:pStyle w:val="TableParagraph"/>
              <w:spacing w:line="174" w:lineRule="exact"/>
              <w:ind w:left="23"/>
              <w:rPr>
                <w:rFonts w:cstheme="minorHAnsi"/>
                <w:sz w:val="20"/>
                <w:szCs w:val="20"/>
              </w:rPr>
            </w:pPr>
            <w:r w:rsidRPr="00FB4297">
              <w:rPr>
                <w:rFonts w:cstheme="minorHAnsi"/>
                <w:w w:val="103"/>
                <w:sz w:val="20"/>
                <w:szCs w:val="20"/>
              </w:rPr>
              <w:t>3</w:t>
            </w:r>
          </w:p>
        </w:tc>
        <w:tc>
          <w:tcPr>
            <w:tcW w:w="1903" w:type="dxa"/>
          </w:tcPr>
          <w:p w14:paraId="101233AA" w14:textId="76DEBE6B" w:rsidR="009723EE" w:rsidRPr="00FB4297" w:rsidRDefault="00653F35" w:rsidP="00DA676A">
            <w:pPr>
              <w:pStyle w:val="TableParagraph"/>
              <w:rPr>
                <w:rFonts w:cstheme="minorHAnsi"/>
                <w:sz w:val="20"/>
                <w:szCs w:val="20"/>
              </w:rPr>
            </w:pPr>
            <w:r>
              <w:rPr>
                <w:rFonts w:cstheme="minorHAnsi"/>
                <w:sz w:val="20"/>
                <w:szCs w:val="20"/>
              </w:rPr>
              <w:t>0</w:t>
            </w:r>
          </w:p>
        </w:tc>
        <w:tc>
          <w:tcPr>
            <w:tcW w:w="1958" w:type="dxa"/>
          </w:tcPr>
          <w:p w14:paraId="2554CB04" w14:textId="3A4A2E73" w:rsidR="009723EE" w:rsidRPr="00FB4297" w:rsidRDefault="00653F35" w:rsidP="00DA676A">
            <w:pPr>
              <w:pStyle w:val="TableParagraph"/>
              <w:rPr>
                <w:rFonts w:cstheme="minorHAnsi"/>
                <w:sz w:val="20"/>
                <w:szCs w:val="20"/>
              </w:rPr>
            </w:pPr>
            <w:r>
              <w:rPr>
                <w:rFonts w:cstheme="minorHAnsi"/>
                <w:sz w:val="20"/>
                <w:szCs w:val="20"/>
              </w:rPr>
              <w:t>0</w:t>
            </w:r>
          </w:p>
        </w:tc>
      </w:tr>
      <w:tr w:rsidR="009723EE" w:rsidRPr="00FB4297" w14:paraId="6A1ED2F3" w14:textId="77777777" w:rsidTr="00DA676A">
        <w:trPr>
          <w:trHeight w:val="194"/>
        </w:trPr>
        <w:tc>
          <w:tcPr>
            <w:tcW w:w="2585" w:type="dxa"/>
          </w:tcPr>
          <w:p w14:paraId="46C81ABF" w14:textId="77777777" w:rsidR="009723EE" w:rsidRPr="00FB4297" w:rsidRDefault="009723EE" w:rsidP="00DA676A">
            <w:pPr>
              <w:pStyle w:val="TableParagraph"/>
              <w:spacing w:line="174" w:lineRule="exact"/>
              <w:ind w:left="25"/>
              <w:rPr>
                <w:rFonts w:cstheme="minorHAnsi"/>
                <w:sz w:val="20"/>
                <w:szCs w:val="20"/>
              </w:rPr>
            </w:pPr>
            <w:r w:rsidRPr="00FB4297">
              <w:rPr>
                <w:rFonts w:cstheme="minorHAnsi"/>
                <w:spacing w:val="-4"/>
                <w:w w:val="105"/>
                <w:sz w:val="20"/>
                <w:szCs w:val="20"/>
              </w:rPr>
              <w:t>UCSF</w:t>
            </w:r>
          </w:p>
        </w:tc>
        <w:tc>
          <w:tcPr>
            <w:tcW w:w="1870" w:type="dxa"/>
          </w:tcPr>
          <w:p w14:paraId="05B6DE6B" w14:textId="085DCC3E" w:rsidR="009723EE" w:rsidRPr="00FB4297" w:rsidRDefault="00653F35" w:rsidP="00FB4297">
            <w:pPr>
              <w:pStyle w:val="TableParagraph"/>
              <w:spacing w:line="174" w:lineRule="exact"/>
              <w:ind w:right="489"/>
              <w:rPr>
                <w:rFonts w:cstheme="minorHAnsi"/>
                <w:sz w:val="20"/>
                <w:szCs w:val="20"/>
              </w:rPr>
            </w:pPr>
            <w:r>
              <w:rPr>
                <w:rFonts w:cstheme="minorHAnsi"/>
                <w:spacing w:val="-5"/>
                <w:w w:val="105"/>
                <w:sz w:val="20"/>
                <w:szCs w:val="20"/>
              </w:rPr>
              <w:t>470</w:t>
            </w:r>
          </w:p>
        </w:tc>
        <w:tc>
          <w:tcPr>
            <w:tcW w:w="1914" w:type="dxa"/>
          </w:tcPr>
          <w:p w14:paraId="537F57DB" w14:textId="117126E4" w:rsidR="009723EE" w:rsidRPr="00FB4297" w:rsidRDefault="00653F35" w:rsidP="00FB4297">
            <w:pPr>
              <w:pStyle w:val="TableParagraph"/>
              <w:spacing w:line="174" w:lineRule="exact"/>
              <w:ind w:right="511"/>
              <w:rPr>
                <w:rFonts w:cstheme="minorHAnsi"/>
                <w:sz w:val="20"/>
                <w:szCs w:val="20"/>
              </w:rPr>
            </w:pPr>
            <w:r>
              <w:rPr>
                <w:rFonts w:cstheme="minorHAnsi"/>
                <w:spacing w:val="-5"/>
                <w:w w:val="105"/>
                <w:sz w:val="20"/>
                <w:szCs w:val="20"/>
              </w:rPr>
              <w:t>162</w:t>
            </w:r>
          </w:p>
        </w:tc>
        <w:tc>
          <w:tcPr>
            <w:tcW w:w="1903" w:type="dxa"/>
          </w:tcPr>
          <w:p w14:paraId="575A541C" w14:textId="3CEDAD6E" w:rsidR="009723EE" w:rsidRPr="00FB4297" w:rsidRDefault="00653F35" w:rsidP="00FB4297">
            <w:pPr>
              <w:pStyle w:val="TableParagraph"/>
              <w:spacing w:before="1" w:line="173" w:lineRule="exact"/>
              <w:ind w:right="511"/>
              <w:rPr>
                <w:rFonts w:cstheme="minorHAnsi"/>
                <w:sz w:val="20"/>
                <w:szCs w:val="20"/>
              </w:rPr>
            </w:pPr>
            <w:r>
              <w:rPr>
                <w:rFonts w:cstheme="minorHAnsi"/>
                <w:spacing w:val="-5"/>
                <w:w w:val="105"/>
                <w:sz w:val="20"/>
                <w:szCs w:val="20"/>
              </w:rPr>
              <w:t>36</w:t>
            </w:r>
          </w:p>
        </w:tc>
        <w:tc>
          <w:tcPr>
            <w:tcW w:w="1958" w:type="dxa"/>
          </w:tcPr>
          <w:p w14:paraId="3F59910F" w14:textId="05231C12" w:rsidR="009723EE" w:rsidRPr="00FB4297" w:rsidRDefault="00653F35" w:rsidP="00DA676A">
            <w:pPr>
              <w:pStyle w:val="TableParagraph"/>
              <w:spacing w:before="1" w:line="173" w:lineRule="exact"/>
              <w:ind w:left="1"/>
              <w:rPr>
                <w:rFonts w:cstheme="minorHAnsi"/>
                <w:sz w:val="20"/>
                <w:szCs w:val="20"/>
              </w:rPr>
            </w:pPr>
            <w:r>
              <w:rPr>
                <w:rFonts w:cstheme="minorHAnsi"/>
                <w:w w:val="103"/>
                <w:sz w:val="20"/>
                <w:szCs w:val="20"/>
              </w:rPr>
              <w:t>12</w:t>
            </w:r>
          </w:p>
        </w:tc>
      </w:tr>
      <w:tr w:rsidR="009723EE" w:rsidRPr="00FB4297" w14:paraId="47155F93" w14:textId="77777777" w:rsidTr="00DA676A">
        <w:trPr>
          <w:trHeight w:val="193"/>
        </w:trPr>
        <w:tc>
          <w:tcPr>
            <w:tcW w:w="2585" w:type="dxa"/>
          </w:tcPr>
          <w:p w14:paraId="3B8FA0B3" w14:textId="77777777" w:rsidR="009723EE" w:rsidRPr="00FB4297" w:rsidRDefault="009723EE" w:rsidP="00DA676A">
            <w:pPr>
              <w:pStyle w:val="TableParagraph"/>
              <w:spacing w:line="174" w:lineRule="exact"/>
              <w:ind w:left="25"/>
              <w:rPr>
                <w:rFonts w:cstheme="minorHAnsi"/>
                <w:sz w:val="20"/>
                <w:szCs w:val="20"/>
              </w:rPr>
            </w:pPr>
            <w:r w:rsidRPr="00FB4297">
              <w:rPr>
                <w:rFonts w:cstheme="minorHAnsi"/>
                <w:w w:val="105"/>
                <w:sz w:val="20"/>
                <w:szCs w:val="20"/>
              </w:rPr>
              <w:t>UT</w:t>
            </w:r>
            <w:r w:rsidRPr="00FB4297">
              <w:rPr>
                <w:rFonts w:cstheme="minorHAnsi"/>
                <w:spacing w:val="-3"/>
                <w:w w:val="105"/>
                <w:sz w:val="20"/>
                <w:szCs w:val="20"/>
              </w:rPr>
              <w:t xml:space="preserve"> </w:t>
            </w:r>
            <w:r w:rsidRPr="00FB4297">
              <w:rPr>
                <w:rFonts w:cstheme="minorHAnsi"/>
                <w:spacing w:val="-2"/>
                <w:w w:val="105"/>
                <w:sz w:val="20"/>
                <w:szCs w:val="20"/>
              </w:rPr>
              <w:t>Southwestern*</w:t>
            </w:r>
          </w:p>
        </w:tc>
        <w:tc>
          <w:tcPr>
            <w:tcW w:w="1870" w:type="dxa"/>
          </w:tcPr>
          <w:p w14:paraId="1014C680" w14:textId="2EF8A07A" w:rsidR="009723EE" w:rsidRPr="00FB4297" w:rsidRDefault="00653F35" w:rsidP="00FB4297">
            <w:pPr>
              <w:pStyle w:val="TableParagraph"/>
              <w:spacing w:line="174" w:lineRule="exact"/>
              <w:ind w:right="489"/>
              <w:rPr>
                <w:rFonts w:cstheme="minorHAnsi"/>
                <w:sz w:val="20"/>
                <w:szCs w:val="20"/>
              </w:rPr>
            </w:pPr>
            <w:r>
              <w:rPr>
                <w:rFonts w:cstheme="minorHAnsi"/>
                <w:spacing w:val="-5"/>
                <w:w w:val="105"/>
                <w:sz w:val="20"/>
                <w:szCs w:val="20"/>
              </w:rPr>
              <w:t>155</w:t>
            </w:r>
          </w:p>
        </w:tc>
        <w:tc>
          <w:tcPr>
            <w:tcW w:w="1914" w:type="dxa"/>
          </w:tcPr>
          <w:p w14:paraId="080FDD51" w14:textId="13313C2B" w:rsidR="009723EE" w:rsidRPr="00FB4297" w:rsidRDefault="00653F35" w:rsidP="00FB4297">
            <w:pPr>
              <w:pStyle w:val="TableParagraph"/>
              <w:spacing w:line="174" w:lineRule="exact"/>
              <w:ind w:right="511"/>
              <w:rPr>
                <w:rFonts w:cstheme="minorHAnsi"/>
                <w:sz w:val="20"/>
                <w:szCs w:val="20"/>
              </w:rPr>
            </w:pPr>
            <w:r>
              <w:rPr>
                <w:rFonts w:cstheme="minorHAnsi"/>
                <w:spacing w:val="-5"/>
                <w:w w:val="105"/>
                <w:sz w:val="20"/>
                <w:szCs w:val="20"/>
              </w:rPr>
              <w:t>118</w:t>
            </w:r>
          </w:p>
        </w:tc>
        <w:tc>
          <w:tcPr>
            <w:tcW w:w="1903" w:type="dxa"/>
          </w:tcPr>
          <w:p w14:paraId="63AA2478" w14:textId="62DDFAE9" w:rsidR="009723EE" w:rsidRPr="00FB4297" w:rsidRDefault="00653F35" w:rsidP="00FB4297">
            <w:pPr>
              <w:pStyle w:val="TableParagraph"/>
              <w:spacing w:before="1" w:line="173" w:lineRule="exact"/>
              <w:ind w:right="511"/>
              <w:rPr>
                <w:rFonts w:cstheme="minorHAnsi"/>
                <w:sz w:val="20"/>
                <w:szCs w:val="20"/>
              </w:rPr>
            </w:pPr>
            <w:r>
              <w:rPr>
                <w:rFonts w:cstheme="minorHAnsi"/>
                <w:spacing w:val="-5"/>
                <w:w w:val="105"/>
                <w:sz w:val="20"/>
                <w:szCs w:val="20"/>
              </w:rPr>
              <w:t>48</w:t>
            </w:r>
          </w:p>
        </w:tc>
        <w:tc>
          <w:tcPr>
            <w:tcW w:w="1958" w:type="dxa"/>
          </w:tcPr>
          <w:p w14:paraId="11460AB4" w14:textId="78EFACCF" w:rsidR="009723EE" w:rsidRPr="00FB4297" w:rsidRDefault="00653F35" w:rsidP="00FB4297">
            <w:pPr>
              <w:pStyle w:val="TableParagraph"/>
              <w:spacing w:before="1" w:line="173" w:lineRule="exact"/>
              <w:ind w:right="533"/>
              <w:rPr>
                <w:rFonts w:cstheme="minorHAnsi"/>
                <w:sz w:val="20"/>
                <w:szCs w:val="20"/>
              </w:rPr>
            </w:pPr>
            <w:r>
              <w:rPr>
                <w:rFonts w:cstheme="minorHAnsi"/>
                <w:spacing w:val="-5"/>
                <w:w w:val="105"/>
                <w:sz w:val="20"/>
                <w:szCs w:val="20"/>
              </w:rPr>
              <w:t>29</w:t>
            </w:r>
          </w:p>
        </w:tc>
      </w:tr>
      <w:tr w:rsidR="009723EE" w:rsidRPr="00FB4297" w14:paraId="05657E60" w14:textId="77777777" w:rsidTr="00DA676A">
        <w:trPr>
          <w:trHeight w:val="194"/>
        </w:trPr>
        <w:tc>
          <w:tcPr>
            <w:tcW w:w="2585" w:type="dxa"/>
          </w:tcPr>
          <w:p w14:paraId="1A006F7C" w14:textId="77777777" w:rsidR="009723EE" w:rsidRPr="00FB4297" w:rsidRDefault="009723EE" w:rsidP="00DA676A">
            <w:pPr>
              <w:pStyle w:val="TableParagraph"/>
              <w:spacing w:line="174" w:lineRule="exact"/>
              <w:ind w:left="25"/>
              <w:rPr>
                <w:rFonts w:cstheme="minorHAnsi"/>
                <w:sz w:val="20"/>
                <w:szCs w:val="20"/>
              </w:rPr>
            </w:pPr>
            <w:r w:rsidRPr="00FB4297">
              <w:rPr>
                <w:rFonts w:cstheme="minorHAnsi"/>
                <w:spacing w:val="-2"/>
                <w:w w:val="105"/>
                <w:sz w:val="20"/>
                <w:szCs w:val="20"/>
              </w:rPr>
              <w:t>Zurich</w:t>
            </w:r>
          </w:p>
        </w:tc>
        <w:tc>
          <w:tcPr>
            <w:tcW w:w="1870" w:type="dxa"/>
          </w:tcPr>
          <w:p w14:paraId="1DC19CCC" w14:textId="77777777" w:rsidR="009723EE" w:rsidRPr="00FB4297" w:rsidRDefault="009723EE" w:rsidP="00FB4297">
            <w:pPr>
              <w:pStyle w:val="TableParagraph"/>
              <w:spacing w:line="174" w:lineRule="exact"/>
              <w:ind w:right="489"/>
              <w:rPr>
                <w:rFonts w:cstheme="minorHAnsi"/>
                <w:sz w:val="20"/>
                <w:szCs w:val="20"/>
              </w:rPr>
            </w:pPr>
            <w:r w:rsidRPr="00FB4297">
              <w:rPr>
                <w:rFonts w:cstheme="minorHAnsi"/>
                <w:spacing w:val="-5"/>
                <w:w w:val="105"/>
                <w:sz w:val="20"/>
                <w:szCs w:val="20"/>
              </w:rPr>
              <w:t>14</w:t>
            </w:r>
          </w:p>
        </w:tc>
        <w:tc>
          <w:tcPr>
            <w:tcW w:w="1914" w:type="dxa"/>
          </w:tcPr>
          <w:p w14:paraId="27A91328" w14:textId="77777777" w:rsidR="009723EE" w:rsidRPr="00FB4297" w:rsidRDefault="009723EE" w:rsidP="00DA676A">
            <w:pPr>
              <w:pStyle w:val="TableParagraph"/>
              <w:spacing w:line="174" w:lineRule="exact"/>
              <w:ind w:left="23"/>
              <w:rPr>
                <w:rFonts w:cstheme="minorHAnsi"/>
                <w:sz w:val="20"/>
                <w:szCs w:val="20"/>
              </w:rPr>
            </w:pPr>
            <w:r w:rsidRPr="00FB4297">
              <w:rPr>
                <w:rFonts w:cstheme="minorHAnsi"/>
                <w:w w:val="103"/>
                <w:sz w:val="20"/>
                <w:szCs w:val="20"/>
              </w:rPr>
              <w:t>7</w:t>
            </w:r>
          </w:p>
        </w:tc>
        <w:tc>
          <w:tcPr>
            <w:tcW w:w="1903" w:type="dxa"/>
          </w:tcPr>
          <w:p w14:paraId="1C509F3B" w14:textId="1CE5A4C8" w:rsidR="009723EE" w:rsidRPr="00FB4297" w:rsidRDefault="00653F35" w:rsidP="00DA676A">
            <w:pPr>
              <w:pStyle w:val="TableParagraph"/>
              <w:rPr>
                <w:rFonts w:cstheme="minorHAnsi"/>
                <w:sz w:val="20"/>
                <w:szCs w:val="20"/>
              </w:rPr>
            </w:pPr>
            <w:r>
              <w:rPr>
                <w:rFonts w:cstheme="minorHAnsi"/>
                <w:sz w:val="20"/>
                <w:szCs w:val="20"/>
              </w:rPr>
              <w:t>0</w:t>
            </w:r>
          </w:p>
        </w:tc>
        <w:tc>
          <w:tcPr>
            <w:tcW w:w="1958" w:type="dxa"/>
          </w:tcPr>
          <w:p w14:paraId="5BF948AA" w14:textId="25C9CF83" w:rsidR="009723EE" w:rsidRPr="00FB4297" w:rsidRDefault="00653F35" w:rsidP="00DA676A">
            <w:pPr>
              <w:pStyle w:val="TableParagraph"/>
              <w:rPr>
                <w:rFonts w:cstheme="minorHAnsi"/>
                <w:sz w:val="20"/>
                <w:szCs w:val="20"/>
              </w:rPr>
            </w:pPr>
            <w:r>
              <w:rPr>
                <w:rFonts w:cstheme="minorHAnsi"/>
                <w:sz w:val="20"/>
                <w:szCs w:val="20"/>
              </w:rPr>
              <w:t>0</w:t>
            </w:r>
          </w:p>
        </w:tc>
      </w:tr>
      <w:tr w:rsidR="009723EE" w:rsidRPr="00FB4297" w14:paraId="13A52FE8" w14:textId="77777777" w:rsidTr="00DA676A">
        <w:trPr>
          <w:trHeight w:val="193"/>
        </w:trPr>
        <w:tc>
          <w:tcPr>
            <w:tcW w:w="2585" w:type="dxa"/>
            <w:shd w:val="clear" w:color="auto" w:fill="D9E1F2"/>
          </w:tcPr>
          <w:p w14:paraId="21ADC979" w14:textId="77777777" w:rsidR="009723EE" w:rsidRPr="00FB4297" w:rsidRDefault="009723EE" w:rsidP="00DA676A">
            <w:pPr>
              <w:pStyle w:val="TableParagraph"/>
              <w:spacing w:line="174" w:lineRule="exact"/>
              <w:ind w:left="25"/>
              <w:rPr>
                <w:rFonts w:cstheme="minorHAnsi"/>
                <w:b/>
                <w:sz w:val="20"/>
                <w:szCs w:val="20"/>
              </w:rPr>
            </w:pPr>
            <w:r w:rsidRPr="00FB4297">
              <w:rPr>
                <w:rFonts w:cstheme="minorHAnsi"/>
                <w:b/>
                <w:spacing w:val="-2"/>
                <w:w w:val="105"/>
                <w:sz w:val="20"/>
                <w:szCs w:val="20"/>
              </w:rPr>
              <w:t>TOTAL</w:t>
            </w:r>
          </w:p>
        </w:tc>
        <w:tc>
          <w:tcPr>
            <w:tcW w:w="1870" w:type="dxa"/>
            <w:shd w:val="clear" w:color="auto" w:fill="D9E1F2"/>
          </w:tcPr>
          <w:p w14:paraId="2316DAF6" w14:textId="1DC57E2F" w:rsidR="009723EE" w:rsidRPr="00FB4297" w:rsidRDefault="00401E3B" w:rsidP="00FB4297">
            <w:pPr>
              <w:pStyle w:val="TableParagraph"/>
              <w:spacing w:line="174" w:lineRule="exact"/>
              <w:ind w:right="489"/>
              <w:rPr>
                <w:rFonts w:cstheme="minorHAnsi"/>
                <w:b/>
                <w:sz w:val="20"/>
                <w:szCs w:val="20"/>
              </w:rPr>
            </w:pPr>
            <w:r>
              <w:rPr>
                <w:rFonts w:cstheme="minorHAnsi"/>
                <w:b/>
                <w:spacing w:val="-5"/>
                <w:w w:val="105"/>
                <w:sz w:val="20"/>
                <w:szCs w:val="20"/>
              </w:rPr>
              <w:t>1112</w:t>
            </w:r>
          </w:p>
        </w:tc>
        <w:tc>
          <w:tcPr>
            <w:tcW w:w="1914" w:type="dxa"/>
            <w:shd w:val="clear" w:color="auto" w:fill="D9E1F2"/>
          </w:tcPr>
          <w:p w14:paraId="3EDAC517" w14:textId="3C8683A7" w:rsidR="009723EE" w:rsidRPr="00FB4297" w:rsidRDefault="00401E3B" w:rsidP="00FB4297">
            <w:pPr>
              <w:pStyle w:val="TableParagraph"/>
              <w:spacing w:line="174" w:lineRule="exact"/>
              <w:ind w:right="511"/>
              <w:rPr>
                <w:rFonts w:cstheme="minorHAnsi"/>
                <w:b/>
                <w:sz w:val="20"/>
                <w:szCs w:val="20"/>
              </w:rPr>
            </w:pPr>
            <w:r>
              <w:rPr>
                <w:rFonts w:cstheme="minorHAnsi"/>
                <w:b/>
                <w:spacing w:val="-5"/>
                <w:w w:val="105"/>
                <w:sz w:val="20"/>
                <w:szCs w:val="20"/>
              </w:rPr>
              <w:t>405</w:t>
            </w:r>
          </w:p>
        </w:tc>
        <w:tc>
          <w:tcPr>
            <w:tcW w:w="1903" w:type="dxa"/>
            <w:shd w:val="clear" w:color="auto" w:fill="D9E1F2"/>
          </w:tcPr>
          <w:p w14:paraId="69C7E642" w14:textId="0F756873" w:rsidR="009723EE" w:rsidRPr="00FB4297" w:rsidRDefault="00401E3B" w:rsidP="00FB4297">
            <w:pPr>
              <w:pStyle w:val="TableParagraph"/>
              <w:spacing w:before="1" w:line="173" w:lineRule="exact"/>
              <w:ind w:right="511"/>
              <w:rPr>
                <w:rFonts w:cstheme="minorHAnsi"/>
                <w:b/>
                <w:sz w:val="20"/>
                <w:szCs w:val="20"/>
              </w:rPr>
            </w:pPr>
            <w:r>
              <w:rPr>
                <w:rFonts w:cstheme="minorHAnsi"/>
                <w:b/>
                <w:spacing w:val="-5"/>
                <w:w w:val="105"/>
                <w:sz w:val="20"/>
                <w:szCs w:val="20"/>
              </w:rPr>
              <w:t>86</w:t>
            </w:r>
          </w:p>
        </w:tc>
        <w:tc>
          <w:tcPr>
            <w:tcW w:w="1958" w:type="dxa"/>
            <w:shd w:val="clear" w:color="auto" w:fill="D9E1F2"/>
          </w:tcPr>
          <w:p w14:paraId="34D96930" w14:textId="2634C1E5" w:rsidR="009723EE" w:rsidRPr="00FB4297" w:rsidRDefault="00401E3B" w:rsidP="00FB4297">
            <w:pPr>
              <w:pStyle w:val="TableParagraph"/>
              <w:spacing w:before="1" w:line="173" w:lineRule="exact"/>
              <w:ind w:right="533"/>
              <w:rPr>
                <w:rFonts w:cstheme="minorHAnsi"/>
                <w:b/>
                <w:sz w:val="20"/>
                <w:szCs w:val="20"/>
              </w:rPr>
            </w:pPr>
            <w:r>
              <w:rPr>
                <w:rFonts w:cstheme="minorHAnsi"/>
                <w:b/>
                <w:spacing w:val="-5"/>
                <w:w w:val="105"/>
                <w:sz w:val="20"/>
                <w:szCs w:val="20"/>
              </w:rPr>
              <w:t>42</w:t>
            </w:r>
          </w:p>
        </w:tc>
      </w:tr>
      <w:tr w:rsidR="009723EE" w:rsidRPr="00FB4297" w14:paraId="77C4CE2A" w14:textId="77777777" w:rsidTr="00DA676A">
        <w:trPr>
          <w:trHeight w:val="293"/>
        </w:trPr>
        <w:tc>
          <w:tcPr>
            <w:tcW w:w="10230" w:type="dxa"/>
            <w:gridSpan w:val="5"/>
          </w:tcPr>
          <w:p w14:paraId="432B861D" w14:textId="6A112862" w:rsidR="009723EE" w:rsidRPr="00FB4297" w:rsidRDefault="009723EE" w:rsidP="00DA676A">
            <w:pPr>
              <w:pStyle w:val="TableParagraph"/>
              <w:spacing w:before="34"/>
              <w:ind w:left="157"/>
              <w:rPr>
                <w:rFonts w:cstheme="minorHAnsi"/>
                <w:i/>
                <w:sz w:val="20"/>
                <w:szCs w:val="20"/>
              </w:rPr>
            </w:pPr>
            <w:r w:rsidRPr="00FB4297">
              <w:rPr>
                <w:rFonts w:cstheme="minorHAnsi"/>
                <w:i/>
                <w:w w:val="105"/>
                <w:sz w:val="20"/>
                <w:szCs w:val="20"/>
              </w:rPr>
              <w:t>*</w:t>
            </w:r>
            <w:r w:rsidRPr="00FB4297">
              <w:rPr>
                <w:rFonts w:cstheme="minorHAnsi"/>
                <w:i/>
                <w:spacing w:val="-10"/>
                <w:w w:val="105"/>
                <w:sz w:val="20"/>
                <w:szCs w:val="20"/>
              </w:rPr>
              <w:t xml:space="preserve"> </w:t>
            </w:r>
            <w:r w:rsidRPr="00FB4297">
              <w:rPr>
                <w:rFonts w:cstheme="minorHAnsi"/>
                <w:i/>
                <w:w w:val="105"/>
                <w:sz w:val="20"/>
                <w:szCs w:val="20"/>
              </w:rPr>
              <w:t>An</w:t>
            </w:r>
            <w:r w:rsidRPr="00FB4297">
              <w:rPr>
                <w:rFonts w:cstheme="minorHAnsi"/>
                <w:i/>
                <w:spacing w:val="-10"/>
                <w:w w:val="105"/>
                <w:sz w:val="20"/>
                <w:szCs w:val="20"/>
              </w:rPr>
              <w:t xml:space="preserve"> </w:t>
            </w:r>
            <w:r w:rsidRPr="00FB4297">
              <w:rPr>
                <w:rFonts w:cstheme="minorHAnsi"/>
                <w:i/>
                <w:w w:val="105"/>
                <w:sz w:val="20"/>
                <w:szCs w:val="20"/>
              </w:rPr>
              <w:t>additional</w:t>
            </w:r>
            <w:r w:rsidRPr="00FB4297">
              <w:rPr>
                <w:rFonts w:cstheme="minorHAnsi"/>
                <w:i/>
                <w:spacing w:val="-5"/>
                <w:w w:val="105"/>
                <w:sz w:val="20"/>
                <w:szCs w:val="20"/>
              </w:rPr>
              <w:t xml:space="preserve"> </w:t>
            </w:r>
            <w:r w:rsidRPr="00FB4297">
              <w:rPr>
                <w:rFonts w:cstheme="minorHAnsi"/>
                <w:i/>
                <w:w w:val="105"/>
                <w:sz w:val="20"/>
                <w:szCs w:val="20"/>
              </w:rPr>
              <w:t>21</w:t>
            </w:r>
            <w:r w:rsidRPr="00FB4297">
              <w:rPr>
                <w:rFonts w:cstheme="minorHAnsi"/>
                <w:i/>
                <w:spacing w:val="-9"/>
                <w:w w:val="105"/>
                <w:sz w:val="20"/>
                <w:szCs w:val="20"/>
              </w:rPr>
              <w:t xml:space="preserve"> </w:t>
            </w:r>
            <w:r w:rsidRPr="00FB4297">
              <w:rPr>
                <w:rFonts w:cstheme="minorHAnsi"/>
                <w:i/>
                <w:w w:val="105"/>
                <w:sz w:val="20"/>
                <w:szCs w:val="20"/>
              </w:rPr>
              <w:t>studies</w:t>
            </w:r>
            <w:r w:rsidRPr="00FB4297">
              <w:rPr>
                <w:rFonts w:cstheme="minorHAnsi"/>
                <w:i/>
                <w:spacing w:val="-10"/>
                <w:w w:val="105"/>
                <w:sz w:val="20"/>
                <w:szCs w:val="20"/>
              </w:rPr>
              <w:t xml:space="preserve"> </w:t>
            </w:r>
            <w:r w:rsidRPr="00FB4297">
              <w:rPr>
                <w:rFonts w:cstheme="minorHAnsi"/>
                <w:i/>
                <w:w w:val="105"/>
                <w:sz w:val="20"/>
                <w:szCs w:val="20"/>
              </w:rPr>
              <w:t>have</w:t>
            </w:r>
            <w:r w:rsidRPr="00FB4297">
              <w:rPr>
                <w:rFonts w:cstheme="minorHAnsi"/>
                <w:i/>
                <w:spacing w:val="-5"/>
                <w:w w:val="105"/>
                <w:sz w:val="20"/>
                <w:szCs w:val="20"/>
              </w:rPr>
              <w:t xml:space="preserve"> </w:t>
            </w:r>
            <w:r w:rsidRPr="00FB4297">
              <w:rPr>
                <w:rFonts w:cstheme="minorHAnsi"/>
                <w:i/>
                <w:w w:val="105"/>
                <w:sz w:val="20"/>
                <w:szCs w:val="20"/>
              </w:rPr>
              <w:t>been</w:t>
            </w:r>
            <w:r w:rsidRPr="00FB4297">
              <w:rPr>
                <w:rFonts w:cstheme="minorHAnsi"/>
                <w:i/>
                <w:spacing w:val="-10"/>
                <w:w w:val="105"/>
                <w:sz w:val="20"/>
                <w:szCs w:val="20"/>
              </w:rPr>
              <w:t xml:space="preserve"> </w:t>
            </w:r>
            <w:r w:rsidRPr="00FB4297">
              <w:rPr>
                <w:rFonts w:cstheme="minorHAnsi"/>
                <w:i/>
                <w:w w:val="105"/>
                <w:sz w:val="20"/>
                <w:szCs w:val="20"/>
              </w:rPr>
              <w:t>completed</w:t>
            </w:r>
            <w:r w:rsidRPr="00FB4297">
              <w:rPr>
                <w:rFonts w:cstheme="minorHAnsi"/>
                <w:i/>
                <w:spacing w:val="-10"/>
                <w:w w:val="105"/>
                <w:sz w:val="20"/>
                <w:szCs w:val="20"/>
              </w:rPr>
              <w:t xml:space="preserve"> </w:t>
            </w:r>
            <w:r w:rsidRPr="00FB4297">
              <w:rPr>
                <w:rFonts w:cstheme="minorHAnsi"/>
                <w:i/>
                <w:w w:val="105"/>
                <w:sz w:val="20"/>
                <w:szCs w:val="20"/>
              </w:rPr>
              <w:t>at</w:t>
            </w:r>
            <w:r w:rsidRPr="00FB4297">
              <w:rPr>
                <w:rFonts w:cstheme="minorHAnsi"/>
                <w:i/>
                <w:spacing w:val="-10"/>
                <w:w w:val="105"/>
                <w:sz w:val="20"/>
                <w:szCs w:val="20"/>
              </w:rPr>
              <w:t xml:space="preserve"> </w:t>
            </w:r>
            <w:r w:rsidRPr="00FB4297">
              <w:rPr>
                <w:rFonts w:cstheme="minorHAnsi"/>
                <w:i/>
                <w:w w:val="105"/>
                <w:sz w:val="20"/>
                <w:szCs w:val="20"/>
              </w:rPr>
              <w:t>UT</w:t>
            </w:r>
            <w:r w:rsidRPr="00FB4297">
              <w:rPr>
                <w:rFonts w:cstheme="minorHAnsi"/>
                <w:i/>
                <w:spacing w:val="-6"/>
                <w:w w:val="105"/>
                <w:sz w:val="20"/>
                <w:szCs w:val="20"/>
              </w:rPr>
              <w:t xml:space="preserve"> </w:t>
            </w:r>
            <w:r w:rsidRPr="00FB4297">
              <w:rPr>
                <w:rFonts w:cstheme="minorHAnsi"/>
                <w:i/>
                <w:w w:val="105"/>
                <w:sz w:val="20"/>
                <w:szCs w:val="20"/>
              </w:rPr>
              <w:t>Southwestern</w:t>
            </w:r>
            <w:r w:rsidRPr="00FB4297">
              <w:rPr>
                <w:rFonts w:cstheme="minorHAnsi"/>
                <w:i/>
                <w:spacing w:val="-10"/>
                <w:w w:val="105"/>
                <w:sz w:val="20"/>
                <w:szCs w:val="20"/>
              </w:rPr>
              <w:t xml:space="preserve"> </w:t>
            </w:r>
            <w:r w:rsidRPr="00FB4297">
              <w:rPr>
                <w:rFonts w:cstheme="minorHAnsi"/>
                <w:i/>
                <w:w w:val="105"/>
                <w:sz w:val="20"/>
                <w:szCs w:val="20"/>
              </w:rPr>
              <w:t>with</w:t>
            </w:r>
            <w:r w:rsidRPr="00FB4297">
              <w:rPr>
                <w:rFonts w:cstheme="minorHAnsi"/>
                <w:i/>
                <w:spacing w:val="-10"/>
                <w:w w:val="105"/>
                <w:sz w:val="20"/>
                <w:szCs w:val="20"/>
              </w:rPr>
              <w:t xml:space="preserve"> </w:t>
            </w:r>
            <w:r w:rsidRPr="00FB4297">
              <w:rPr>
                <w:rFonts w:cstheme="minorHAnsi"/>
                <w:i/>
                <w:w w:val="105"/>
                <w:sz w:val="20"/>
                <w:szCs w:val="20"/>
              </w:rPr>
              <w:t>volunteers</w:t>
            </w:r>
            <w:r w:rsidRPr="00FB4297">
              <w:rPr>
                <w:rFonts w:cstheme="minorHAnsi"/>
                <w:i/>
                <w:spacing w:val="-10"/>
                <w:w w:val="105"/>
                <w:sz w:val="20"/>
                <w:szCs w:val="20"/>
              </w:rPr>
              <w:t xml:space="preserve"> </w:t>
            </w:r>
            <w:r w:rsidRPr="00FB4297">
              <w:rPr>
                <w:rFonts w:cstheme="minorHAnsi"/>
                <w:i/>
                <w:w w:val="105"/>
                <w:sz w:val="20"/>
                <w:szCs w:val="20"/>
              </w:rPr>
              <w:t>receiving</w:t>
            </w:r>
            <w:r w:rsidRPr="00FB4297">
              <w:rPr>
                <w:rFonts w:cstheme="minorHAnsi"/>
                <w:i/>
                <w:spacing w:val="-9"/>
                <w:w w:val="105"/>
                <w:sz w:val="20"/>
                <w:szCs w:val="20"/>
              </w:rPr>
              <w:t xml:space="preserve"> </w:t>
            </w:r>
            <w:r w:rsidRPr="00FB4297">
              <w:rPr>
                <w:rFonts w:cstheme="minorHAnsi"/>
                <w:i/>
                <w:w w:val="105"/>
                <w:sz w:val="20"/>
                <w:szCs w:val="20"/>
              </w:rPr>
              <w:t>five,</w:t>
            </w:r>
            <w:r w:rsidRPr="00FB4297">
              <w:rPr>
                <w:rFonts w:cstheme="minorHAnsi"/>
                <w:i/>
                <w:spacing w:val="-9"/>
                <w:w w:val="105"/>
                <w:sz w:val="20"/>
                <w:szCs w:val="20"/>
              </w:rPr>
              <w:t xml:space="preserve"> </w:t>
            </w:r>
            <w:r w:rsidRPr="00FB4297">
              <w:rPr>
                <w:rFonts w:cstheme="minorHAnsi"/>
                <w:i/>
                <w:w w:val="105"/>
                <w:sz w:val="20"/>
                <w:szCs w:val="20"/>
              </w:rPr>
              <w:t>six,</w:t>
            </w:r>
            <w:r w:rsidRPr="00FB4297">
              <w:rPr>
                <w:rFonts w:cstheme="minorHAnsi"/>
                <w:i/>
                <w:spacing w:val="-8"/>
                <w:w w:val="105"/>
                <w:sz w:val="20"/>
                <w:szCs w:val="20"/>
              </w:rPr>
              <w:t xml:space="preserve"> </w:t>
            </w:r>
            <w:r w:rsidRPr="00FB4297">
              <w:rPr>
                <w:rFonts w:cstheme="minorHAnsi"/>
                <w:i/>
                <w:w w:val="105"/>
                <w:sz w:val="20"/>
                <w:szCs w:val="20"/>
              </w:rPr>
              <w:t>seven,</w:t>
            </w:r>
            <w:r w:rsidRPr="00FB4297">
              <w:rPr>
                <w:rFonts w:cstheme="minorHAnsi"/>
                <w:i/>
                <w:spacing w:val="-8"/>
                <w:w w:val="105"/>
                <w:sz w:val="20"/>
                <w:szCs w:val="20"/>
              </w:rPr>
              <w:t xml:space="preserve"> </w:t>
            </w:r>
            <w:r w:rsidR="006F17F3">
              <w:rPr>
                <w:rFonts w:cstheme="minorHAnsi"/>
                <w:i/>
                <w:spacing w:val="-8"/>
                <w:w w:val="105"/>
                <w:sz w:val="20"/>
                <w:szCs w:val="20"/>
              </w:rPr>
              <w:t>eight</w:t>
            </w:r>
            <w:r w:rsidRPr="00FB4297">
              <w:rPr>
                <w:rFonts w:cstheme="minorHAnsi"/>
                <w:i/>
                <w:spacing w:val="-9"/>
                <w:w w:val="105"/>
                <w:sz w:val="20"/>
                <w:szCs w:val="20"/>
              </w:rPr>
              <w:t xml:space="preserve"> </w:t>
            </w:r>
            <w:r w:rsidRPr="00FB4297">
              <w:rPr>
                <w:rFonts w:cstheme="minorHAnsi"/>
                <w:i/>
                <w:w w:val="105"/>
                <w:sz w:val="20"/>
                <w:szCs w:val="20"/>
              </w:rPr>
              <w:t>and</w:t>
            </w:r>
            <w:r w:rsidRPr="00FB4297">
              <w:rPr>
                <w:rFonts w:cstheme="minorHAnsi"/>
                <w:i/>
                <w:spacing w:val="-10"/>
                <w:w w:val="105"/>
                <w:sz w:val="20"/>
                <w:szCs w:val="20"/>
              </w:rPr>
              <w:t xml:space="preserve"> </w:t>
            </w:r>
            <w:r w:rsidR="006F17F3">
              <w:rPr>
                <w:rFonts w:cstheme="minorHAnsi"/>
                <w:i/>
                <w:spacing w:val="-10"/>
                <w:w w:val="105"/>
                <w:sz w:val="20"/>
                <w:szCs w:val="20"/>
              </w:rPr>
              <w:t>nine</w:t>
            </w:r>
            <w:r w:rsidRPr="00FB4297">
              <w:rPr>
                <w:rFonts w:cstheme="minorHAnsi"/>
                <w:i/>
                <w:spacing w:val="-9"/>
                <w:w w:val="105"/>
                <w:sz w:val="20"/>
                <w:szCs w:val="20"/>
              </w:rPr>
              <w:t xml:space="preserve"> </w:t>
            </w:r>
            <w:r w:rsidRPr="00FB4297">
              <w:rPr>
                <w:rFonts w:cstheme="minorHAnsi"/>
                <w:i/>
                <w:w w:val="105"/>
                <w:sz w:val="20"/>
                <w:szCs w:val="20"/>
              </w:rPr>
              <w:t>injections</w:t>
            </w:r>
            <w:r w:rsidRPr="00FB4297">
              <w:rPr>
                <w:rFonts w:cstheme="minorHAnsi"/>
                <w:i/>
                <w:spacing w:val="-10"/>
                <w:w w:val="105"/>
                <w:sz w:val="20"/>
                <w:szCs w:val="20"/>
              </w:rPr>
              <w:t xml:space="preserve"> </w:t>
            </w:r>
            <w:r w:rsidRPr="00FB4297">
              <w:rPr>
                <w:rFonts w:cstheme="minorHAnsi"/>
                <w:i/>
                <w:w w:val="105"/>
                <w:sz w:val="20"/>
                <w:szCs w:val="20"/>
              </w:rPr>
              <w:t>as</w:t>
            </w:r>
            <w:r w:rsidRPr="00FB4297">
              <w:rPr>
                <w:rFonts w:cstheme="minorHAnsi"/>
                <w:i/>
                <w:spacing w:val="-10"/>
                <w:w w:val="105"/>
                <w:sz w:val="20"/>
                <w:szCs w:val="20"/>
              </w:rPr>
              <w:t xml:space="preserve"> </w:t>
            </w:r>
            <w:r w:rsidRPr="00FB4297">
              <w:rPr>
                <w:rFonts w:cstheme="minorHAnsi"/>
                <w:i/>
                <w:spacing w:val="-2"/>
                <w:w w:val="105"/>
                <w:sz w:val="20"/>
                <w:szCs w:val="20"/>
              </w:rPr>
              <w:t>follows:</w:t>
            </w:r>
          </w:p>
        </w:tc>
      </w:tr>
      <w:tr w:rsidR="009723EE" w:rsidRPr="00FB4297" w14:paraId="18296376" w14:textId="77777777" w:rsidTr="00DA676A">
        <w:trPr>
          <w:trHeight w:val="193"/>
        </w:trPr>
        <w:tc>
          <w:tcPr>
            <w:tcW w:w="2585" w:type="dxa"/>
          </w:tcPr>
          <w:p w14:paraId="542613F9" w14:textId="77777777" w:rsidR="009723EE" w:rsidRPr="00FB4297" w:rsidRDefault="009723EE" w:rsidP="00FB4297">
            <w:pPr>
              <w:pStyle w:val="TableParagraph"/>
              <w:spacing w:line="174" w:lineRule="exact"/>
              <w:ind w:right="852"/>
              <w:rPr>
                <w:rFonts w:cstheme="minorHAnsi"/>
                <w:sz w:val="20"/>
                <w:szCs w:val="20"/>
              </w:rPr>
            </w:pPr>
            <w:r w:rsidRPr="00FB4297">
              <w:rPr>
                <w:rFonts w:cstheme="minorHAnsi"/>
                <w:w w:val="105"/>
                <w:sz w:val="20"/>
                <w:szCs w:val="20"/>
              </w:rPr>
              <w:t xml:space="preserve">5 </w:t>
            </w:r>
            <w:r w:rsidRPr="00FB4297">
              <w:rPr>
                <w:rFonts w:cstheme="minorHAnsi"/>
                <w:spacing w:val="-2"/>
                <w:w w:val="105"/>
                <w:sz w:val="20"/>
                <w:szCs w:val="20"/>
              </w:rPr>
              <w:t>injections</w:t>
            </w:r>
          </w:p>
        </w:tc>
        <w:tc>
          <w:tcPr>
            <w:tcW w:w="1870" w:type="dxa"/>
          </w:tcPr>
          <w:p w14:paraId="53D914E4" w14:textId="77777777" w:rsidR="009723EE" w:rsidRPr="00FB4297" w:rsidRDefault="009723EE" w:rsidP="00FB4297">
            <w:pPr>
              <w:pStyle w:val="TableParagraph"/>
              <w:spacing w:line="174" w:lineRule="exact"/>
              <w:ind w:right="489"/>
              <w:rPr>
                <w:rFonts w:cstheme="minorHAnsi"/>
                <w:sz w:val="20"/>
                <w:szCs w:val="20"/>
              </w:rPr>
            </w:pPr>
            <w:r w:rsidRPr="00FB4297">
              <w:rPr>
                <w:rFonts w:cstheme="minorHAnsi"/>
                <w:w w:val="105"/>
                <w:sz w:val="20"/>
                <w:szCs w:val="20"/>
              </w:rPr>
              <w:t xml:space="preserve">6 </w:t>
            </w:r>
            <w:r w:rsidRPr="00FB4297">
              <w:rPr>
                <w:rFonts w:cstheme="minorHAnsi"/>
                <w:spacing w:val="-2"/>
                <w:w w:val="105"/>
                <w:sz w:val="20"/>
                <w:szCs w:val="20"/>
              </w:rPr>
              <w:t>injections</w:t>
            </w:r>
          </w:p>
        </w:tc>
        <w:tc>
          <w:tcPr>
            <w:tcW w:w="1914" w:type="dxa"/>
          </w:tcPr>
          <w:p w14:paraId="4A035C13" w14:textId="77777777" w:rsidR="009723EE" w:rsidRPr="00FB4297" w:rsidRDefault="009723EE" w:rsidP="00FB4297">
            <w:pPr>
              <w:pStyle w:val="TableParagraph"/>
              <w:spacing w:line="174" w:lineRule="exact"/>
              <w:ind w:right="511"/>
              <w:rPr>
                <w:rFonts w:cstheme="minorHAnsi"/>
                <w:sz w:val="20"/>
                <w:szCs w:val="20"/>
              </w:rPr>
            </w:pPr>
            <w:r w:rsidRPr="00FB4297">
              <w:rPr>
                <w:rFonts w:cstheme="minorHAnsi"/>
                <w:w w:val="105"/>
                <w:sz w:val="20"/>
                <w:szCs w:val="20"/>
              </w:rPr>
              <w:t xml:space="preserve">7 </w:t>
            </w:r>
            <w:r w:rsidRPr="00FB4297">
              <w:rPr>
                <w:rFonts w:cstheme="minorHAnsi"/>
                <w:spacing w:val="-2"/>
                <w:w w:val="105"/>
                <w:sz w:val="20"/>
                <w:szCs w:val="20"/>
              </w:rPr>
              <w:t>injections</w:t>
            </w:r>
          </w:p>
        </w:tc>
        <w:tc>
          <w:tcPr>
            <w:tcW w:w="1903" w:type="dxa"/>
          </w:tcPr>
          <w:p w14:paraId="7DF0184B" w14:textId="77777777" w:rsidR="009723EE" w:rsidRPr="00FB4297" w:rsidRDefault="009723EE" w:rsidP="00FB4297">
            <w:pPr>
              <w:pStyle w:val="TableParagraph"/>
              <w:spacing w:line="174" w:lineRule="exact"/>
              <w:ind w:right="511"/>
              <w:rPr>
                <w:rFonts w:cstheme="minorHAnsi"/>
                <w:sz w:val="20"/>
                <w:szCs w:val="20"/>
              </w:rPr>
            </w:pPr>
            <w:r w:rsidRPr="00FB4297">
              <w:rPr>
                <w:rFonts w:cstheme="minorHAnsi"/>
                <w:w w:val="105"/>
                <w:sz w:val="20"/>
                <w:szCs w:val="20"/>
              </w:rPr>
              <w:t xml:space="preserve">8 </w:t>
            </w:r>
            <w:r w:rsidRPr="00FB4297">
              <w:rPr>
                <w:rFonts w:cstheme="minorHAnsi"/>
                <w:spacing w:val="-2"/>
                <w:w w:val="105"/>
                <w:sz w:val="20"/>
                <w:szCs w:val="20"/>
              </w:rPr>
              <w:t>injections</w:t>
            </w:r>
          </w:p>
        </w:tc>
        <w:tc>
          <w:tcPr>
            <w:tcW w:w="1958" w:type="dxa"/>
          </w:tcPr>
          <w:p w14:paraId="7EE0FBD0" w14:textId="77777777" w:rsidR="009723EE" w:rsidRPr="00FB4297" w:rsidRDefault="009723EE" w:rsidP="00FB4297">
            <w:pPr>
              <w:pStyle w:val="TableParagraph"/>
              <w:spacing w:line="174" w:lineRule="exact"/>
              <w:ind w:right="533"/>
              <w:rPr>
                <w:rFonts w:cstheme="minorHAnsi"/>
                <w:sz w:val="20"/>
                <w:szCs w:val="20"/>
              </w:rPr>
            </w:pPr>
            <w:r w:rsidRPr="00FB4297">
              <w:rPr>
                <w:rFonts w:cstheme="minorHAnsi"/>
                <w:w w:val="105"/>
                <w:sz w:val="20"/>
                <w:szCs w:val="20"/>
              </w:rPr>
              <w:t xml:space="preserve">9 </w:t>
            </w:r>
            <w:r w:rsidRPr="00FB4297">
              <w:rPr>
                <w:rFonts w:cstheme="minorHAnsi"/>
                <w:spacing w:val="-2"/>
                <w:w w:val="105"/>
                <w:sz w:val="20"/>
                <w:szCs w:val="20"/>
              </w:rPr>
              <w:t>injections</w:t>
            </w:r>
          </w:p>
        </w:tc>
      </w:tr>
      <w:tr w:rsidR="009723EE" w:rsidRPr="00FB4297" w14:paraId="073D7A37" w14:textId="77777777" w:rsidTr="00DA676A">
        <w:trPr>
          <w:trHeight w:val="194"/>
        </w:trPr>
        <w:tc>
          <w:tcPr>
            <w:tcW w:w="2585" w:type="dxa"/>
          </w:tcPr>
          <w:p w14:paraId="06D953F4" w14:textId="2F4714AA" w:rsidR="009723EE" w:rsidRPr="00FB4297" w:rsidRDefault="00902573" w:rsidP="00DA676A">
            <w:pPr>
              <w:pStyle w:val="TableParagraph"/>
              <w:spacing w:line="174" w:lineRule="exact"/>
              <w:ind w:left="12"/>
              <w:rPr>
                <w:rFonts w:cstheme="minorHAnsi"/>
                <w:sz w:val="20"/>
                <w:szCs w:val="20"/>
              </w:rPr>
            </w:pPr>
            <w:r>
              <w:rPr>
                <w:rFonts w:cstheme="minorHAnsi"/>
                <w:w w:val="103"/>
                <w:sz w:val="20"/>
                <w:szCs w:val="20"/>
              </w:rPr>
              <w:t>5</w:t>
            </w:r>
          </w:p>
        </w:tc>
        <w:tc>
          <w:tcPr>
            <w:tcW w:w="1870" w:type="dxa"/>
          </w:tcPr>
          <w:p w14:paraId="5A765FF3" w14:textId="54F08829" w:rsidR="009723EE" w:rsidRPr="00FB4297" w:rsidRDefault="00902573" w:rsidP="00DA676A">
            <w:pPr>
              <w:pStyle w:val="TableParagraph"/>
              <w:spacing w:line="174" w:lineRule="exact"/>
              <w:ind w:left="23"/>
              <w:rPr>
                <w:rFonts w:cstheme="minorHAnsi"/>
                <w:sz w:val="20"/>
                <w:szCs w:val="20"/>
              </w:rPr>
            </w:pPr>
            <w:r>
              <w:rPr>
                <w:rFonts w:cstheme="minorHAnsi"/>
                <w:w w:val="103"/>
                <w:sz w:val="20"/>
                <w:szCs w:val="20"/>
              </w:rPr>
              <w:t>3</w:t>
            </w:r>
          </w:p>
        </w:tc>
        <w:tc>
          <w:tcPr>
            <w:tcW w:w="1914" w:type="dxa"/>
          </w:tcPr>
          <w:p w14:paraId="0A4BE2D8" w14:textId="2AA474E6" w:rsidR="009723EE" w:rsidRPr="00FB4297" w:rsidRDefault="00902573" w:rsidP="00DA676A">
            <w:pPr>
              <w:pStyle w:val="TableParagraph"/>
              <w:spacing w:line="174" w:lineRule="exact"/>
              <w:ind w:left="23"/>
              <w:rPr>
                <w:rFonts w:cstheme="minorHAnsi"/>
                <w:sz w:val="20"/>
                <w:szCs w:val="20"/>
              </w:rPr>
            </w:pPr>
            <w:r>
              <w:rPr>
                <w:rFonts w:cstheme="minorHAnsi"/>
                <w:w w:val="103"/>
                <w:sz w:val="20"/>
                <w:szCs w:val="20"/>
              </w:rPr>
              <w:t>1</w:t>
            </w:r>
          </w:p>
        </w:tc>
        <w:tc>
          <w:tcPr>
            <w:tcW w:w="1903" w:type="dxa"/>
          </w:tcPr>
          <w:p w14:paraId="1C4A2BB9" w14:textId="02255388" w:rsidR="009723EE" w:rsidRPr="00FB4297" w:rsidRDefault="00902573" w:rsidP="00DA676A">
            <w:pPr>
              <w:pStyle w:val="TableParagraph"/>
              <w:spacing w:line="174" w:lineRule="exact"/>
              <w:ind w:left="12"/>
              <w:rPr>
                <w:rFonts w:cstheme="minorHAnsi"/>
                <w:sz w:val="20"/>
                <w:szCs w:val="20"/>
              </w:rPr>
            </w:pPr>
            <w:r>
              <w:rPr>
                <w:rFonts w:cstheme="minorHAnsi"/>
                <w:w w:val="103"/>
                <w:sz w:val="20"/>
                <w:szCs w:val="20"/>
              </w:rPr>
              <w:t>1</w:t>
            </w:r>
          </w:p>
        </w:tc>
        <w:tc>
          <w:tcPr>
            <w:tcW w:w="1958" w:type="dxa"/>
          </w:tcPr>
          <w:p w14:paraId="647C14F9" w14:textId="6D022FD1" w:rsidR="009723EE" w:rsidRPr="00FB4297" w:rsidRDefault="00902573" w:rsidP="00DA676A">
            <w:pPr>
              <w:pStyle w:val="TableParagraph"/>
              <w:spacing w:line="174" w:lineRule="exact"/>
              <w:ind w:left="23"/>
              <w:rPr>
                <w:rFonts w:cstheme="minorHAnsi"/>
                <w:sz w:val="20"/>
                <w:szCs w:val="20"/>
              </w:rPr>
            </w:pPr>
            <w:r>
              <w:rPr>
                <w:rFonts w:cstheme="minorHAnsi"/>
                <w:w w:val="103"/>
                <w:sz w:val="20"/>
                <w:szCs w:val="20"/>
              </w:rPr>
              <w:t>1</w:t>
            </w:r>
          </w:p>
        </w:tc>
      </w:tr>
      <w:bookmarkEnd w:id="12"/>
    </w:tbl>
    <w:p w14:paraId="098A6D63" w14:textId="77777777" w:rsidR="000F63AE" w:rsidRDefault="000F63AE" w:rsidP="00983219">
      <w:pPr>
        <w:pStyle w:val="NormalWeb"/>
        <w:spacing w:before="0" w:after="0" w:line="240" w:lineRule="auto"/>
        <w:rPr>
          <w:rFonts w:ascii="Calibri" w:hAnsi="Calibri"/>
          <w:sz w:val="22"/>
          <w:szCs w:val="22"/>
        </w:rPr>
      </w:pPr>
    </w:p>
    <w:p w14:paraId="4ED72F4E" w14:textId="77777777" w:rsidR="00EE3290" w:rsidRDefault="00EE3290" w:rsidP="00983219">
      <w:pPr>
        <w:rPr>
          <w:rFonts w:ascii="Calibri" w:hAnsi="Calibri"/>
        </w:rPr>
        <w:sectPr w:rsidR="00EE3290" w:rsidSect="006B5FA0">
          <w:headerReference w:type="even" r:id="rId16"/>
          <w:headerReference w:type="default" r:id="rId17"/>
          <w:footerReference w:type="even" r:id="rId18"/>
          <w:footerReference w:type="default" r:id="rId19"/>
          <w:headerReference w:type="first" r:id="rId20"/>
          <w:footerReference w:type="first" r:id="rId21"/>
          <w:pgSz w:w="11909" w:h="16834" w:code="9"/>
          <w:pgMar w:top="1440" w:right="1080" w:bottom="1440" w:left="1080" w:header="720" w:footer="720" w:gutter="0"/>
          <w:cols w:space="720"/>
          <w:docGrid w:linePitch="299"/>
        </w:sectPr>
      </w:pPr>
    </w:p>
    <w:p w14:paraId="382DD9B9" w14:textId="6ED0F2C4" w:rsidR="00EE3290" w:rsidRDefault="00EE3290" w:rsidP="00EE3290">
      <w:bookmarkStart w:id="15" w:name="_Ref33017636"/>
      <w:bookmarkStart w:id="16" w:name="_Ref502138026"/>
      <w:r>
        <w:rPr>
          <w:rFonts w:cstheme="minorHAnsi"/>
        </w:rPr>
        <w:lastRenderedPageBreak/>
        <w:t xml:space="preserve">As of </w:t>
      </w:r>
      <w:r w:rsidR="001F4ED7">
        <w:rPr>
          <w:rFonts w:cstheme="minorHAnsi"/>
        </w:rPr>
        <w:t>the time of this report</w:t>
      </w:r>
      <w:r>
        <w:rPr>
          <w:rFonts w:cstheme="minorHAnsi"/>
        </w:rPr>
        <w:t xml:space="preserve">, there are </w:t>
      </w:r>
      <w:r w:rsidR="006F17F3">
        <w:rPr>
          <w:rFonts w:cstheme="minorHAnsi"/>
        </w:rPr>
        <w:t xml:space="preserve">52 </w:t>
      </w:r>
      <w:r>
        <w:rPr>
          <w:rFonts w:cstheme="minorHAnsi"/>
        </w:rPr>
        <w:t xml:space="preserve">trials posted on </w:t>
      </w:r>
      <w:hyperlink r:id="rId22" w:history="1">
        <w:r w:rsidR="0091460A">
          <w:rPr>
            <w:rStyle w:val="Hyperlink"/>
            <w:rFonts w:cstheme="minorHAnsi"/>
          </w:rPr>
          <w:t>https://clinicaltrials.gov/</w:t>
        </w:r>
      </w:hyperlink>
      <w:r w:rsidR="0091460A" w:rsidDel="0091460A">
        <w:rPr>
          <w:rFonts w:cstheme="minorHAnsi"/>
        </w:rPr>
        <w:t xml:space="preserve"> </w:t>
      </w:r>
      <w:r>
        <w:rPr>
          <w:rFonts w:cstheme="minorHAnsi"/>
        </w:rPr>
        <w:t>Clinicaltrials.</w:t>
      </w:r>
      <w:r w:rsidRPr="001C1DC2">
        <w:rPr>
          <w:rFonts w:cstheme="minorHAnsi"/>
        </w:rPr>
        <w:t>gov (</w:t>
      </w:r>
      <w:r w:rsidR="000B324E">
        <w:rPr>
          <w:rFonts w:cstheme="minorHAnsi"/>
        </w:rPr>
        <w:fldChar w:fldCharType="begin"/>
      </w:r>
      <w:r w:rsidR="000B324E">
        <w:rPr>
          <w:rFonts w:cstheme="minorHAnsi"/>
        </w:rPr>
        <w:instrText xml:space="preserve"> REF _Ref35522975 \h </w:instrText>
      </w:r>
      <w:r w:rsidR="000B324E">
        <w:rPr>
          <w:rFonts w:cstheme="minorHAnsi"/>
        </w:rPr>
      </w:r>
      <w:r w:rsidR="000B324E">
        <w:rPr>
          <w:rFonts w:cstheme="minorHAnsi"/>
        </w:rPr>
        <w:fldChar w:fldCharType="separate"/>
      </w:r>
      <w:r w:rsidR="00B263AB" w:rsidRPr="006B5FA0">
        <w:rPr>
          <w:rFonts w:cstheme="minorHAnsi"/>
        </w:rPr>
        <w:t xml:space="preserve">Table </w:t>
      </w:r>
      <w:r w:rsidR="00B263AB">
        <w:rPr>
          <w:rFonts w:cstheme="minorHAnsi"/>
          <w:noProof/>
        </w:rPr>
        <w:t>2</w:t>
      </w:r>
      <w:r w:rsidR="000B324E">
        <w:rPr>
          <w:rFonts w:cstheme="minorHAnsi"/>
        </w:rPr>
        <w:fldChar w:fldCharType="end"/>
      </w:r>
      <w:r w:rsidRPr="001C1DC2">
        <w:rPr>
          <w:rFonts w:cstheme="minorHAnsi"/>
        </w:rPr>
        <w:t>),</w:t>
      </w:r>
      <w:r>
        <w:rPr>
          <w:rFonts w:cstheme="minorHAnsi"/>
        </w:rPr>
        <w:t xml:space="preserve"> </w:t>
      </w:r>
      <w:r w:rsidR="006F17F3">
        <w:rPr>
          <w:rFonts w:cstheme="minorHAnsi"/>
        </w:rPr>
        <w:t xml:space="preserve">8 </w:t>
      </w:r>
      <w:r w:rsidR="001F4ED7">
        <w:rPr>
          <w:rFonts w:cstheme="minorHAnsi"/>
        </w:rPr>
        <w:t xml:space="preserve">trails posted on </w:t>
      </w:r>
      <w:hyperlink r:id="rId23" w:history="1">
        <w:r w:rsidR="0091460A" w:rsidRPr="007E6DC2">
          <w:rPr>
            <w:rStyle w:val="Hyperlink"/>
            <w:rFonts w:cstheme="minorHAnsi"/>
          </w:rPr>
          <w:t>clinicaltrialsregister.eu</w:t>
        </w:r>
      </w:hyperlink>
      <w:r w:rsidR="001F4ED7">
        <w:rPr>
          <w:rStyle w:val="Hyperlink"/>
          <w:rFonts w:cstheme="minorHAnsi"/>
          <w:u w:val="none"/>
        </w:rPr>
        <w:t xml:space="preserve"> </w:t>
      </w:r>
      <w:r>
        <w:rPr>
          <w:rFonts w:cstheme="minorHAnsi"/>
          <w:color w:val="000000"/>
        </w:rPr>
        <w:t>clinicaltrialsregister.eu</w:t>
      </w:r>
      <w:r>
        <w:rPr>
          <w:rFonts w:cstheme="minorHAnsi"/>
        </w:rPr>
        <w:t xml:space="preserve"> (</w:t>
      </w:r>
      <w:r w:rsidR="009D220C">
        <w:rPr>
          <w:rFonts w:cstheme="minorHAnsi"/>
        </w:rPr>
        <w:fldChar w:fldCharType="begin"/>
      </w:r>
      <w:r w:rsidR="009D220C">
        <w:rPr>
          <w:rFonts w:cstheme="minorHAnsi"/>
        </w:rPr>
        <w:instrText xml:space="preserve"> REF _Ref33019988 \h </w:instrText>
      </w:r>
      <w:r w:rsidR="009D220C">
        <w:rPr>
          <w:rFonts w:cstheme="minorHAnsi"/>
        </w:rPr>
      </w:r>
      <w:r w:rsidR="009D220C">
        <w:rPr>
          <w:rFonts w:cstheme="minorHAnsi"/>
        </w:rPr>
        <w:fldChar w:fldCharType="separate"/>
      </w:r>
      <w:r w:rsidR="00B263AB">
        <w:t xml:space="preserve">Table </w:t>
      </w:r>
      <w:r w:rsidR="00B263AB">
        <w:rPr>
          <w:noProof/>
        </w:rPr>
        <w:t>3</w:t>
      </w:r>
      <w:r w:rsidR="009D220C">
        <w:rPr>
          <w:rFonts w:cstheme="minorHAnsi"/>
        </w:rPr>
        <w:fldChar w:fldCharType="end"/>
      </w:r>
      <w:r w:rsidR="009D220C">
        <w:rPr>
          <w:rFonts w:cstheme="minorHAnsi"/>
        </w:rPr>
        <w:t>)</w:t>
      </w:r>
      <w:r>
        <w:rPr>
          <w:rFonts w:cstheme="minorHAnsi"/>
        </w:rPr>
        <w:t xml:space="preserve"> and </w:t>
      </w:r>
      <w:r w:rsidR="006F17F3">
        <w:rPr>
          <w:rFonts w:cstheme="minorHAnsi"/>
        </w:rPr>
        <w:t xml:space="preserve">1 </w:t>
      </w:r>
      <w:r w:rsidR="001F4ED7">
        <w:rPr>
          <w:rFonts w:cstheme="minorHAnsi"/>
        </w:rPr>
        <w:t xml:space="preserve">trial posted on </w:t>
      </w:r>
      <w:r>
        <w:rPr>
          <w:rFonts w:cstheme="minorHAnsi"/>
        </w:rPr>
        <w:t>WHO or ORCID (</w:t>
      </w:r>
      <w:r w:rsidR="009D220C">
        <w:rPr>
          <w:rFonts w:cstheme="minorHAnsi"/>
        </w:rPr>
        <w:fldChar w:fldCharType="begin"/>
      </w:r>
      <w:r w:rsidR="009D220C">
        <w:rPr>
          <w:rFonts w:cstheme="minorHAnsi"/>
        </w:rPr>
        <w:instrText xml:space="preserve"> REF _Ref33020027 \h </w:instrText>
      </w:r>
      <w:r w:rsidR="009D220C">
        <w:rPr>
          <w:rFonts w:cstheme="minorHAnsi"/>
        </w:rPr>
      </w:r>
      <w:r w:rsidR="009D220C">
        <w:rPr>
          <w:rFonts w:cstheme="minorHAnsi"/>
        </w:rPr>
        <w:fldChar w:fldCharType="separate"/>
      </w:r>
      <w:r w:rsidR="00B263AB">
        <w:t xml:space="preserve">Table </w:t>
      </w:r>
      <w:r w:rsidR="00B263AB">
        <w:rPr>
          <w:noProof/>
        </w:rPr>
        <w:t>4</w:t>
      </w:r>
      <w:r w:rsidR="009D220C">
        <w:rPr>
          <w:rFonts w:cstheme="minorHAnsi"/>
        </w:rPr>
        <w:fldChar w:fldCharType="end"/>
      </w:r>
      <w:r>
        <w:rPr>
          <w:rFonts w:cstheme="minorHAnsi"/>
        </w:rPr>
        <w:t>).</w:t>
      </w:r>
      <w:r>
        <w:t xml:space="preserve">  None of these trials are sponsored under IND </w:t>
      </w:r>
      <w:proofErr w:type="gramStart"/>
      <w:r>
        <w:t>76,651, but</w:t>
      </w:r>
      <w:proofErr w:type="gramEnd"/>
      <w:r>
        <w:t xml:space="preserve"> are sponsored by the different institutions</w:t>
      </w:r>
      <w:r w:rsidR="001F4ED7">
        <w:t>.</w:t>
      </w:r>
    </w:p>
    <w:p w14:paraId="2709A5E4" w14:textId="77777777" w:rsidR="00EE3290" w:rsidRDefault="00EE3290" w:rsidP="00980B07"/>
    <w:p w14:paraId="32B53D04" w14:textId="5C02B42C" w:rsidR="00097B3B" w:rsidRPr="006B5FA0" w:rsidRDefault="00097B3B" w:rsidP="00097B3B">
      <w:pPr>
        <w:pStyle w:val="Caption"/>
        <w:rPr>
          <w:rFonts w:cstheme="minorHAnsi"/>
        </w:rPr>
      </w:pPr>
      <w:bookmarkStart w:id="17" w:name="_Ref35522975"/>
      <w:r w:rsidRPr="006B5FA0">
        <w:rPr>
          <w:rFonts w:cstheme="minorHAnsi"/>
        </w:rPr>
        <w:t xml:space="preserve">Table </w:t>
      </w:r>
      <w:r w:rsidRPr="00A0349F">
        <w:fldChar w:fldCharType="begin"/>
      </w:r>
      <w:r w:rsidRPr="006B5FA0">
        <w:rPr>
          <w:rFonts w:cstheme="minorHAnsi"/>
        </w:rPr>
        <w:instrText xml:space="preserve"> SEQ Table \* ARABIC </w:instrText>
      </w:r>
      <w:r w:rsidRPr="00A0349F">
        <w:fldChar w:fldCharType="separate"/>
      </w:r>
      <w:r w:rsidR="00B263AB">
        <w:rPr>
          <w:rFonts w:cstheme="minorHAnsi"/>
          <w:noProof/>
        </w:rPr>
        <w:t>2</w:t>
      </w:r>
      <w:r w:rsidRPr="00A0349F">
        <w:fldChar w:fldCharType="end"/>
      </w:r>
      <w:bookmarkEnd w:id="15"/>
      <w:bookmarkEnd w:id="17"/>
      <w:r w:rsidRPr="006B5FA0">
        <w:rPr>
          <w:rFonts w:cstheme="minorHAnsi"/>
        </w:rPr>
        <w:t>.  Trials listed on Clinical Trials.gov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24"/>
        <w:gridCol w:w="1241"/>
        <w:gridCol w:w="2498"/>
        <w:gridCol w:w="2264"/>
        <w:gridCol w:w="4417"/>
      </w:tblGrid>
      <w:tr w:rsidR="00097B3B" w:rsidRPr="00983219" w14:paraId="3E77610A" w14:textId="77777777" w:rsidTr="00252893">
        <w:trPr>
          <w:cantSplit/>
          <w:trHeight w:val="20"/>
          <w:tblHeader/>
        </w:trPr>
        <w:tc>
          <w:tcPr>
            <w:tcW w:w="3524" w:type="dxa"/>
            <w:shd w:val="clear" w:color="auto" w:fill="00B0F0"/>
            <w:tcMar>
              <w:top w:w="15" w:type="dxa"/>
              <w:left w:w="15" w:type="dxa"/>
              <w:bottom w:w="0" w:type="dxa"/>
              <w:right w:w="15" w:type="dxa"/>
            </w:tcMar>
            <w:vAlign w:val="center"/>
            <w:hideMark/>
          </w:tcPr>
          <w:p w14:paraId="6DF28A4F" w14:textId="77777777" w:rsidR="00097B3B" w:rsidRPr="00983219" w:rsidRDefault="00097B3B">
            <w:pPr>
              <w:rPr>
                <w:rFonts w:cstheme="minorHAnsi"/>
                <w:b/>
                <w:bCs/>
                <w:color w:val="000000"/>
                <w:sz w:val="20"/>
                <w:szCs w:val="20"/>
              </w:rPr>
            </w:pPr>
            <w:r w:rsidRPr="00983219">
              <w:rPr>
                <w:rFonts w:cstheme="minorHAnsi"/>
                <w:b/>
                <w:bCs/>
                <w:color w:val="000000"/>
                <w:sz w:val="20"/>
                <w:szCs w:val="20"/>
              </w:rPr>
              <w:t>Title</w:t>
            </w:r>
          </w:p>
        </w:tc>
        <w:tc>
          <w:tcPr>
            <w:tcW w:w="1241" w:type="dxa"/>
            <w:shd w:val="clear" w:color="auto" w:fill="00B0F0"/>
            <w:tcMar>
              <w:top w:w="15" w:type="dxa"/>
              <w:left w:w="15" w:type="dxa"/>
              <w:bottom w:w="0" w:type="dxa"/>
              <w:right w:w="15" w:type="dxa"/>
            </w:tcMar>
            <w:vAlign w:val="center"/>
            <w:hideMark/>
          </w:tcPr>
          <w:p w14:paraId="0CB0D9F6" w14:textId="77777777" w:rsidR="00097B3B" w:rsidRPr="00983219" w:rsidRDefault="00097B3B">
            <w:pPr>
              <w:rPr>
                <w:rFonts w:cstheme="minorHAnsi"/>
                <w:b/>
                <w:bCs/>
                <w:color w:val="000000"/>
                <w:sz w:val="20"/>
                <w:szCs w:val="20"/>
              </w:rPr>
            </w:pPr>
            <w:r w:rsidRPr="00983219">
              <w:rPr>
                <w:rFonts w:cstheme="minorHAnsi"/>
                <w:b/>
                <w:bCs/>
                <w:color w:val="000000"/>
                <w:sz w:val="20"/>
                <w:szCs w:val="20"/>
              </w:rPr>
              <w:t>Status</w:t>
            </w:r>
          </w:p>
        </w:tc>
        <w:tc>
          <w:tcPr>
            <w:tcW w:w="2498" w:type="dxa"/>
            <w:shd w:val="clear" w:color="auto" w:fill="00B0F0"/>
            <w:tcMar>
              <w:top w:w="15" w:type="dxa"/>
              <w:left w:w="15" w:type="dxa"/>
              <w:bottom w:w="0" w:type="dxa"/>
              <w:right w:w="15" w:type="dxa"/>
            </w:tcMar>
            <w:vAlign w:val="center"/>
            <w:hideMark/>
          </w:tcPr>
          <w:p w14:paraId="77A65D26" w14:textId="77777777" w:rsidR="00097B3B" w:rsidRPr="00983219" w:rsidRDefault="00097B3B">
            <w:pPr>
              <w:rPr>
                <w:rFonts w:cstheme="minorHAnsi"/>
                <w:b/>
                <w:bCs/>
                <w:color w:val="000000"/>
                <w:sz w:val="20"/>
                <w:szCs w:val="20"/>
              </w:rPr>
            </w:pPr>
            <w:r w:rsidRPr="00983219">
              <w:rPr>
                <w:rFonts w:cstheme="minorHAnsi"/>
                <w:b/>
                <w:bCs/>
                <w:color w:val="000000"/>
                <w:sz w:val="20"/>
                <w:szCs w:val="20"/>
              </w:rPr>
              <w:t>Disease</w:t>
            </w:r>
          </w:p>
        </w:tc>
        <w:tc>
          <w:tcPr>
            <w:tcW w:w="2264" w:type="dxa"/>
            <w:shd w:val="clear" w:color="auto" w:fill="00B0F0"/>
            <w:tcMar>
              <w:top w:w="15" w:type="dxa"/>
              <w:left w:w="15" w:type="dxa"/>
              <w:bottom w:w="0" w:type="dxa"/>
              <w:right w:w="15" w:type="dxa"/>
            </w:tcMar>
            <w:vAlign w:val="center"/>
            <w:hideMark/>
          </w:tcPr>
          <w:p w14:paraId="44507024" w14:textId="77777777" w:rsidR="00097B3B" w:rsidRPr="00983219" w:rsidRDefault="00097B3B">
            <w:pPr>
              <w:rPr>
                <w:rFonts w:cstheme="minorHAnsi"/>
                <w:b/>
                <w:bCs/>
                <w:color w:val="000000"/>
                <w:sz w:val="20"/>
                <w:szCs w:val="20"/>
              </w:rPr>
            </w:pPr>
            <w:r w:rsidRPr="00983219">
              <w:rPr>
                <w:rFonts w:cstheme="minorHAnsi"/>
                <w:b/>
                <w:bCs/>
                <w:color w:val="000000"/>
                <w:sz w:val="20"/>
                <w:szCs w:val="20"/>
              </w:rPr>
              <w:t>Institution</w:t>
            </w:r>
          </w:p>
        </w:tc>
        <w:tc>
          <w:tcPr>
            <w:tcW w:w="4417" w:type="dxa"/>
            <w:shd w:val="clear" w:color="auto" w:fill="00B0F0"/>
            <w:tcMar>
              <w:top w:w="15" w:type="dxa"/>
              <w:left w:w="15" w:type="dxa"/>
              <w:bottom w:w="0" w:type="dxa"/>
              <w:right w:w="15" w:type="dxa"/>
            </w:tcMar>
            <w:vAlign w:val="center"/>
            <w:hideMark/>
          </w:tcPr>
          <w:p w14:paraId="5CEB004D" w14:textId="77777777" w:rsidR="00097B3B" w:rsidRPr="00983219" w:rsidRDefault="00097B3B">
            <w:pPr>
              <w:rPr>
                <w:rFonts w:cstheme="minorHAnsi"/>
                <w:b/>
                <w:bCs/>
                <w:color w:val="000000"/>
                <w:sz w:val="20"/>
                <w:szCs w:val="20"/>
              </w:rPr>
            </w:pPr>
            <w:r w:rsidRPr="00983219">
              <w:rPr>
                <w:rFonts w:cstheme="minorHAnsi"/>
                <w:b/>
                <w:bCs/>
                <w:color w:val="000000"/>
                <w:sz w:val="20"/>
                <w:szCs w:val="20"/>
              </w:rPr>
              <w:t>Link</w:t>
            </w:r>
          </w:p>
        </w:tc>
      </w:tr>
      <w:tr w:rsidR="00097B3B" w:rsidRPr="00983219" w14:paraId="17A501D9" w14:textId="77777777" w:rsidTr="00202E51">
        <w:trPr>
          <w:cantSplit/>
          <w:trHeight w:val="20"/>
        </w:trPr>
        <w:tc>
          <w:tcPr>
            <w:tcW w:w="3524" w:type="dxa"/>
            <w:shd w:val="clear" w:color="auto" w:fill="auto"/>
            <w:tcMar>
              <w:top w:w="15" w:type="dxa"/>
              <w:left w:w="15" w:type="dxa"/>
              <w:bottom w:w="0" w:type="dxa"/>
              <w:right w:w="15" w:type="dxa"/>
            </w:tcMar>
            <w:vAlign w:val="center"/>
            <w:hideMark/>
          </w:tcPr>
          <w:p w14:paraId="04D29906" w14:textId="4DE30F7B" w:rsidR="00097B3B" w:rsidRPr="00983219" w:rsidRDefault="00097B3B">
            <w:pPr>
              <w:rPr>
                <w:rFonts w:cstheme="minorHAnsi"/>
                <w:color w:val="000000"/>
                <w:sz w:val="20"/>
                <w:szCs w:val="20"/>
              </w:rPr>
            </w:pPr>
            <w:r w:rsidRPr="00983219">
              <w:rPr>
                <w:rFonts w:cstheme="minorHAnsi"/>
                <w:color w:val="000000"/>
                <w:sz w:val="20"/>
                <w:szCs w:val="20"/>
              </w:rPr>
              <w:t>Molecular</w:t>
            </w:r>
            <w:r w:rsidRPr="00983219">
              <w:rPr>
                <w:rFonts w:cstheme="minorHAnsi"/>
                <w:color w:val="1A3D85"/>
                <w:sz w:val="20"/>
                <w:szCs w:val="20"/>
              </w:rPr>
              <w:t> </w:t>
            </w:r>
            <w:r w:rsidRPr="00983219">
              <w:rPr>
                <w:rFonts w:cstheme="minorHAnsi"/>
                <w:color w:val="000000"/>
                <w:sz w:val="20"/>
                <w:szCs w:val="20"/>
              </w:rPr>
              <w:t xml:space="preserve">Imaging and Spectroscopy </w:t>
            </w:r>
            <w:r w:rsidR="007F4304" w:rsidRPr="00983219">
              <w:rPr>
                <w:rFonts w:cstheme="minorHAnsi"/>
                <w:color w:val="000000"/>
                <w:sz w:val="20"/>
                <w:szCs w:val="20"/>
              </w:rPr>
              <w:t xml:space="preserve">with </w:t>
            </w:r>
            <w:r w:rsidRPr="00983219">
              <w:rPr>
                <w:rFonts w:cstheme="minorHAnsi"/>
                <w:color w:val="000000"/>
                <w:sz w:val="20"/>
                <w:szCs w:val="20"/>
              </w:rPr>
              <w:t>Stable Isotopes in Oncology and Neurology</w:t>
            </w:r>
          </w:p>
        </w:tc>
        <w:tc>
          <w:tcPr>
            <w:tcW w:w="1241" w:type="dxa"/>
            <w:shd w:val="clear" w:color="auto" w:fill="auto"/>
            <w:tcMar>
              <w:top w:w="15" w:type="dxa"/>
              <w:left w:w="15" w:type="dxa"/>
              <w:bottom w:w="0" w:type="dxa"/>
              <w:right w:w="15" w:type="dxa"/>
            </w:tcMar>
            <w:vAlign w:val="center"/>
            <w:hideMark/>
          </w:tcPr>
          <w:p w14:paraId="1E452D3C" w14:textId="6EC6D36C" w:rsidR="00097B3B" w:rsidRPr="00983219" w:rsidRDefault="001653B0">
            <w:pPr>
              <w:rPr>
                <w:rFonts w:cstheme="minorHAnsi"/>
                <w:color w:val="000000"/>
                <w:sz w:val="20"/>
                <w:szCs w:val="20"/>
              </w:rPr>
            </w:pPr>
            <w:r w:rsidRPr="00983219">
              <w:rPr>
                <w:rFonts w:cstheme="minorHAnsi"/>
                <w:color w:val="000000"/>
                <w:sz w:val="20"/>
                <w:szCs w:val="20"/>
              </w:rPr>
              <w:t>Unknown</w:t>
            </w:r>
          </w:p>
        </w:tc>
        <w:tc>
          <w:tcPr>
            <w:tcW w:w="2498" w:type="dxa"/>
            <w:shd w:val="clear" w:color="auto" w:fill="auto"/>
            <w:tcMar>
              <w:top w:w="15" w:type="dxa"/>
              <w:left w:w="15" w:type="dxa"/>
              <w:bottom w:w="0" w:type="dxa"/>
              <w:right w:w="15" w:type="dxa"/>
            </w:tcMar>
            <w:vAlign w:val="center"/>
            <w:hideMark/>
          </w:tcPr>
          <w:p w14:paraId="5EE51729" w14:textId="77777777" w:rsidR="00097B3B" w:rsidRPr="00983219" w:rsidRDefault="00097B3B">
            <w:pPr>
              <w:rPr>
                <w:rFonts w:cstheme="minorHAnsi"/>
                <w:color w:val="000000"/>
                <w:sz w:val="20"/>
                <w:szCs w:val="20"/>
              </w:rPr>
            </w:pPr>
            <w:r w:rsidRPr="00983219">
              <w:rPr>
                <w:rFonts w:cstheme="minorHAnsi"/>
                <w:color w:val="000000"/>
                <w:sz w:val="20"/>
                <w:szCs w:val="20"/>
              </w:rPr>
              <w:t>Ovarian Cancer</w:t>
            </w:r>
          </w:p>
        </w:tc>
        <w:tc>
          <w:tcPr>
            <w:tcW w:w="2264" w:type="dxa"/>
            <w:shd w:val="clear" w:color="auto" w:fill="auto"/>
            <w:tcMar>
              <w:top w:w="15" w:type="dxa"/>
              <w:left w:w="15" w:type="dxa"/>
              <w:bottom w:w="0" w:type="dxa"/>
              <w:right w:w="15" w:type="dxa"/>
            </w:tcMar>
            <w:vAlign w:val="center"/>
            <w:hideMark/>
          </w:tcPr>
          <w:p w14:paraId="15B65ADC" w14:textId="77777777" w:rsidR="00097B3B" w:rsidRPr="00983219" w:rsidRDefault="00097B3B">
            <w:pPr>
              <w:rPr>
                <w:rFonts w:cstheme="minorHAnsi"/>
                <w:color w:val="000000"/>
                <w:sz w:val="20"/>
                <w:szCs w:val="20"/>
              </w:rPr>
            </w:pPr>
            <w:r w:rsidRPr="00983219">
              <w:rPr>
                <w:rFonts w:cstheme="minorHAnsi"/>
                <w:color w:val="000000"/>
                <w:sz w:val="20"/>
                <w:szCs w:val="20"/>
              </w:rPr>
              <w:t>Addenbrooke's Hospital, Cambridge, United Kingdom</w:t>
            </w:r>
          </w:p>
        </w:tc>
        <w:tc>
          <w:tcPr>
            <w:tcW w:w="4417" w:type="dxa"/>
            <w:shd w:val="clear" w:color="auto" w:fill="auto"/>
            <w:tcMar>
              <w:top w:w="15" w:type="dxa"/>
              <w:left w:w="15" w:type="dxa"/>
              <w:bottom w:w="0" w:type="dxa"/>
              <w:right w:w="15" w:type="dxa"/>
            </w:tcMar>
            <w:vAlign w:val="center"/>
            <w:hideMark/>
          </w:tcPr>
          <w:p w14:paraId="0FC87108" w14:textId="77777777" w:rsidR="00097B3B" w:rsidRPr="00983219" w:rsidRDefault="00955B21">
            <w:pPr>
              <w:rPr>
                <w:rFonts w:cstheme="minorHAnsi"/>
                <w:color w:val="0563C1"/>
                <w:sz w:val="20"/>
                <w:szCs w:val="20"/>
                <w:u w:val="single"/>
              </w:rPr>
            </w:pPr>
            <w:hyperlink r:id="rId24" w:history="1">
              <w:r w:rsidR="00097B3B" w:rsidRPr="00983219">
                <w:rPr>
                  <w:rStyle w:val="Hyperlink"/>
                  <w:rFonts w:cstheme="minorHAnsi"/>
                  <w:sz w:val="20"/>
                  <w:szCs w:val="20"/>
                </w:rPr>
                <w:t>https://clinicaltrials.gov/ct2/show/NCT03526809</w:t>
              </w:r>
            </w:hyperlink>
          </w:p>
        </w:tc>
      </w:tr>
      <w:tr w:rsidR="001653B0" w:rsidRPr="00983219" w14:paraId="1E684CE7" w14:textId="77777777" w:rsidTr="00202E51">
        <w:trPr>
          <w:cantSplit/>
          <w:trHeight w:val="20"/>
        </w:trPr>
        <w:tc>
          <w:tcPr>
            <w:tcW w:w="3524" w:type="dxa"/>
            <w:shd w:val="clear" w:color="auto" w:fill="auto"/>
            <w:tcMar>
              <w:top w:w="15" w:type="dxa"/>
              <w:left w:w="15" w:type="dxa"/>
              <w:bottom w:w="0" w:type="dxa"/>
              <w:right w:w="15" w:type="dxa"/>
            </w:tcMar>
          </w:tcPr>
          <w:p w14:paraId="3D569DD2" w14:textId="6C3ECAA5" w:rsidR="001653B0" w:rsidRPr="00983219" w:rsidRDefault="001653B0" w:rsidP="001653B0">
            <w:pPr>
              <w:rPr>
                <w:rFonts w:cstheme="minorHAnsi"/>
                <w:color w:val="000000"/>
                <w:sz w:val="20"/>
                <w:szCs w:val="20"/>
              </w:rPr>
            </w:pPr>
            <w:r w:rsidRPr="00983219">
              <w:rPr>
                <w:rFonts w:cstheme="minorHAnsi"/>
                <w:sz w:val="20"/>
                <w:szCs w:val="20"/>
              </w:rPr>
              <w:t>Investigation of Differential Biology of Benign and Malignant Renal Masses Using Advanced Magnetic Resonance Imaging Techniques (IBM-Renal)</w:t>
            </w:r>
          </w:p>
        </w:tc>
        <w:tc>
          <w:tcPr>
            <w:tcW w:w="1241" w:type="dxa"/>
            <w:shd w:val="clear" w:color="auto" w:fill="auto"/>
            <w:tcMar>
              <w:top w:w="15" w:type="dxa"/>
              <w:left w:w="15" w:type="dxa"/>
              <w:bottom w:w="0" w:type="dxa"/>
              <w:right w:w="15" w:type="dxa"/>
            </w:tcMar>
          </w:tcPr>
          <w:p w14:paraId="3EF15AFB" w14:textId="3FF10AC3" w:rsidR="001653B0" w:rsidRPr="00983219" w:rsidDel="001653B0" w:rsidRDefault="001653B0" w:rsidP="001653B0">
            <w:pPr>
              <w:rPr>
                <w:rFonts w:cstheme="minorHAnsi"/>
                <w:color w:val="000000"/>
                <w:sz w:val="20"/>
                <w:szCs w:val="20"/>
              </w:rPr>
            </w:pPr>
            <w:r w:rsidRPr="00983219">
              <w:rPr>
                <w:rFonts w:cstheme="minorHAnsi"/>
                <w:sz w:val="20"/>
                <w:szCs w:val="20"/>
              </w:rPr>
              <w:t>Recruiting</w:t>
            </w:r>
          </w:p>
        </w:tc>
        <w:tc>
          <w:tcPr>
            <w:tcW w:w="2498" w:type="dxa"/>
            <w:shd w:val="clear" w:color="auto" w:fill="auto"/>
            <w:tcMar>
              <w:top w:w="15" w:type="dxa"/>
              <w:left w:w="15" w:type="dxa"/>
              <w:bottom w:w="0" w:type="dxa"/>
              <w:right w:w="15" w:type="dxa"/>
            </w:tcMar>
          </w:tcPr>
          <w:p w14:paraId="4C3C12EB" w14:textId="1D36A732" w:rsidR="001653B0" w:rsidRPr="00983219" w:rsidRDefault="001653B0" w:rsidP="001653B0">
            <w:pPr>
              <w:rPr>
                <w:rFonts w:cstheme="minorHAnsi"/>
                <w:color w:val="000000"/>
                <w:sz w:val="20"/>
                <w:szCs w:val="20"/>
              </w:rPr>
            </w:pPr>
            <w:r w:rsidRPr="00983219">
              <w:rPr>
                <w:rFonts w:cstheme="minorHAnsi"/>
                <w:sz w:val="20"/>
                <w:szCs w:val="20"/>
              </w:rPr>
              <w:t>Kidney Cancer</w:t>
            </w:r>
          </w:p>
        </w:tc>
        <w:tc>
          <w:tcPr>
            <w:tcW w:w="2264" w:type="dxa"/>
            <w:shd w:val="clear" w:color="auto" w:fill="auto"/>
            <w:tcMar>
              <w:top w:w="15" w:type="dxa"/>
              <w:left w:w="15" w:type="dxa"/>
              <w:bottom w:w="0" w:type="dxa"/>
              <w:right w:w="15" w:type="dxa"/>
            </w:tcMar>
          </w:tcPr>
          <w:p w14:paraId="37AEA301" w14:textId="54B8E029" w:rsidR="001653B0" w:rsidRPr="00983219" w:rsidRDefault="001653B0" w:rsidP="001653B0">
            <w:pPr>
              <w:rPr>
                <w:rFonts w:cstheme="minorHAnsi"/>
                <w:color w:val="000000"/>
                <w:sz w:val="20"/>
                <w:szCs w:val="20"/>
              </w:rPr>
            </w:pPr>
            <w:r w:rsidRPr="00983219">
              <w:rPr>
                <w:rFonts w:cstheme="minorHAnsi"/>
                <w:sz w:val="20"/>
                <w:szCs w:val="20"/>
              </w:rPr>
              <w:t>University of Cambridge, United Kingdom</w:t>
            </w:r>
          </w:p>
        </w:tc>
        <w:tc>
          <w:tcPr>
            <w:tcW w:w="4417" w:type="dxa"/>
            <w:shd w:val="clear" w:color="auto" w:fill="auto"/>
            <w:tcMar>
              <w:top w:w="15" w:type="dxa"/>
              <w:left w:w="15" w:type="dxa"/>
              <w:bottom w:w="0" w:type="dxa"/>
              <w:right w:w="15" w:type="dxa"/>
            </w:tcMar>
          </w:tcPr>
          <w:p w14:paraId="41B02AD7" w14:textId="3D5C27F5" w:rsidR="00983219" w:rsidRPr="00983219" w:rsidRDefault="00955B21" w:rsidP="00983219">
            <w:pPr>
              <w:rPr>
                <w:rFonts w:cstheme="minorHAnsi"/>
                <w:sz w:val="20"/>
                <w:szCs w:val="20"/>
              </w:rPr>
            </w:pPr>
            <w:hyperlink r:id="rId25" w:history="1">
              <w:r w:rsidR="00983219" w:rsidRPr="002C0645">
                <w:rPr>
                  <w:rStyle w:val="Hyperlink"/>
                  <w:rFonts w:cstheme="minorHAnsi"/>
                  <w:sz w:val="20"/>
                  <w:szCs w:val="20"/>
                </w:rPr>
                <w:t>https://clinicaltrials.gov/study/NCT06016075</w:t>
              </w:r>
            </w:hyperlink>
          </w:p>
        </w:tc>
      </w:tr>
      <w:tr w:rsidR="00097B3B" w:rsidRPr="00983219" w14:paraId="553D4AA0" w14:textId="77777777" w:rsidTr="00202E51">
        <w:trPr>
          <w:cantSplit/>
          <w:trHeight w:val="20"/>
        </w:trPr>
        <w:tc>
          <w:tcPr>
            <w:tcW w:w="3524" w:type="dxa"/>
            <w:shd w:val="clear" w:color="auto" w:fill="auto"/>
            <w:tcMar>
              <w:top w:w="15" w:type="dxa"/>
              <w:left w:w="15" w:type="dxa"/>
              <w:bottom w:w="0" w:type="dxa"/>
              <w:right w:w="15" w:type="dxa"/>
            </w:tcMar>
            <w:vAlign w:val="center"/>
            <w:hideMark/>
          </w:tcPr>
          <w:p w14:paraId="30448F51" w14:textId="1AD5BAA0" w:rsidR="00097B3B" w:rsidRPr="00983219" w:rsidRDefault="00097B3B">
            <w:pPr>
              <w:rPr>
                <w:rFonts w:cstheme="minorHAnsi"/>
                <w:color w:val="000000"/>
                <w:sz w:val="20"/>
                <w:szCs w:val="20"/>
              </w:rPr>
            </w:pPr>
            <w:r w:rsidRPr="00983219">
              <w:rPr>
                <w:rFonts w:cstheme="minorHAnsi"/>
                <w:color w:val="000000"/>
                <w:sz w:val="20"/>
                <w:szCs w:val="20"/>
              </w:rPr>
              <w:t xml:space="preserve">Hyperpolarized Carbon C 13 Pyruvate in Diagnosing Glioma in Patients </w:t>
            </w:r>
            <w:r w:rsidR="007F4304" w:rsidRPr="00983219">
              <w:rPr>
                <w:rFonts w:cstheme="minorHAnsi"/>
                <w:color w:val="000000"/>
                <w:sz w:val="20"/>
                <w:szCs w:val="20"/>
              </w:rPr>
              <w:t xml:space="preserve">with </w:t>
            </w:r>
            <w:r w:rsidRPr="00983219">
              <w:rPr>
                <w:rFonts w:cstheme="minorHAnsi"/>
                <w:color w:val="000000"/>
                <w:sz w:val="20"/>
                <w:szCs w:val="20"/>
              </w:rPr>
              <w:t>Brain Tumors</w:t>
            </w:r>
          </w:p>
        </w:tc>
        <w:tc>
          <w:tcPr>
            <w:tcW w:w="1241" w:type="dxa"/>
            <w:shd w:val="clear" w:color="auto" w:fill="auto"/>
            <w:tcMar>
              <w:top w:w="15" w:type="dxa"/>
              <w:left w:w="15" w:type="dxa"/>
              <w:bottom w:w="0" w:type="dxa"/>
              <w:right w:w="15" w:type="dxa"/>
            </w:tcMar>
            <w:vAlign w:val="center"/>
            <w:hideMark/>
          </w:tcPr>
          <w:p w14:paraId="513AD3B7" w14:textId="77777777" w:rsidR="00097B3B" w:rsidRPr="00983219" w:rsidRDefault="00097B3B">
            <w:pPr>
              <w:rPr>
                <w:rFonts w:cstheme="minorHAnsi"/>
                <w:color w:val="000000"/>
                <w:sz w:val="20"/>
                <w:szCs w:val="20"/>
              </w:rPr>
            </w:pPr>
            <w:r w:rsidRPr="00983219">
              <w:rPr>
                <w:rFonts w:cstheme="minorHAnsi"/>
                <w:color w:val="000000"/>
                <w:sz w:val="20"/>
                <w:szCs w:val="20"/>
              </w:rPr>
              <w:t>Recruiting</w:t>
            </w:r>
          </w:p>
        </w:tc>
        <w:tc>
          <w:tcPr>
            <w:tcW w:w="2498" w:type="dxa"/>
            <w:shd w:val="clear" w:color="auto" w:fill="auto"/>
            <w:tcMar>
              <w:top w:w="15" w:type="dxa"/>
              <w:left w:w="15" w:type="dxa"/>
              <w:bottom w:w="0" w:type="dxa"/>
              <w:right w:w="15" w:type="dxa"/>
            </w:tcMar>
            <w:vAlign w:val="center"/>
            <w:hideMark/>
          </w:tcPr>
          <w:p w14:paraId="58D903A6" w14:textId="77777777" w:rsidR="00097B3B" w:rsidRPr="00983219" w:rsidRDefault="00097B3B">
            <w:pPr>
              <w:rPr>
                <w:rFonts w:cstheme="minorHAnsi"/>
                <w:color w:val="000000"/>
                <w:sz w:val="20"/>
                <w:szCs w:val="20"/>
              </w:rPr>
            </w:pPr>
            <w:r w:rsidRPr="00983219">
              <w:rPr>
                <w:rFonts w:cstheme="minorHAnsi"/>
                <w:color w:val="000000"/>
                <w:sz w:val="20"/>
                <w:szCs w:val="20"/>
              </w:rPr>
              <w:t>Primary Brain Neoplasm</w:t>
            </w:r>
          </w:p>
        </w:tc>
        <w:tc>
          <w:tcPr>
            <w:tcW w:w="2264" w:type="dxa"/>
            <w:shd w:val="clear" w:color="auto" w:fill="auto"/>
            <w:tcMar>
              <w:top w:w="15" w:type="dxa"/>
              <w:left w:w="15" w:type="dxa"/>
              <w:bottom w:w="0" w:type="dxa"/>
              <w:right w:w="15" w:type="dxa"/>
            </w:tcMar>
            <w:vAlign w:val="center"/>
            <w:hideMark/>
          </w:tcPr>
          <w:p w14:paraId="186DCDED" w14:textId="77777777" w:rsidR="00097B3B" w:rsidRPr="00983219" w:rsidRDefault="00097B3B">
            <w:pPr>
              <w:rPr>
                <w:rFonts w:cstheme="minorHAnsi"/>
                <w:color w:val="000000"/>
                <w:sz w:val="20"/>
                <w:szCs w:val="20"/>
              </w:rPr>
            </w:pPr>
            <w:r w:rsidRPr="00983219">
              <w:rPr>
                <w:rFonts w:cstheme="minorHAnsi"/>
                <w:color w:val="000000"/>
                <w:sz w:val="20"/>
                <w:szCs w:val="20"/>
              </w:rPr>
              <w:t>M D Anderson Cancer Center, Houston, Texas, United States</w:t>
            </w:r>
          </w:p>
        </w:tc>
        <w:tc>
          <w:tcPr>
            <w:tcW w:w="4417" w:type="dxa"/>
            <w:shd w:val="clear" w:color="auto" w:fill="auto"/>
            <w:tcMar>
              <w:top w:w="15" w:type="dxa"/>
              <w:left w:w="15" w:type="dxa"/>
              <w:bottom w:w="0" w:type="dxa"/>
              <w:right w:w="15" w:type="dxa"/>
            </w:tcMar>
            <w:vAlign w:val="center"/>
            <w:hideMark/>
          </w:tcPr>
          <w:p w14:paraId="4781AFAD" w14:textId="77777777" w:rsidR="00097B3B" w:rsidRPr="00983219" w:rsidRDefault="00955B21">
            <w:pPr>
              <w:rPr>
                <w:rFonts w:cstheme="minorHAnsi"/>
                <w:color w:val="0563C1"/>
                <w:sz w:val="20"/>
                <w:szCs w:val="20"/>
                <w:u w:val="single"/>
              </w:rPr>
            </w:pPr>
            <w:hyperlink r:id="rId26" w:history="1">
              <w:r w:rsidR="00097B3B" w:rsidRPr="00983219">
                <w:rPr>
                  <w:rStyle w:val="Hyperlink"/>
                  <w:rFonts w:cstheme="minorHAnsi"/>
                  <w:sz w:val="20"/>
                  <w:szCs w:val="20"/>
                </w:rPr>
                <w:t>https://clinicaltrials.gov/ct2/show/NCT03830151</w:t>
              </w:r>
            </w:hyperlink>
          </w:p>
        </w:tc>
      </w:tr>
      <w:tr w:rsidR="001653B0" w:rsidRPr="00983219" w14:paraId="73C6D1EA" w14:textId="77777777" w:rsidTr="00202E51">
        <w:trPr>
          <w:cantSplit/>
          <w:trHeight w:val="20"/>
        </w:trPr>
        <w:tc>
          <w:tcPr>
            <w:tcW w:w="3524" w:type="dxa"/>
            <w:shd w:val="clear" w:color="auto" w:fill="auto"/>
            <w:tcMar>
              <w:top w:w="15" w:type="dxa"/>
              <w:left w:w="15" w:type="dxa"/>
              <w:bottom w:w="0" w:type="dxa"/>
              <w:right w:w="15" w:type="dxa"/>
            </w:tcMar>
          </w:tcPr>
          <w:p w14:paraId="6D846A2E" w14:textId="3B97A7D5" w:rsidR="001653B0" w:rsidRPr="00983219" w:rsidRDefault="001653B0" w:rsidP="001653B0">
            <w:pPr>
              <w:rPr>
                <w:rFonts w:cstheme="minorHAnsi"/>
                <w:color w:val="000000"/>
                <w:sz w:val="20"/>
                <w:szCs w:val="20"/>
              </w:rPr>
            </w:pPr>
            <w:r w:rsidRPr="00983219">
              <w:rPr>
                <w:rFonts w:cstheme="minorHAnsi"/>
                <w:sz w:val="20"/>
                <w:szCs w:val="20"/>
              </w:rPr>
              <w:t>HP Pyruvate MRI in Cancers (HC-MRI)</w:t>
            </w:r>
          </w:p>
        </w:tc>
        <w:tc>
          <w:tcPr>
            <w:tcW w:w="1241" w:type="dxa"/>
            <w:shd w:val="clear" w:color="auto" w:fill="auto"/>
            <w:tcMar>
              <w:top w:w="15" w:type="dxa"/>
              <w:left w:w="15" w:type="dxa"/>
              <w:bottom w:w="0" w:type="dxa"/>
              <w:right w:w="15" w:type="dxa"/>
            </w:tcMar>
          </w:tcPr>
          <w:p w14:paraId="0BEA6412" w14:textId="60FE4AAD" w:rsidR="001653B0" w:rsidRPr="00983219" w:rsidRDefault="001653B0" w:rsidP="001653B0">
            <w:pPr>
              <w:rPr>
                <w:rFonts w:cstheme="minorHAnsi"/>
                <w:color w:val="000000"/>
                <w:sz w:val="20"/>
                <w:szCs w:val="20"/>
              </w:rPr>
            </w:pPr>
            <w:r w:rsidRPr="00983219">
              <w:rPr>
                <w:rFonts w:cstheme="minorHAnsi"/>
                <w:sz w:val="20"/>
                <w:szCs w:val="20"/>
              </w:rPr>
              <w:t>Recruiting</w:t>
            </w:r>
          </w:p>
        </w:tc>
        <w:tc>
          <w:tcPr>
            <w:tcW w:w="2498" w:type="dxa"/>
            <w:shd w:val="clear" w:color="auto" w:fill="auto"/>
            <w:tcMar>
              <w:top w:w="15" w:type="dxa"/>
              <w:left w:w="15" w:type="dxa"/>
              <w:bottom w:w="0" w:type="dxa"/>
              <w:right w:w="15" w:type="dxa"/>
            </w:tcMar>
          </w:tcPr>
          <w:p w14:paraId="3A0DB5AB" w14:textId="7808309E" w:rsidR="001653B0" w:rsidRPr="00983219" w:rsidRDefault="001653B0" w:rsidP="001653B0">
            <w:pPr>
              <w:rPr>
                <w:rFonts w:cstheme="minorHAnsi"/>
                <w:color w:val="000000"/>
                <w:sz w:val="20"/>
                <w:szCs w:val="20"/>
              </w:rPr>
            </w:pPr>
            <w:r w:rsidRPr="00983219">
              <w:rPr>
                <w:rFonts w:cstheme="minorHAnsi"/>
                <w:sz w:val="20"/>
                <w:szCs w:val="20"/>
              </w:rPr>
              <w:t>Clinical Tumor Diagnosis</w:t>
            </w:r>
          </w:p>
        </w:tc>
        <w:tc>
          <w:tcPr>
            <w:tcW w:w="2264" w:type="dxa"/>
            <w:shd w:val="clear" w:color="auto" w:fill="auto"/>
            <w:tcMar>
              <w:top w:w="15" w:type="dxa"/>
              <w:left w:w="15" w:type="dxa"/>
              <w:bottom w:w="0" w:type="dxa"/>
              <w:right w:w="15" w:type="dxa"/>
            </w:tcMar>
          </w:tcPr>
          <w:p w14:paraId="3AFF44A0" w14:textId="6D3E15CE" w:rsidR="001653B0" w:rsidRPr="00983219" w:rsidRDefault="001653B0" w:rsidP="001653B0">
            <w:pPr>
              <w:rPr>
                <w:rFonts w:cstheme="minorHAnsi"/>
                <w:color w:val="000000"/>
                <w:sz w:val="20"/>
                <w:szCs w:val="20"/>
              </w:rPr>
            </w:pPr>
            <w:r w:rsidRPr="00983219">
              <w:rPr>
                <w:rFonts w:cstheme="minorHAnsi"/>
                <w:sz w:val="20"/>
                <w:szCs w:val="20"/>
              </w:rPr>
              <w:t>University of Maryland, Baltimore, United States</w:t>
            </w:r>
          </w:p>
        </w:tc>
        <w:tc>
          <w:tcPr>
            <w:tcW w:w="4417" w:type="dxa"/>
            <w:shd w:val="clear" w:color="auto" w:fill="auto"/>
            <w:tcMar>
              <w:top w:w="15" w:type="dxa"/>
              <w:left w:w="15" w:type="dxa"/>
              <w:bottom w:w="0" w:type="dxa"/>
              <w:right w:w="15" w:type="dxa"/>
            </w:tcMar>
          </w:tcPr>
          <w:p w14:paraId="6DF8905A" w14:textId="770429F1" w:rsidR="00983219" w:rsidRPr="00983219" w:rsidRDefault="00955B21" w:rsidP="00983219">
            <w:pPr>
              <w:rPr>
                <w:rFonts w:cstheme="minorHAnsi"/>
                <w:sz w:val="20"/>
                <w:szCs w:val="20"/>
              </w:rPr>
            </w:pPr>
            <w:hyperlink r:id="rId27" w:history="1">
              <w:r w:rsidR="00983219" w:rsidRPr="002C0645">
                <w:rPr>
                  <w:rStyle w:val="Hyperlink"/>
                  <w:rFonts w:cstheme="minorHAnsi"/>
                  <w:sz w:val="20"/>
                  <w:szCs w:val="20"/>
                </w:rPr>
                <w:t>https://clinicaltrials.gov/study/NCT05697406</w:t>
              </w:r>
            </w:hyperlink>
          </w:p>
        </w:tc>
      </w:tr>
      <w:tr w:rsidR="00581AD6" w:rsidRPr="00983219" w14:paraId="7001E59C" w14:textId="77777777" w:rsidTr="00202E51">
        <w:trPr>
          <w:cantSplit/>
          <w:trHeight w:val="20"/>
        </w:trPr>
        <w:tc>
          <w:tcPr>
            <w:tcW w:w="3524" w:type="dxa"/>
            <w:shd w:val="clear" w:color="auto" w:fill="auto"/>
            <w:tcMar>
              <w:top w:w="15" w:type="dxa"/>
              <w:left w:w="15" w:type="dxa"/>
              <w:bottom w:w="0" w:type="dxa"/>
              <w:right w:w="15" w:type="dxa"/>
            </w:tcMar>
          </w:tcPr>
          <w:p w14:paraId="5D6EB8BD" w14:textId="7C906496" w:rsidR="00581AD6" w:rsidRPr="00983219" w:rsidRDefault="00581AD6" w:rsidP="00581AD6">
            <w:pPr>
              <w:rPr>
                <w:rFonts w:cstheme="minorHAnsi"/>
                <w:color w:val="000000"/>
                <w:sz w:val="20"/>
                <w:szCs w:val="20"/>
              </w:rPr>
            </w:pPr>
            <w:r w:rsidRPr="00983219">
              <w:rPr>
                <w:rFonts w:cstheme="minorHAnsi"/>
                <w:sz w:val="20"/>
                <w:szCs w:val="20"/>
              </w:rPr>
              <w:t>Utility of Hyperpolarized 13C-pyruvate Metabolic Magnetic Resonance Imaging</w:t>
            </w:r>
          </w:p>
        </w:tc>
        <w:tc>
          <w:tcPr>
            <w:tcW w:w="1241" w:type="dxa"/>
            <w:shd w:val="clear" w:color="auto" w:fill="auto"/>
            <w:tcMar>
              <w:top w:w="15" w:type="dxa"/>
              <w:left w:w="15" w:type="dxa"/>
              <w:bottom w:w="0" w:type="dxa"/>
              <w:right w:w="15" w:type="dxa"/>
            </w:tcMar>
          </w:tcPr>
          <w:p w14:paraId="7BB20745" w14:textId="4A6FC242" w:rsidR="00581AD6" w:rsidRPr="00983219" w:rsidRDefault="00581AD6" w:rsidP="00581AD6">
            <w:pPr>
              <w:rPr>
                <w:rFonts w:cstheme="minorHAnsi"/>
                <w:color w:val="000000"/>
                <w:sz w:val="20"/>
                <w:szCs w:val="20"/>
              </w:rPr>
            </w:pPr>
            <w:r w:rsidRPr="00983219">
              <w:rPr>
                <w:rFonts w:cstheme="minorHAnsi"/>
                <w:sz w:val="20"/>
                <w:szCs w:val="20"/>
              </w:rPr>
              <w:t>Recruiting</w:t>
            </w:r>
          </w:p>
        </w:tc>
        <w:tc>
          <w:tcPr>
            <w:tcW w:w="2498" w:type="dxa"/>
            <w:shd w:val="clear" w:color="auto" w:fill="auto"/>
            <w:tcMar>
              <w:top w:w="15" w:type="dxa"/>
              <w:left w:w="15" w:type="dxa"/>
              <w:bottom w:w="0" w:type="dxa"/>
              <w:right w:w="15" w:type="dxa"/>
            </w:tcMar>
          </w:tcPr>
          <w:p w14:paraId="77CDCF62" w14:textId="3C7C29E1" w:rsidR="00581AD6" w:rsidRPr="00983219" w:rsidRDefault="00581AD6" w:rsidP="00581AD6">
            <w:pPr>
              <w:rPr>
                <w:rFonts w:cstheme="minorHAnsi"/>
                <w:color w:val="000000"/>
                <w:sz w:val="20"/>
                <w:szCs w:val="20"/>
              </w:rPr>
            </w:pPr>
            <w:r w:rsidRPr="00983219">
              <w:rPr>
                <w:rFonts w:cstheme="minorHAnsi"/>
                <w:sz w:val="20"/>
                <w:szCs w:val="20"/>
              </w:rPr>
              <w:t>Prostate Cancer</w:t>
            </w:r>
          </w:p>
        </w:tc>
        <w:tc>
          <w:tcPr>
            <w:tcW w:w="2264" w:type="dxa"/>
            <w:shd w:val="clear" w:color="auto" w:fill="auto"/>
            <w:tcMar>
              <w:top w:w="15" w:type="dxa"/>
              <w:left w:w="15" w:type="dxa"/>
              <w:bottom w:w="0" w:type="dxa"/>
              <w:right w:w="15" w:type="dxa"/>
            </w:tcMar>
          </w:tcPr>
          <w:p w14:paraId="2D99E368" w14:textId="025F76A8" w:rsidR="00581AD6" w:rsidRPr="00983219" w:rsidRDefault="00581AD6" w:rsidP="00581AD6">
            <w:pPr>
              <w:rPr>
                <w:rFonts w:cstheme="minorHAnsi"/>
                <w:color w:val="000000"/>
                <w:sz w:val="20"/>
                <w:szCs w:val="20"/>
              </w:rPr>
            </w:pPr>
            <w:r w:rsidRPr="00983219">
              <w:rPr>
                <w:rFonts w:cstheme="minorHAnsi"/>
                <w:sz w:val="20"/>
                <w:szCs w:val="20"/>
              </w:rPr>
              <w:t>University of Maryland, Baltimore, United States</w:t>
            </w:r>
          </w:p>
        </w:tc>
        <w:tc>
          <w:tcPr>
            <w:tcW w:w="4417" w:type="dxa"/>
            <w:shd w:val="clear" w:color="auto" w:fill="auto"/>
            <w:tcMar>
              <w:top w:w="15" w:type="dxa"/>
              <w:left w:w="15" w:type="dxa"/>
              <w:bottom w:w="0" w:type="dxa"/>
              <w:right w:w="15" w:type="dxa"/>
            </w:tcMar>
          </w:tcPr>
          <w:p w14:paraId="03B5C98D" w14:textId="5C849468" w:rsidR="00983219" w:rsidRPr="00983219" w:rsidRDefault="00955B21" w:rsidP="00983219">
            <w:pPr>
              <w:rPr>
                <w:rFonts w:cstheme="minorHAnsi"/>
                <w:sz w:val="20"/>
                <w:szCs w:val="20"/>
              </w:rPr>
            </w:pPr>
            <w:hyperlink r:id="rId28" w:history="1">
              <w:r w:rsidR="00983219" w:rsidRPr="002C0645">
                <w:rPr>
                  <w:rStyle w:val="Hyperlink"/>
                  <w:rFonts w:cstheme="minorHAnsi"/>
                  <w:sz w:val="20"/>
                  <w:szCs w:val="20"/>
                </w:rPr>
                <w:t>https://clinicaltrials.gov/study/NCT04698564</w:t>
              </w:r>
            </w:hyperlink>
          </w:p>
        </w:tc>
      </w:tr>
      <w:tr w:rsidR="00581AD6" w:rsidRPr="00983219" w14:paraId="19E0B6B0" w14:textId="77777777" w:rsidTr="00202E51">
        <w:trPr>
          <w:cantSplit/>
          <w:trHeight w:val="20"/>
        </w:trPr>
        <w:tc>
          <w:tcPr>
            <w:tcW w:w="3524" w:type="dxa"/>
            <w:shd w:val="clear" w:color="auto" w:fill="auto"/>
            <w:tcMar>
              <w:top w:w="15" w:type="dxa"/>
              <w:left w:w="15" w:type="dxa"/>
              <w:bottom w:w="0" w:type="dxa"/>
              <w:right w:w="15" w:type="dxa"/>
            </w:tcMar>
          </w:tcPr>
          <w:p w14:paraId="6E9222DB" w14:textId="4E94571A" w:rsidR="00581AD6" w:rsidRPr="00983219" w:rsidRDefault="00581AD6" w:rsidP="00581AD6">
            <w:pPr>
              <w:rPr>
                <w:rFonts w:cstheme="minorHAnsi"/>
                <w:color w:val="000000"/>
                <w:sz w:val="20"/>
                <w:szCs w:val="20"/>
              </w:rPr>
            </w:pPr>
            <w:r w:rsidRPr="00983219">
              <w:rPr>
                <w:rFonts w:cstheme="minorHAnsi"/>
                <w:sz w:val="20"/>
                <w:szCs w:val="20"/>
              </w:rPr>
              <w:t>Hyperpolarized 13C-pyruvate Metabolic MRI With Infiltrating Gliomas</w:t>
            </w:r>
          </w:p>
        </w:tc>
        <w:tc>
          <w:tcPr>
            <w:tcW w:w="1241" w:type="dxa"/>
            <w:shd w:val="clear" w:color="auto" w:fill="auto"/>
            <w:tcMar>
              <w:top w:w="15" w:type="dxa"/>
              <w:left w:w="15" w:type="dxa"/>
              <w:bottom w:w="0" w:type="dxa"/>
              <w:right w:w="15" w:type="dxa"/>
            </w:tcMar>
          </w:tcPr>
          <w:p w14:paraId="7750253D" w14:textId="2BDE52A5" w:rsidR="00581AD6" w:rsidRPr="00983219" w:rsidRDefault="00581AD6" w:rsidP="00581AD6">
            <w:pPr>
              <w:rPr>
                <w:rFonts w:cstheme="minorHAnsi"/>
                <w:color w:val="000000"/>
                <w:sz w:val="20"/>
                <w:szCs w:val="20"/>
              </w:rPr>
            </w:pPr>
            <w:r w:rsidRPr="00983219">
              <w:rPr>
                <w:rFonts w:cstheme="minorHAnsi"/>
                <w:sz w:val="20"/>
                <w:szCs w:val="20"/>
              </w:rPr>
              <w:t>Recruiting</w:t>
            </w:r>
          </w:p>
        </w:tc>
        <w:tc>
          <w:tcPr>
            <w:tcW w:w="2498" w:type="dxa"/>
            <w:shd w:val="clear" w:color="auto" w:fill="auto"/>
            <w:tcMar>
              <w:top w:w="15" w:type="dxa"/>
              <w:left w:w="15" w:type="dxa"/>
              <w:bottom w:w="0" w:type="dxa"/>
              <w:right w:w="15" w:type="dxa"/>
            </w:tcMar>
          </w:tcPr>
          <w:p w14:paraId="58B194C3" w14:textId="0B154163" w:rsidR="00581AD6" w:rsidRPr="00983219" w:rsidRDefault="00581AD6" w:rsidP="00581AD6">
            <w:pPr>
              <w:rPr>
                <w:rFonts w:cstheme="minorHAnsi"/>
                <w:color w:val="000000"/>
                <w:sz w:val="20"/>
                <w:szCs w:val="20"/>
              </w:rPr>
            </w:pPr>
            <w:r w:rsidRPr="00983219">
              <w:rPr>
                <w:rFonts w:cstheme="minorHAnsi"/>
                <w:sz w:val="20"/>
                <w:szCs w:val="20"/>
              </w:rPr>
              <w:t>Glioma</w:t>
            </w:r>
          </w:p>
        </w:tc>
        <w:tc>
          <w:tcPr>
            <w:tcW w:w="2264" w:type="dxa"/>
            <w:shd w:val="clear" w:color="auto" w:fill="auto"/>
            <w:tcMar>
              <w:top w:w="15" w:type="dxa"/>
              <w:left w:w="15" w:type="dxa"/>
              <w:bottom w:w="0" w:type="dxa"/>
              <w:right w:w="15" w:type="dxa"/>
            </w:tcMar>
          </w:tcPr>
          <w:p w14:paraId="2FA4E391" w14:textId="497A2458" w:rsidR="00581AD6" w:rsidRPr="00983219" w:rsidRDefault="00581AD6" w:rsidP="00581AD6">
            <w:pPr>
              <w:rPr>
                <w:rFonts w:cstheme="minorHAnsi"/>
                <w:color w:val="000000"/>
                <w:sz w:val="20"/>
                <w:szCs w:val="20"/>
              </w:rPr>
            </w:pPr>
            <w:r w:rsidRPr="00983219">
              <w:rPr>
                <w:rFonts w:cstheme="minorHAnsi"/>
                <w:sz w:val="20"/>
                <w:szCs w:val="20"/>
              </w:rPr>
              <w:t>University of Maryland, Baltimore, United States</w:t>
            </w:r>
          </w:p>
        </w:tc>
        <w:tc>
          <w:tcPr>
            <w:tcW w:w="4417" w:type="dxa"/>
            <w:shd w:val="clear" w:color="auto" w:fill="auto"/>
            <w:tcMar>
              <w:top w:w="15" w:type="dxa"/>
              <w:left w:w="15" w:type="dxa"/>
              <w:bottom w:w="0" w:type="dxa"/>
              <w:right w:w="15" w:type="dxa"/>
            </w:tcMar>
          </w:tcPr>
          <w:p w14:paraId="63BB0CA3" w14:textId="44AFCC97" w:rsidR="00983219" w:rsidRPr="00983219" w:rsidRDefault="00955B21" w:rsidP="00983219">
            <w:pPr>
              <w:rPr>
                <w:rFonts w:cstheme="minorHAnsi"/>
                <w:sz w:val="20"/>
                <w:szCs w:val="20"/>
              </w:rPr>
            </w:pPr>
            <w:hyperlink r:id="rId29" w:history="1">
              <w:r w:rsidR="00983219" w:rsidRPr="002C0645">
                <w:rPr>
                  <w:rStyle w:val="Hyperlink"/>
                  <w:rFonts w:cstheme="minorHAnsi"/>
                  <w:sz w:val="20"/>
                  <w:szCs w:val="20"/>
                </w:rPr>
                <w:t>https://clinicaltrials.gov/study/NCT04772456</w:t>
              </w:r>
            </w:hyperlink>
          </w:p>
        </w:tc>
      </w:tr>
      <w:tr w:rsidR="00581AD6" w:rsidRPr="00983219" w14:paraId="6BC2C915" w14:textId="77777777" w:rsidTr="00202E51">
        <w:trPr>
          <w:cantSplit/>
          <w:trHeight w:val="20"/>
        </w:trPr>
        <w:tc>
          <w:tcPr>
            <w:tcW w:w="3524" w:type="dxa"/>
            <w:shd w:val="clear" w:color="auto" w:fill="auto"/>
            <w:tcMar>
              <w:top w:w="15" w:type="dxa"/>
              <w:left w:w="15" w:type="dxa"/>
              <w:bottom w:w="0" w:type="dxa"/>
              <w:right w:w="15" w:type="dxa"/>
            </w:tcMar>
          </w:tcPr>
          <w:p w14:paraId="5C05D484" w14:textId="715DD5FF" w:rsidR="00581AD6" w:rsidRPr="00983219" w:rsidRDefault="00581AD6" w:rsidP="00581AD6">
            <w:pPr>
              <w:rPr>
                <w:rFonts w:cstheme="minorHAnsi"/>
                <w:color w:val="000000"/>
                <w:sz w:val="20"/>
                <w:szCs w:val="20"/>
              </w:rPr>
            </w:pPr>
            <w:r w:rsidRPr="00983219">
              <w:rPr>
                <w:rFonts w:cstheme="minorHAnsi"/>
                <w:sz w:val="20"/>
                <w:szCs w:val="20"/>
              </w:rPr>
              <w:t>Hyperpolarized 13C Pyruvate MRI for Early Immune Evaluation in Cervical Cancer Patients at Baseline and CCRT Therapy</w:t>
            </w:r>
          </w:p>
        </w:tc>
        <w:tc>
          <w:tcPr>
            <w:tcW w:w="1241" w:type="dxa"/>
            <w:shd w:val="clear" w:color="auto" w:fill="auto"/>
            <w:tcMar>
              <w:top w:w="15" w:type="dxa"/>
              <w:left w:w="15" w:type="dxa"/>
              <w:bottom w:w="0" w:type="dxa"/>
              <w:right w:w="15" w:type="dxa"/>
            </w:tcMar>
          </w:tcPr>
          <w:p w14:paraId="66B6B693" w14:textId="37E78E66" w:rsidR="00581AD6" w:rsidRPr="00983219" w:rsidRDefault="00581AD6" w:rsidP="00581AD6">
            <w:pPr>
              <w:rPr>
                <w:rFonts w:cstheme="minorHAnsi"/>
                <w:color w:val="000000"/>
                <w:sz w:val="20"/>
                <w:szCs w:val="20"/>
              </w:rPr>
            </w:pPr>
            <w:r w:rsidRPr="00983219">
              <w:rPr>
                <w:rFonts w:cstheme="minorHAnsi"/>
                <w:sz w:val="20"/>
                <w:szCs w:val="20"/>
              </w:rPr>
              <w:t>Recruiting</w:t>
            </w:r>
          </w:p>
        </w:tc>
        <w:tc>
          <w:tcPr>
            <w:tcW w:w="2498" w:type="dxa"/>
            <w:shd w:val="clear" w:color="auto" w:fill="auto"/>
            <w:tcMar>
              <w:top w:w="15" w:type="dxa"/>
              <w:left w:w="15" w:type="dxa"/>
              <w:bottom w:w="0" w:type="dxa"/>
              <w:right w:w="15" w:type="dxa"/>
            </w:tcMar>
          </w:tcPr>
          <w:p w14:paraId="0A871174" w14:textId="494EB526" w:rsidR="00581AD6" w:rsidRPr="00983219" w:rsidRDefault="00581AD6" w:rsidP="00581AD6">
            <w:pPr>
              <w:rPr>
                <w:rFonts w:cstheme="minorHAnsi"/>
                <w:color w:val="000000"/>
                <w:sz w:val="20"/>
                <w:szCs w:val="20"/>
              </w:rPr>
            </w:pPr>
            <w:r w:rsidRPr="00983219">
              <w:rPr>
                <w:rFonts w:cstheme="minorHAnsi"/>
                <w:sz w:val="20"/>
                <w:szCs w:val="20"/>
              </w:rPr>
              <w:t>Cervical Cancer</w:t>
            </w:r>
          </w:p>
        </w:tc>
        <w:tc>
          <w:tcPr>
            <w:tcW w:w="2264" w:type="dxa"/>
            <w:shd w:val="clear" w:color="auto" w:fill="auto"/>
            <w:tcMar>
              <w:top w:w="15" w:type="dxa"/>
              <w:left w:w="15" w:type="dxa"/>
              <w:bottom w:w="0" w:type="dxa"/>
              <w:right w:w="15" w:type="dxa"/>
            </w:tcMar>
          </w:tcPr>
          <w:p w14:paraId="7AB53FC4" w14:textId="6B884154" w:rsidR="00581AD6" w:rsidRPr="00983219" w:rsidRDefault="00581AD6" w:rsidP="00581AD6">
            <w:pPr>
              <w:rPr>
                <w:rFonts w:cstheme="minorHAnsi"/>
                <w:color w:val="000000"/>
                <w:sz w:val="20"/>
                <w:szCs w:val="20"/>
              </w:rPr>
            </w:pPr>
            <w:r w:rsidRPr="00983219">
              <w:rPr>
                <w:rFonts w:cstheme="minorHAnsi"/>
                <w:sz w:val="20"/>
                <w:szCs w:val="20"/>
              </w:rPr>
              <w:t>Chang Gung Memorial Hospital, Taiwan</w:t>
            </w:r>
          </w:p>
        </w:tc>
        <w:tc>
          <w:tcPr>
            <w:tcW w:w="4417" w:type="dxa"/>
            <w:shd w:val="clear" w:color="auto" w:fill="auto"/>
            <w:tcMar>
              <w:top w:w="15" w:type="dxa"/>
              <w:left w:w="15" w:type="dxa"/>
              <w:bottom w:w="0" w:type="dxa"/>
              <w:right w:w="15" w:type="dxa"/>
            </w:tcMar>
          </w:tcPr>
          <w:p w14:paraId="165C3DFD" w14:textId="16291F41" w:rsidR="00252893" w:rsidRPr="00983219" w:rsidRDefault="00955B21" w:rsidP="00252893">
            <w:pPr>
              <w:rPr>
                <w:rFonts w:cstheme="minorHAnsi"/>
                <w:sz w:val="20"/>
                <w:szCs w:val="20"/>
              </w:rPr>
            </w:pPr>
            <w:hyperlink r:id="rId30" w:history="1">
              <w:r w:rsidR="00252893" w:rsidRPr="002C0645">
                <w:rPr>
                  <w:rStyle w:val="Hyperlink"/>
                  <w:rFonts w:cstheme="minorHAnsi"/>
                  <w:sz w:val="20"/>
                  <w:szCs w:val="20"/>
                </w:rPr>
                <w:t>https://clinicaltrials.gov/study/NCT04951921</w:t>
              </w:r>
            </w:hyperlink>
          </w:p>
        </w:tc>
      </w:tr>
      <w:tr w:rsidR="00581AD6" w:rsidRPr="00983219" w14:paraId="0137A88F" w14:textId="77777777" w:rsidTr="00202E51">
        <w:trPr>
          <w:cantSplit/>
          <w:trHeight w:val="20"/>
        </w:trPr>
        <w:tc>
          <w:tcPr>
            <w:tcW w:w="3524" w:type="dxa"/>
            <w:shd w:val="clear" w:color="auto" w:fill="auto"/>
            <w:tcMar>
              <w:top w:w="15" w:type="dxa"/>
              <w:left w:w="15" w:type="dxa"/>
              <w:bottom w:w="0" w:type="dxa"/>
              <w:right w:w="15" w:type="dxa"/>
            </w:tcMar>
          </w:tcPr>
          <w:p w14:paraId="17EF66C6" w14:textId="53E0DDF0" w:rsidR="00581AD6" w:rsidRPr="00983219" w:rsidRDefault="00581AD6" w:rsidP="00581AD6">
            <w:pPr>
              <w:rPr>
                <w:rFonts w:cstheme="minorHAnsi"/>
                <w:color w:val="000000"/>
                <w:sz w:val="20"/>
                <w:szCs w:val="20"/>
              </w:rPr>
            </w:pPr>
            <w:r w:rsidRPr="00983219">
              <w:rPr>
                <w:rFonts w:cstheme="minorHAnsi"/>
                <w:sz w:val="20"/>
                <w:szCs w:val="20"/>
              </w:rPr>
              <w:t>Hyperpolarized 13C MRI for Cancer Immunotherapy (DNPSPIO)</w:t>
            </w:r>
          </w:p>
        </w:tc>
        <w:tc>
          <w:tcPr>
            <w:tcW w:w="1241" w:type="dxa"/>
            <w:shd w:val="clear" w:color="auto" w:fill="auto"/>
            <w:tcMar>
              <w:top w:w="15" w:type="dxa"/>
              <w:left w:w="15" w:type="dxa"/>
              <w:bottom w:w="0" w:type="dxa"/>
              <w:right w:w="15" w:type="dxa"/>
            </w:tcMar>
          </w:tcPr>
          <w:p w14:paraId="5646826C" w14:textId="74AF202B" w:rsidR="00581AD6" w:rsidRPr="00983219" w:rsidRDefault="00581AD6" w:rsidP="00581AD6">
            <w:pPr>
              <w:rPr>
                <w:rFonts w:cstheme="minorHAnsi"/>
                <w:color w:val="000000"/>
                <w:sz w:val="20"/>
                <w:szCs w:val="20"/>
              </w:rPr>
            </w:pPr>
            <w:r w:rsidRPr="00983219">
              <w:rPr>
                <w:rFonts w:cstheme="minorHAnsi"/>
                <w:sz w:val="20"/>
                <w:szCs w:val="20"/>
              </w:rPr>
              <w:t>Not yet Recruiting</w:t>
            </w:r>
          </w:p>
        </w:tc>
        <w:tc>
          <w:tcPr>
            <w:tcW w:w="2498" w:type="dxa"/>
            <w:shd w:val="clear" w:color="auto" w:fill="auto"/>
            <w:tcMar>
              <w:top w:w="15" w:type="dxa"/>
              <w:left w:w="15" w:type="dxa"/>
              <w:bottom w:w="0" w:type="dxa"/>
              <w:right w:w="15" w:type="dxa"/>
            </w:tcMar>
          </w:tcPr>
          <w:p w14:paraId="6A064C2D" w14:textId="7D72059B" w:rsidR="00581AD6" w:rsidRPr="00983219" w:rsidRDefault="00581AD6" w:rsidP="00581AD6">
            <w:pPr>
              <w:rPr>
                <w:rFonts w:cstheme="minorHAnsi"/>
                <w:color w:val="000000"/>
                <w:sz w:val="20"/>
                <w:szCs w:val="20"/>
              </w:rPr>
            </w:pPr>
            <w:r w:rsidRPr="00983219">
              <w:rPr>
                <w:rFonts w:cstheme="minorHAnsi"/>
                <w:sz w:val="20"/>
                <w:szCs w:val="20"/>
              </w:rPr>
              <w:t>Cervical, Endometrial, Ovarian Cancers</w:t>
            </w:r>
          </w:p>
        </w:tc>
        <w:tc>
          <w:tcPr>
            <w:tcW w:w="2264" w:type="dxa"/>
            <w:shd w:val="clear" w:color="auto" w:fill="auto"/>
            <w:tcMar>
              <w:top w:w="15" w:type="dxa"/>
              <w:left w:w="15" w:type="dxa"/>
              <w:bottom w:w="0" w:type="dxa"/>
              <w:right w:w="15" w:type="dxa"/>
            </w:tcMar>
          </w:tcPr>
          <w:p w14:paraId="0EA541E7" w14:textId="1A4E1268" w:rsidR="00581AD6" w:rsidRPr="00983219" w:rsidRDefault="00581AD6" w:rsidP="00581AD6">
            <w:pPr>
              <w:rPr>
                <w:rFonts w:cstheme="minorHAnsi"/>
                <w:color w:val="000000"/>
                <w:sz w:val="20"/>
                <w:szCs w:val="20"/>
              </w:rPr>
            </w:pPr>
            <w:r w:rsidRPr="00983219">
              <w:rPr>
                <w:rFonts w:cstheme="minorHAnsi"/>
                <w:sz w:val="20"/>
                <w:szCs w:val="20"/>
              </w:rPr>
              <w:t>Chang Gung Memorial Hospital, Taiwan</w:t>
            </w:r>
          </w:p>
        </w:tc>
        <w:tc>
          <w:tcPr>
            <w:tcW w:w="4417" w:type="dxa"/>
            <w:shd w:val="clear" w:color="auto" w:fill="auto"/>
            <w:tcMar>
              <w:top w:w="15" w:type="dxa"/>
              <w:left w:w="15" w:type="dxa"/>
              <w:bottom w:w="0" w:type="dxa"/>
              <w:right w:w="15" w:type="dxa"/>
            </w:tcMar>
          </w:tcPr>
          <w:p w14:paraId="74DDEF71" w14:textId="49929E2D" w:rsidR="00252893" w:rsidRPr="00983219" w:rsidRDefault="00955B21" w:rsidP="00252893">
            <w:pPr>
              <w:rPr>
                <w:rFonts w:cstheme="minorHAnsi"/>
                <w:sz w:val="20"/>
                <w:szCs w:val="20"/>
              </w:rPr>
            </w:pPr>
            <w:hyperlink r:id="rId31" w:history="1">
              <w:r w:rsidR="00252893" w:rsidRPr="002C0645">
                <w:rPr>
                  <w:rStyle w:val="Hyperlink"/>
                  <w:rFonts w:cstheme="minorHAnsi"/>
                  <w:sz w:val="20"/>
                  <w:szCs w:val="20"/>
                </w:rPr>
                <w:t>https://clinicaltrials.gov/study/NCT05805358</w:t>
              </w:r>
            </w:hyperlink>
          </w:p>
        </w:tc>
      </w:tr>
      <w:tr w:rsidR="00581AD6" w:rsidRPr="00983219" w14:paraId="56EBDDA5" w14:textId="77777777" w:rsidTr="00202E51">
        <w:trPr>
          <w:cantSplit/>
          <w:trHeight w:val="20"/>
        </w:trPr>
        <w:tc>
          <w:tcPr>
            <w:tcW w:w="3524" w:type="dxa"/>
            <w:shd w:val="clear" w:color="auto" w:fill="auto"/>
            <w:tcMar>
              <w:top w:w="15" w:type="dxa"/>
              <w:left w:w="15" w:type="dxa"/>
              <w:bottom w:w="0" w:type="dxa"/>
              <w:right w:w="15" w:type="dxa"/>
            </w:tcMar>
          </w:tcPr>
          <w:p w14:paraId="3FBBB79C" w14:textId="350F9B68" w:rsidR="00581AD6" w:rsidRPr="00983219" w:rsidRDefault="00581AD6" w:rsidP="00581AD6">
            <w:pPr>
              <w:rPr>
                <w:rFonts w:cstheme="minorHAnsi"/>
                <w:color w:val="000000"/>
                <w:sz w:val="20"/>
                <w:szCs w:val="20"/>
              </w:rPr>
            </w:pPr>
            <w:r w:rsidRPr="00983219">
              <w:rPr>
                <w:rFonts w:cstheme="minorHAnsi"/>
                <w:sz w:val="20"/>
                <w:szCs w:val="20"/>
              </w:rPr>
              <w:t>13C Pyruvate DNP MR Spectroscopy for Lymphoma Treatment Response Assessment</w:t>
            </w:r>
          </w:p>
        </w:tc>
        <w:tc>
          <w:tcPr>
            <w:tcW w:w="1241" w:type="dxa"/>
            <w:shd w:val="clear" w:color="auto" w:fill="auto"/>
            <w:tcMar>
              <w:top w:w="15" w:type="dxa"/>
              <w:left w:w="15" w:type="dxa"/>
              <w:bottom w:w="0" w:type="dxa"/>
              <w:right w:w="15" w:type="dxa"/>
            </w:tcMar>
          </w:tcPr>
          <w:p w14:paraId="1F7FB6A3" w14:textId="32C9A333" w:rsidR="00581AD6" w:rsidRPr="00983219" w:rsidRDefault="00581AD6" w:rsidP="00581AD6">
            <w:pPr>
              <w:rPr>
                <w:rFonts w:cstheme="minorHAnsi"/>
                <w:color w:val="000000"/>
                <w:sz w:val="20"/>
                <w:szCs w:val="20"/>
              </w:rPr>
            </w:pPr>
            <w:r w:rsidRPr="00983219">
              <w:rPr>
                <w:rFonts w:cstheme="minorHAnsi"/>
                <w:sz w:val="20"/>
                <w:szCs w:val="20"/>
              </w:rPr>
              <w:t>Not yet Recruiting</w:t>
            </w:r>
          </w:p>
        </w:tc>
        <w:tc>
          <w:tcPr>
            <w:tcW w:w="2498" w:type="dxa"/>
            <w:shd w:val="clear" w:color="auto" w:fill="auto"/>
            <w:tcMar>
              <w:top w:w="15" w:type="dxa"/>
              <w:left w:w="15" w:type="dxa"/>
              <w:bottom w:w="0" w:type="dxa"/>
              <w:right w:w="15" w:type="dxa"/>
            </w:tcMar>
          </w:tcPr>
          <w:p w14:paraId="018E5253" w14:textId="7C869AC3" w:rsidR="00581AD6" w:rsidRPr="00983219" w:rsidRDefault="00581AD6" w:rsidP="00581AD6">
            <w:pPr>
              <w:rPr>
                <w:rFonts w:cstheme="minorHAnsi"/>
                <w:color w:val="000000"/>
                <w:sz w:val="20"/>
                <w:szCs w:val="20"/>
              </w:rPr>
            </w:pPr>
            <w:r w:rsidRPr="00983219">
              <w:rPr>
                <w:rFonts w:cstheme="minorHAnsi"/>
                <w:sz w:val="20"/>
                <w:szCs w:val="20"/>
              </w:rPr>
              <w:t>Lymphoma</w:t>
            </w:r>
          </w:p>
        </w:tc>
        <w:tc>
          <w:tcPr>
            <w:tcW w:w="2264" w:type="dxa"/>
            <w:shd w:val="clear" w:color="auto" w:fill="auto"/>
            <w:tcMar>
              <w:top w:w="15" w:type="dxa"/>
              <w:left w:w="15" w:type="dxa"/>
              <w:bottom w:w="0" w:type="dxa"/>
              <w:right w:w="15" w:type="dxa"/>
            </w:tcMar>
          </w:tcPr>
          <w:p w14:paraId="4BF8FC17" w14:textId="52EC36BB" w:rsidR="00581AD6" w:rsidRPr="00983219" w:rsidRDefault="00581AD6" w:rsidP="00581AD6">
            <w:pPr>
              <w:rPr>
                <w:rFonts w:cstheme="minorHAnsi"/>
                <w:color w:val="000000"/>
                <w:sz w:val="20"/>
                <w:szCs w:val="20"/>
              </w:rPr>
            </w:pPr>
            <w:r w:rsidRPr="00983219">
              <w:rPr>
                <w:rFonts w:cstheme="minorHAnsi"/>
                <w:sz w:val="20"/>
                <w:szCs w:val="20"/>
              </w:rPr>
              <w:t>Chang Gung Memorial Hospital, Taiwan</w:t>
            </w:r>
          </w:p>
        </w:tc>
        <w:tc>
          <w:tcPr>
            <w:tcW w:w="4417" w:type="dxa"/>
            <w:shd w:val="clear" w:color="auto" w:fill="auto"/>
            <w:tcMar>
              <w:top w:w="15" w:type="dxa"/>
              <w:left w:w="15" w:type="dxa"/>
              <w:bottom w:w="0" w:type="dxa"/>
              <w:right w:w="15" w:type="dxa"/>
            </w:tcMar>
          </w:tcPr>
          <w:p w14:paraId="29EBD234" w14:textId="59382EFD" w:rsidR="00252893" w:rsidRPr="00983219" w:rsidRDefault="00955B21" w:rsidP="00252893">
            <w:pPr>
              <w:rPr>
                <w:rFonts w:cstheme="minorHAnsi"/>
                <w:sz w:val="20"/>
                <w:szCs w:val="20"/>
              </w:rPr>
            </w:pPr>
            <w:hyperlink r:id="rId32" w:history="1">
              <w:r w:rsidR="00252893" w:rsidRPr="002C0645">
                <w:rPr>
                  <w:rStyle w:val="Hyperlink"/>
                  <w:rFonts w:cstheme="minorHAnsi"/>
                  <w:sz w:val="20"/>
                  <w:szCs w:val="20"/>
                </w:rPr>
                <w:t>https://clinicaltrials.gov/study/NCT05600361</w:t>
              </w:r>
            </w:hyperlink>
          </w:p>
        </w:tc>
      </w:tr>
      <w:tr w:rsidR="00097B3B" w:rsidRPr="00983219" w14:paraId="0CD4EB64" w14:textId="77777777" w:rsidTr="00202E51">
        <w:trPr>
          <w:cantSplit/>
          <w:trHeight w:val="20"/>
        </w:trPr>
        <w:tc>
          <w:tcPr>
            <w:tcW w:w="3524" w:type="dxa"/>
            <w:shd w:val="clear" w:color="auto" w:fill="auto"/>
            <w:tcMar>
              <w:top w:w="15" w:type="dxa"/>
              <w:left w:w="15" w:type="dxa"/>
              <w:bottom w:w="0" w:type="dxa"/>
              <w:right w:w="15" w:type="dxa"/>
            </w:tcMar>
            <w:vAlign w:val="center"/>
            <w:hideMark/>
          </w:tcPr>
          <w:p w14:paraId="2B64C09B" w14:textId="146556E8" w:rsidR="00097B3B" w:rsidRPr="00983219" w:rsidRDefault="00097B3B" w:rsidP="00252893">
            <w:pPr>
              <w:rPr>
                <w:rFonts w:cstheme="minorHAnsi"/>
                <w:color w:val="000000"/>
                <w:sz w:val="20"/>
                <w:szCs w:val="20"/>
              </w:rPr>
            </w:pPr>
            <w:r w:rsidRPr="00983219">
              <w:rPr>
                <w:rFonts w:cstheme="minorHAnsi"/>
                <w:color w:val="000000"/>
                <w:sz w:val="20"/>
                <w:szCs w:val="20"/>
              </w:rPr>
              <w:lastRenderedPageBreak/>
              <w:t>Hyperpolarized Carbon C 13 Pyruvate Magnetic Resonance Spectroscopic Imaging</w:t>
            </w:r>
            <w:r w:rsidRPr="00983219">
              <w:rPr>
                <w:rFonts w:cstheme="minorHAnsi"/>
                <w:color w:val="1A3D85"/>
                <w:sz w:val="20"/>
                <w:szCs w:val="20"/>
              </w:rPr>
              <w:t> </w:t>
            </w:r>
            <w:r w:rsidRPr="00983219">
              <w:rPr>
                <w:rFonts w:cstheme="minorHAnsi"/>
                <w:color w:val="000000"/>
                <w:sz w:val="20"/>
                <w:szCs w:val="20"/>
              </w:rPr>
              <w:t xml:space="preserve">in Predicting Treatment Response in Patients </w:t>
            </w:r>
            <w:r w:rsidR="007F4304" w:rsidRPr="00983219">
              <w:rPr>
                <w:rFonts w:cstheme="minorHAnsi"/>
                <w:color w:val="000000"/>
                <w:sz w:val="20"/>
                <w:szCs w:val="20"/>
              </w:rPr>
              <w:t xml:space="preserve">with </w:t>
            </w:r>
            <w:r w:rsidRPr="00983219">
              <w:rPr>
                <w:rFonts w:cstheme="minorHAnsi"/>
                <w:color w:val="000000"/>
                <w:sz w:val="20"/>
                <w:szCs w:val="20"/>
              </w:rPr>
              <w:t>Prostate Cancer</w:t>
            </w:r>
          </w:p>
        </w:tc>
        <w:tc>
          <w:tcPr>
            <w:tcW w:w="1241" w:type="dxa"/>
            <w:shd w:val="clear" w:color="auto" w:fill="auto"/>
            <w:tcMar>
              <w:top w:w="15" w:type="dxa"/>
              <w:left w:w="15" w:type="dxa"/>
              <w:bottom w:w="0" w:type="dxa"/>
              <w:right w:w="15" w:type="dxa"/>
            </w:tcMar>
            <w:vAlign w:val="center"/>
            <w:hideMark/>
          </w:tcPr>
          <w:p w14:paraId="533DC40A" w14:textId="5CA9D576" w:rsidR="00097B3B" w:rsidRPr="00983219" w:rsidRDefault="00E7490B" w:rsidP="00252893">
            <w:pPr>
              <w:rPr>
                <w:rFonts w:cstheme="minorHAnsi"/>
                <w:color w:val="000000"/>
                <w:sz w:val="20"/>
                <w:szCs w:val="20"/>
              </w:rPr>
            </w:pPr>
            <w:r w:rsidRPr="00983219">
              <w:rPr>
                <w:rFonts w:cstheme="minorHAnsi"/>
                <w:color w:val="000000"/>
                <w:sz w:val="20"/>
                <w:szCs w:val="20"/>
              </w:rPr>
              <w:t>Active, not r</w:t>
            </w:r>
            <w:r w:rsidR="00097B3B" w:rsidRPr="00983219">
              <w:rPr>
                <w:rFonts w:cstheme="minorHAnsi"/>
                <w:color w:val="000000"/>
                <w:sz w:val="20"/>
                <w:szCs w:val="20"/>
              </w:rPr>
              <w:t>ecruiting</w:t>
            </w:r>
          </w:p>
        </w:tc>
        <w:tc>
          <w:tcPr>
            <w:tcW w:w="2498" w:type="dxa"/>
            <w:shd w:val="clear" w:color="auto" w:fill="auto"/>
            <w:tcMar>
              <w:top w:w="15" w:type="dxa"/>
              <w:left w:w="15" w:type="dxa"/>
              <w:bottom w:w="0" w:type="dxa"/>
              <w:right w:w="15" w:type="dxa"/>
            </w:tcMar>
            <w:vAlign w:val="center"/>
            <w:hideMark/>
          </w:tcPr>
          <w:p w14:paraId="03968349" w14:textId="77777777" w:rsidR="00097B3B" w:rsidRPr="00983219" w:rsidRDefault="00097B3B" w:rsidP="00252893">
            <w:pPr>
              <w:rPr>
                <w:rFonts w:cstheme="minorHAnsi"/>
                <w:color w:val="000000"/>
                <w:sz w:val="20"/>
                <w:szCs w:val="20"/>
              </w:rPr>
            </w:pPr>
            <w:r w:rsidRPr="00983219">
              <w:rPr>
                <w:rFonts w:cstheme="minorHAnsi"/>
                <w:color w:val="000000"/>
                <w:sz w:val="20"/>
                <w:szCs w:val="20"/>
              </w:rPr>
              <w:t>Prostate Adenocarcinoma PSA Level Greater Than Ten Stage IIB Prostate Cancer AJCC v8Stage III AJCC v8Stage IIIA AJCC v8Stage IIIB AJCC v8Stage IIIC AJCC v8Stage IV AJCC v8Stage IVA AJCC v8Stage IVB AJCC v8</w:t>
            </w:r>
          </w:p>
        </w:tc>
        <w:tc>
          <w:tcPr>
            <w:tcW w:w="2264" w:type="dxa"/>
            <w:shd w:val="clear" w:color="auto" w:fill="auto"/>
            <w:tcMar>
              <w:top w:w="15" w:type="dxa"/>
              <w:left w:w="15" w:type="dxa"/>
              <w:bottom w:w="0" w:type="dxa"/>
              <w:right w:w="15" w:type="dxa"/>
            </w:tcMar>
            <w:vAlign w:val="center"/>
            <w:hideMark/>
          </w:tcPr>
          <w:p w14:paraId="40373E38" w14:textId="77777777" w:rsidR="00097B3B" w:rsidRPr="00983219" w:rsidRDefault="00097B3B" w:rsidP="00252893">
            <w:pPr>
              <w:rPr>
                <w:rFonts w:cstheme="minorHAnsi"/>
                <w:color w:val="000000"/>
                <w:sz w:val="20"/>
                <w:szCs w:val="20"/>
              </w:rPr>
            </w:pPr>
            <w:r w:rsidRPr="00983219">
              <w:rPr>
                <w:rFonts w:cstheme="minorHAnsi"/>
                <w:color w:val="000000"/>
                <w:sz w:val="20"/>
                <w:szCs w:val="20"/>
              </w:rPr>
              <w:t>M D Anderson Cancer Center, Houston, Texas, United States</w:t>
            </w:r>
          </w:p>
        </w:tc>
        <w:tc>
          <w:tcPr>
            <w:tcW w:w="4417" w:type="dxa"/>
            <w:shd w:val="clear" w:color="auto" w:fill="auto"/>
            <w:tcMar>
              <w:top w:w="15" w:type="dxa"/>
              <w:left w:w="15" w:type="dxa"/>
              <w:bottom w:w="0" w:type="dxa"/>
              <w:right w:w="15" w:type="dxa"/>
            </w:tcMar>
            <w:vAlign w:val="center"/>
            <w:hideMark/>
          </w:tcPr>
          <w:p w14:paraId="225AB4C0" w14:textId="77777777" w:rsidR="00097B3B" w:rsidRPr="00983219" w:rsidRDefault="00955B21" w:rsidP="00252893">
            <w:pPr>
              <w:rPr>
                <w:rFonts w:cstheme="minorHAnsi"/>
                <w:color w:val="0563C1"/>
                <w:sz w:val="20"/>
                <w:szCs w:val="20"/>
                <w:u w:val="single"/>
              </w:rPr>
            </w:pPr>
            <w:hyperlink r:id="rId33" w:history="1">
              <w:r w:rsidR="00097B3B" w:rsidRPr="00983219">
                <w:rPr>
                  <w:rStyle w:val="Hyperlink"/>
                  <w:rFonts w:cstheme="minorHAnsi"/>
                  <w:sz w:val="20"/>
                  <w:szCs w:val="20"/>
                </w:rPr>
                <w:t>https://clinicaltrials.gov/ct2/show/NCT03581500</w:t>
              </w:r>
            </w:hyperlink>
          </w:p>
        </w:tc>
      </w:tr>
      <w:tr w:rsidR="00E7490B" w:rsidRPr="00983219" w14:paraId="38285C0A" w14:textId="77777777" w:rsidTr="00202E51">
        <w:trPr>
          <w:cantSplit/>
          <w:trHeight w:val="20"/>
        </w:trPr>
        <w:tc>
          <w:tcPr>
            <w:tcW w:w="3524" w:type="dxa"/>
            <w:shd w:val="clear" w:color="auto" w:fill="auto"/>
            <w:tcMar>
              <w:top w:w="15" w:type="dxa"/>
              <w:left w:w="15" w:type="dxa"/>
              <w:bottom w:w="0" w:type="dxa"/>
              <w:right w:w="15" w:type="dxa"/>
            </w:tcMar>
          </w:tcPr>
          <w:p w14:paraId="1A087830" w14:textId="0492AA0E" w:rsidR="00E7490B" w:rsidRPr="00983219" w:rsidRDefault="00E7490B" w:rsidP="00252893">
            <w:pPr>
              <w:rPr>
                <w:rFonts w:cstheme="minorHAnsi"/>
                <w:color w:val="000000"/>
                <w:sz w:val="20"/>
                <w:szCs w:val="20"/>
              </w:rPr>
            </w:pPr>
            <w:r w:rsidRPr="00983219">
              <w:rPr>
                <w:rFonts w:cstheme="minorHAnsi"/>
                <w:sz w:val="20"/>
                <w:szCs w:val="20"/>
              </w:rPr>
              <w:t>Development and Evaluation of a Quantitative HP MRI for Clinical Prostate Cancer Exam</w:t>
            </w:r>
          </w:p>
        </w:tc>
        <w:tc>
          <w:tcPr>
            <w:tcW w:w="1241" w:type="dxa"/>
            <w:shd w:val="clear" w:color="auto" w:fill="auto"/>
            <w:tcMar>
              <w:top w:w="15" w:type="dxa"/>
              <w:left w:w="15" w:type="dxa"/>
              <w:bottom w:w="0" w:type="dxa"/>
              <w:right w:w="15" w:type="dxa"/>
            </w:tcMar>
          </w:tcPr>
          <w:p w14:paraId="51F788C0" w14:textId="09928A4B" w:rsidR="00E7490B" w:rsidRPr="00983219" w:rsidRDefault="00E7490B" w:rsidP="00252893">
            <w:pPr>
              <w:rPr>
                <w:rFonts w:cstheme="minorHAnsi"/>
                <w:color w:val="000000"/>
                <w:sz w:val="20"/>
                <w:szCs w:val="20"/>
              </w:rPr>
            </w:pPr>
            <w:r w:rsidRPr="00983219">
              <w:rPr>
                <w:rFonts w:cstheme="minorHAnsi"/>
                <w:sz w:val="20"/>
                <w:szCs w:val="20"/>
              </w:rPr>
              <w:t>Active, not recruiting</w:t>
            </w:r>
          </w:p>
        </w:tc>
        <w:tc>
          <w:tcPr>
            <w:tcW w:w="2498" w:type="dxa"/>
            <w:shd w:val="clear" w:color="auto" w:fill="auto"/>
            <w:tcMar>
              <w:top w:w="15" w:type="dxa"/>
              <w:left w:w="15" w:type="dxa"/>
              <w:bottom w:w="0" w:type="dxa"/>
              <w:right w:w="15" w:type="dxa"/>
            </w:tcMar>
          </w:tcPr>
          <w:p w14:paraId="20461A40" w14:textId="55D0235B" w:rsidR="00E7490B" w:rsidRPr="00983219" w:rsidRDefault="00E7490B" w:rsidP="00252893">
            <w:pPr>
              <w:rPr>
                <w:rFonts w:cstheme="minorHAnsi"/>
                <w:color w:val="000000"/>
                <w:sz w:val="20"/>
                <w:szCs w:val="20"/>
              </w:rPr>
            </w:pPr>
            <w:r w:rsidRPr="00983219">
              <w:rPr>
                <w:rFonts w:cstheme="minorHAnsi"/>
                <w:sz w:val="20"/>
                <w:szCs w:val="20"/>
              </w:rPr>
              <w:t>Prostate Adenocarcinoma</w:t>
            </w:r>
          </w:p>
        </w:tc>
        <w:tc>
          <w:tcPr>
            <w:tcW w:w="2264" w:type="dxa"/>
            <w:shd w:val="clear" w:color="auto" w:fill="auto"/>
            <w:tcMar>
              <w:top w:w="15" w:type="dxa"/>
              <w:left w:w="15" w:type="dxa"/>
              <w:bottom w:w="0" w:type="dxa"/>
              <w:right w:w="15" w:type="dxa"/>
            </w:tcMar>
          </w:tcPr>
          <w:p w14:paraId="3C69BD53" w14:textId="5F6A2296" w:rsidR="00E7490B" w:rsidRPr="00983219" w:rsidRDefault="00E7490B" w:rsidP="00252893">
            <w:pPr>
              <w:rPr>
                <w:rFonts w:cstheme="minorHAnsi"/>
                <w:color w:val="000000"/>
                <w:sz w:val="20"/>
                <w:szCs w:val="20"/>
              </w:rPr>
            </w:pPr>
            <w:r w:rsidRPr="00983219">
              <w:rPr>
                <w:rFonts w:cstheme="minorHAnsi"/>
                <w:sz w:val="20"/>
                <w:szCs w:val="20"/>
              </w:rPr>
              <w:t>M D Anderson Cancer Center, Houston, Texas, United States</w:t>
            </w:r>
          </w:p>
        </w:tc>
        <w:tc>
          <w:tcPr>
            <w:tcW w:w="4417" w:type="dxa"/>
            <w:shd w:val="clear" w:color="auto" w:fill="auto"/>
            <w:tcMar>
              <w:top w:w="15" w:type="dxa"/>
              <w:left w:w="15" w:type="dxa"/>
              <w:bottom w:w="0" w:type="dxa"/>
              <w:right w:w="15" w:type="dxa"/>
            </w:tcMar>
          </w:tcPr>
          <w:p w14:paraId="3F90FC35" w14:textId="7A3AF90A" w:rsidR="00252893" w:rsidRPr="00983219" w:rsidRDefault="00955B21" w:rsidP="00252893">
            <w:pPr>
              <w:rPr>
                <w:rFonts w:cstheme="minorHAnsi"/>
                <w:sz w:val="20"/>
                <w:szCs w:val="20"/>
              </w:rPr>
            </w:pPr>
            <w:hyperlink r:id="rId34" w:history="1">
              <w:r w:rsidR="00252893" w:rsidRPr="002C0645">
                <w:rPr>
                  <w:rStyle w:val="Hyperlink"/>
                  <w:rFonts w:cstheme="minorHAnsi"/>
                  <w:sz w:val="20"/>
                  <w:szCs w:val="20"/>
                </w:rPr>
                <w:t>https://clinicaltrials.gov/study/NCT04286386</w:t>
              </w:r>
            </w:hyperlink>
          </w:p>
        </w:tc>
      </w:tr>
      <w:tr w:rsidR="00E7490B" w:rsidRPr="00983219" w14:paraId="215BD0EA" w14:textId="77777777" w:rsidTr="00202E51">
        <w:trPr>
          <w:cantSplit/>
          <w:trHeight w:val="20"/>
        </w:trPr>
        <w:tc>
          <w:tcPr>
            <w:tcW w:w="3524" w:type="dxa"/>
            <w:shd w:val="clear" w:color="auto" w:fill="auto"/>
            <w:tcMar>
              <w:top w:w="15" w:type="dxa"/>
              <w:left w:w="15" w:type="dxa"/>
              <w:bottom w:w="0" w:type="dxa"/>
              <w:right w:w="15" w:type="dxa"/>
            </w:tcMar>
          </w:tcPr>
          <w:p w14:paraId="59033AD5" w14:textId="153EF270" w:rsidR="00E7490B" w:rsidRPr="00983219" w:rsidRDefault="00E7490B" w:rsidP="00252893">
            <w:pPr>
              <w:rPr>
                <w:rFonts w:cstheme="minorHAnsi"/>
                <w:color w:val="000000"/>
                <w:sz w:val="20"/>
                <w:szCs w:val="20"/>
              </w:rPr>
            </w:pPr>
            <w:r w:rsidRPr="00983219">
              <w:rPr>
                <w:rFonts w:cstheme="minorHAnsi"/>
                <w:sz w:val="20"/>
                <w:szCs w:val="20"/>
              </w:rPr>
              <w:t>An Investigational Scan (</w:t>
            </w:r>
            <w:proofErr w:type="spellStart"/>
            <w:r w:rsidRPr="00983219">
              <w:rPr>
                <w:rFonts w:cstheme="minorHAnsi"/>
                <w:sz w:val="20"/>
                <w:szCs w:val="20"/>
              </w:rPr>
              <w:t>hpMRI</w:t>
            </w:r>
            <w:proofErr w:type="spellEnd"/>
            <w:r w:rsidRPr="00983219">
              <w:rPr>
                <w:rFonts w:cstheme="minorHAnsi"/>
                <w:sz w:val="20"/>
                <w:szCs w:val="20"/>
              </w:rPr>
              <w:t xml:space="preserve">) for Monitoring Treatment Response in Patients </w:t>
            </w:r>
            <w:r w:rsidR="00252893" w:rsidRPr="00983219">
              <w:rPr>
                <w:rFonts w:cstheme="minorHAnsi"/>
                <w:sz w:val="20"/>
                <w:szCs w:val="20"/>
              </w:rPr>
              <w:t>with</w:t>
            </w:r>
            <w:r w:rsidRPr="00983219">
              <w:rPr>
                <w:rFonts w:cstheme="minorHAnsi"/>
                <w:sz w:val="20"/>
                <w:szCs w:val="20"/>
              </w:rPr>
              <w:t xml:space="preserve"> Thyroid Cancer and Other Malignancies of the Head and Neck Undergoing Radiation Therapy and/or Systemic Therapy</w:t>
            </w:r>
          </w:p>
        </w:tc>
        <w:tc>
          <w:tcPr>
            <w:tcW w:w="1241" w:type="dxa"/>
            <w:shd w:val="clear" w:color="auto" w:fill="auto"/>
            <w:tcMar>
              <w:top w:w="15" w:type="dxa"/>
              <w:left w:w="15" w:type="dxa"/>
              <w:bottom w:w="0" w:type="dxa"/>
              <w:right w:w="15" w:type="dxa"/>
            </w:tcMar>
          </w:tcPr>
          <w:p w14:paraId="6BF4DA96" w14:textId="6EC3425E" w:rsidR="00E7490B" w:rsidRPr="00983219" w:rsidRDefault="00E7490B" w:rsidP="00252893">
            <w:pPr>
              <w:rPr>
                <w:rFonts w:cstheme="minorHAnsi"/>
                <w:color w:val="000000"/>
                <w:sz w:val="20"/>
                <w:szCs w:val="20"/>
              </w:rPr>
            </w:pPr>
            <w:r w:rsidRPr="00983219">
              <w:rPr>
                <w:rFonts w:cstheme="minorHAnsi"/>
                <w:sz w:val="20"/>
                <w:szCs w:val="20"/>
              </w:rPr>
              <w:t>Recruiting</w:t>
            </w:r>
          </w:p>
        </w:tc>
        <w:tc>
          <w:tcPr>
            <w:tcW w:w="2498" w:type="dxa"/>
            <w:shd w:val="clear" w:color="auto" w:fill="auto"/>
            <w:tcMar>
              <w:top w:w="15" w:type="dxa"/>
              <w:left w:w="15" w:type="dxa"/>
              <w:bottom w:w="0" w:type="dxa"/>
              <w:right w:w="15" w:type="dxa"/>
            </w:tcMar>
          </w:tcPr>
          <w:p w14:paraId="2B72AB33" w14:textId="53D5F7B3" w:rsidR="00E7490B" w:rsidRPr="00983219" w:rsidRDefault="00E7490B" w:rsidP="00252893">
            <w:pPr>
              <w:rPr>
                <w:rFonts w:cstheme="minorHAnsi"/>
                <w:color w:val="000000"/>
                <w:sz w:val="20"/>
                <w:szCs w:val="20"/>
              </w:rPr>
            </w:pPr>
            <w:r w:rsidRPr="00983219">
              <w:rPr>
                <w:rFonts w:cstheme="minorHAnsi"/>
                <w:sz w:val="20"/>
                <w:szCs w:val="20"/>
              </w:rPr>
              <w:t>Thyroid Carcinoma</w:t>
            </w:r>
          </w:p>
        </w:tc>
        <w:tc>
          <w:tcPr>
            <w:tcW w:w="2264" w:type="dxa"/>
            <w:shd w:val="clear" w:color="auto" w:fill="auto"/>
            <w:tcMar>
              <w:top w:w="15" w:type="dxa"/>
              <w:left w:w="15" w:type="dxa"/>
              <w:bottom w:w="0" w:type="dxa"/>
              <w:right w:w="15" w:type="dxa"/>
            </w:tcMar>
          </w:tcPr>
          <w:p w14:paraId="691E7CFF" w14:textId="528C6910" w:rsidR="00E7490B" w:rsidRPr="00983219" w:rsidRDefault="00E7490B" w:rsidP="00252893">
            <w:pPr>
              <w:rPr>
                <w:rFonts w:cstheme="minorHAnsi"/>
                <w:color w:val="000000"/>
                <w:sz w:val="20"/>
                <w:szCs w:val="20"/>
              </w:rPr>
            </w:pPr>
            <w:r w:rsidRPr="00983219">
              <w:rPr>
                <w:rFonts w:cstheme="minorHAnsi"/>
                <w:sz w:val="20"/>
                <w:szCs w:val="20"/>
              </w:rPr>
              <w:t>M D Anderson Cancer Center, Houston, Texas, United States</w:t>
            </w:r>
          </w:p>
        </w:tc>
        <w:tc>
          <w:tcPr>
            <w:tcW w:w="4417" w:type="dxa"/>
            <w:shd w:val="clear" w:color="auto" w:fill="auto"/>
            <w:tcMar>
              <w:top w:w="15" w:type="dxa"/>
              <w:left w:w="15" w:type="dxa"/>
              <w:bottom w:w="0" w:type="dxa"/>
              <w:right w:w="15" w:type="dxa"/>
            </w:tcMar>
          </w:tcPr>
          <w:p w14:paraId="51AE28B0" w14:textId="28508E8D" w:rsidR="00252893" w:rsidRPr="00983219" w:rsidRDefault="00955B21" w:rsidP="00252893">
            <w:pPr>
              <w:rPr>
                <w:rFonts w:cstheme="minorHAnsi"/>
                <w:sz w:val="20"/>
                <w:szCs w:val="20"/>
              </w:rPr>
            </w:pPr>
            <w:hyperlink r:id="rId35" w:history="1">
              <w:r w:rsidR="00252893" w:rsidRPr="002C0645">
                <w:rPr>
                  <w:rStyle w:val="Hyperlink"/>
                  <w:rFonts w:cstheme="minorHAnsi"/>
                  <w:sz w:val="20"/>
                  <w:szCs w:val="20"/>
                </w:rPr>
                <w:t>https://clinicaltrials.gov/study/NCT04589624</w:t>
              </w:r>
            </w:hyperlink>
          </w:p>
        </w:tc>
      </w:tr>
      <w:tr w:rsidR="00E7490B" w:rsidRPr="00983219" w14:paraId="10786931" w14:textId="77777777" w:rsidTr="00202E51">
        <w:trPr>
          <w:cantSplit/>
          <w:trHeight w:val="20"/>
        </w:trPr>
        <w:tc>
          <w:tcPr>
            <w:tcW w:w="3524" w:type="dxa"/>
            <w:shd w:val="clear" w:color="auto" w:fill="auto"/>
            <w:tcMar>
              <w:top w:w="15" w:type="dxa"/>
              <w:left w:w="15" w:type="dxa"/>
              <w:bottom w:w="0" w:type="dxa"/>
              <w:right w:w="15" w:type="dxa"/>
            </w:tcMar>
            <w:vAlign w:val="center"/>
          </w:tcPr>
          <w:p w14:paraId="27559EEE" w14:textId="0BDF5892" w:rsidR="00E7490B" w:rsidRPr="00983219" w:rsidRDefault="00E7490B" w:rsidP="00252893">
            <w:pPr>
              <w:rPr>
                <w:rFonts w:cstheme="minorHAnsi"/>
                <w:color w:val="000000"/>
                <w:sz w:val="20"/>
                <w:szCs w:val="20"/>
              </w:rPr>
            </w:pPr>
            <w:r w:rsidRPr="00983219">
              <w:rPr>
                <w:rFonts w:cstheme="minorHAnsi"/>
                <w:color w:val="333333"/>
                <w:sz w:val="20"/>
                <w:szCs w:val="20"/>
                <w:shd w:val="clear" w:color="auto" w:fill="FFFFFF"/>
              </w:rPr>
              <w:t>Study Using Hyperpolarized</w:t>
            </w:r>
            <w:r w:rsidRPr="00983219">
              <w:rPr>
                <w:rStyle w:val="apple-converted-space"/>
                <w:rFonts w:cstheme="minorHAnsi"/>
                <w:color w:val="333333"/>
                <w:sz w:val="20"/>
                <w:szCs w:val="20"/>
                <w:shd w:val="clear" w:color="auto" w:fill="FFFFFF"/>
              </w:rPr>
              <w:t> </w:t>
            </w:r>
            <w:r w:rsidRPr="00983219">
              <w:rPr>
                <w:rFonts w:cstheme="minorHAnsi"/>
                <w:sz w:val="20"/>
                <w:szCs w:val="20"/>
              </w:rPr>
              <w:t>13C</w:t>
            </w:r>
            <w:r w:rsidRPr="00983219">
              <w:rPr>
                <w:rFonts w:cstheme="minorHAnsi"/>
                <w:color w:val="333333"/>
                <w:sz w:val="20"/>
                <w:szCs w:val="20"/>
                <w:shd w:val="clear" w:color="auto" w:fill="FFFFFF"/>
              </w:rPr>
              <w:t>-</w:t>
            </w:r>
            <w:r w:rsidRPr="00983219">
              <w:rPr>
                <w:rFonts w:cstheme="minorHAnsi"/>
                <w:sz w:val="20"/>
                <w:szCs w:val="20"/>
              </w:rPr>
              <w:t>Pyruvate</w:t>
            </w:r>
            <w:r w:rsidRPr="00983219">
              <w:rPr>
                <w:rStyle w:val="apple-converted-space"/>
                <w:rFonts w:cstheme="minorHAnsi"/>
                <w:color w:val="333333"/>
                <w:sz w:val="20"/>
                <w:szCs w:val="20"/>
                <w:shd w:val="clear" w:color="auto" w:fill="FFFFFF"/>
              </w:rPr>
              <w:t> </w:t>
            </w:r>
            <w:r w:rsidRPr="00983219">
              <w:rPr>
                <w:rFonts w:cstheme="minorHAnsi"/>
                <w:color w:val="333333"/>
                <w:sz w:val="20"/>
                <w:szCs w:val="20"/>
                <w:shd w:val="clear" w:color="auto" w:fill="FFFFFF"/>
              </w:rPr>
              <w:t xml:space="preserve">Magnetic Resonance Spectroscopic Imaging in Patients </w:t>
            </w:r>
            <w:r w:rsidR="00252893" w:rsidRPr="00983219">
              <w:rPr>
                <w:rFonts w:cstheme="minorHAnsi"/>
                <w:color w:val="333333"/>
                <w:sz w:val="20"/>
                <w:szCs w:val="20"/>
                <w:shd w:val="clear" w:color="auto" w:fill="FFFFFF"/>
              </w:rPr>
              <w:t>with</w:t>
            </w:r>
            <w:r w:rsidRPr="00983219">
              <w:rPr>
                <w:rFonts w:cstheme="minorHAnsi"/>
                <w:color w:val="333333"/>
                <w:sz w:val="20"/>
                <w:szCs w:val="20"/>
                <w:shd w:val="clear" w:color="auto" w:fill="FFFFFF"/>
              </w:rPr>
              <w:t xml:space="preserve"> Pancreatic Cysts Undergoing Surgical Resection</w:t>
            </w:r>
          </w:p>
        </w:tc>
        <w:tc>
          <w:tcPr>
            <w:tcW w:w="1241" w:type="dxa"/>
            <w:shd w:val="clear" w:color="auto" w:fill="auto"/>
            <w:tcMar>
              <w:top w:w="15" w:type="dxa"/>
              <w:left w:w="15" w:type="dxa"/>
              <w:bottom w:w="0" w:type="dxa"/>
              <w:right w:w="15" w:type="dxa"/>
            </w:tcMar>
            <w:vAlign w:val="center"/>
          </w:tcPr>
          <w:p w14:paraId="1ABEDC37" w14:textId="5ACE236E" w:rsidR="00E7490B" w:rsidRPr="00983219" w:rsidRDefault="00E7490B" w:rsidP="00252893">
            <w:pPr>
              <w:rPr>
                <w:rFonts w:cstheme="minorHAnsi"/>
                <w:color w:val="000000"/>
                <w:sz w:val="20"/>
                <w:szCs w:val="20"/>
              </w:rPr>
            </w:pPr>
            <w:r w:rsidRPr="00983219">
              <w:rPr>
                <w:rFonts w:cstheme="minorHAnsi"/>
                <w:color w:val="000000"/>
                <w:sz w:val="20"/>
                <w:szCs w:val="20"/>
              </w:rPr>
              <w:t>Recruiting</w:t>
            </w:r>
          </w:p>
        </w:tc>
        <w:tc>
          <w:tcPr>
            <w:tcW w:w="2498" w:type="dxa"/>
            <w:shd w:val="clear" w:color="auto" w:fill="auto"/>
            <w:tcMar>
              <w:top w:w="15" w:type="dxa"/>
              <w:left w:w="15" w:type="dxa"/>
              <w:bottom w:w="0" w:type="dxa"/>
              <w:right w:w="15" w:type="dxa"/>
            </w:tcMar>
            <w:vAlign w:val="center"/>
          </w:tcPr>
          <w:p w14:paraId="2712F5F6" w14:textId="31321C63" w:rsidR="00E7490B" w:rsidRPr="00983219" w:rsidRDefault="00E7490B" w:rsidP="00252893">
            <w:pPr>
              <w:rPr>
                <w:rFonts w:cstheme="minorHAnsi"/>
                <w:color w:val="000000"/>
                <w:sz w:val="20"/>
                <w:szCs w:val="20"/>
              </w:rPr>
            </w:pPr>
            <w:r w:rsidRPr="00983219">
              <w:rPr>
                <w:rFonts w:cstheme="minorHAnsi"/>
                <w:color w:val="1B1B1B"/>
                <w:sz w:val="20"/>
                <w:szCs w:val="20"/>
              </w:rPr>
              <w:t>Pancreatic disease</w:t>
            </w:r>
          </w:p>
        </w:tc>
        <w:tc>
          <w:tcPr>
            <w:tcW w:w="2264" w:type="dxa"/>
            <w:shd w:val="clear" w:color="auto" w:fill="auto"/>
            <w:tcMar>
              <w:top w:w="15" w:type="dxa"/>
              <w:left w:w="15" w:type="dxa"/>
              <w:bottom w:w="0" w:type="dxa"/>
              <w:right w:w="15" w:type="dxa"/>
            </w:tcMar>
            <w:vAlign w:val="center"/>
          </w:tcPr>
          <w:p w14:paraId="1D7298E3" w14:textId="6A77CB3E" w:rsidR="00E7490B" w:rsidRPr="00983219" w:rsidRDefault="00E7490B" w:rsidP="00252893">
            <w:pPr>
              <w:rPr>
                <w:rFonts w:cstheme="minorHAnsi"/>
                <w:color w:val="000000"/>
                <w:sz w:val="20"/>
                <w:szCs w:val="20"/>
              </w:rPr>
            </w:pPr>
            <w:r w:rsidRPr="00983219">
              <w:rPr>
                <w:rFonts w:cstheme="minorHAnsi"/>
                <w:color w:val="000000"/>
                <w:sz w:val="20"/>
                <w:szCs w:val="20"/>
              </w:rPr>
              <w:t>M D Anderson Cancer Center, Houston, Texas, United States</w:t>
            </w:r>
          </w:p>
        </w:tc>
        <w:tc>
          <w:tcPr>
            <w:tcW w:w="4417" w:type="dxa"/>
            <w:shd w:val="clear" w:color="auto" w:fill="auto"/>
            <w:tcMar>
              <w:top w:w="15" w:type="dxa"/>
              <w:left w:w="15" w:type="dxa"/>
              <w:bottom w:w="0" w:type="dxa"/>
              <w:right w:w="15" w:type="dxa"/>
            </w:tcMar>
            <w:vAlign w:val="center"/>
          </w:tcPr>
          <w:p w14:paraId="506010FC" w14:textId="499B1E2F" w:rsidR="00252893" w:rsidRPr="00983219" w:rsidRDefault="00955B21" w:rsidP="00252893">
            <w:pPr>
              <w:rPr>
                <w:rFonts w:cstheme="minorHAnsi"/>
                <w:sz w:val="20"/>
                <w:szCs w:val="20"/>
              </w:rPr>
            </w:pPr>
            <w:hyperlink r:id="rId36" w:history="1">
              <w:r w:rsidR="00252893" w:rsidRPr="002C0645">
                <w:rPr>
                  <w:rStyle w:val="Hyperlink"/>
                  <w:rFonts w:cstheme="minorHAnsi"/>
                  <w:sz w:val="20"/>
                  <w:szCs w:val="20"/>
                </w:rPr>
                <w:t>https://clinicaltrials.gov/study/NCT05873699</w:t>
              </w:r>
            </w:hyperlink>
          </w:p>
        </w:tc>
      </w:tr>
      <w:tr w:rsidR="006F17F3" w:rsidRPr="00983219" w14:paraId="3969DB5C" w14:textId="77777777" w:rsidTr="00202E51">
        <w:trPr>
          <w:cantSplit/>
          <w:trHeight w:val="20"/>
        </w:trPr>
        <w:tc>
          <w:tcPr>
            <w:tcW w:w="3524" w:type="dxa"/>
            <w:shd w:val="clear" w:color="auto" w:fill="auto"/>
            <w:tcMar>
              <w:top w:w="15" w:type="dxa"/>
              <w:left w:w="15" w:type="dxa"/>
              <w:bottom w:w="0" w:type="dxa"/>
              <w:right w:w="15" w:type="dxa"/>
            </w:tcMar>
            <w:vAlign w:val="center"/>
          </w:tcPr>
          <w:p w14:paraId="2C00A5B7" w14:textId="6DEE4B14" w:rsidR="006F17F3" w:rsidRPr="00983219" w:rsidRDefault="006F17F3" w:rsidP="00252893">
            <w:pPr>
              <w:rPr>
                <w:rFonts w:cstheme="minorHAnsi"/>
                <w:color w:val="000000"/>
                <w:sz w:val="20"/>
                <w:szCs w:val="20"/>
              </w:rPr>
            </w:pPr>
            <w:r w:rsidRPr="006F17F3">
              <w:rPr>
                <w:rFonts w:cstheme="minorHAnsi"/>
                <w:color w:val="000000"/>
                <w:sz w:val="20"/>
                <w:szCs w:val="20"/>
              </w:rPr>
              <w:t>Hyperpolarized Carbon C 13 Pyruvate in Diagnosing Glioma in Patients with Brain Tumors</w:t>
            </w:r>
          </w:p>
        </w:tc>
        <w:tc>
          <w:tcPr>
            <w:tcW w:w="1241" w:type="dxa"/>
            <w:shd w:val="clear" w:color="auto" w:fill="auto"/>
            <w:tcMar>
              <w:top w:w="15" w:type="dxa"/>
              <w:left w:w="15" w:type="dxa"/>
              <w:bottom w:w="0" w:type="dxa"/>
              <w:right w:w="15" w:type="dxa"/>
            </w:tcMar>
            <w:vAlign w:val="center"/>
          </w:tcPr>
          <w:p w14:paraId="2FE2269D" w14:textId="4585DFC4" w:rsidR="006F17F3" w:rsidRPr="00983219" w:rsidRDefault="006F17F3" w:rsidP="00252893">
            <w:pPr>
              <w:rPr>
                <w:rFonts w:cstheme="minorHAnsi"/>
                <w:color w:val="000000"/>
                <w:sz w:val="20"/>
                <w:szCs w:val="20"/>
              </w:rPr>
            </w:pPr>
            <w:r w:rsidRPr="006F17F3">
              <w:rPr>
                <w:rFonts w:cstheme="minorHAnsi"/>
                <w:color w:val="000000"/>
                <w:sz w:val="20"/>
                <w:szCs w:val="20"/>
              </w:rPr>
              <w:t>Recruiting</w:t>
            </w:r>
          </w:p>
        </w:tc>
        <w:tc>
          <w:tcPr>
            <w:tcW w:w="2498" w:type="dxa"/>
            <w:shd w:val="clear" w:color="auto" w:fill="auto"/>
            <w:tcMar>
              <w:top w:w="15" w:type="dxa"/>
              <w:left w:w="15" w:type="dxa"/>
              <w:bottom w:w="0" w:type="dxa"/>
              <w:right w:w="15" w:type="dxa"/>
            </w:tcMar>
            <w:vAlign w:val="center"/>
          </w:tcPr>
          <w:p w14:paraId="11F0134E" w14:textId="00A06CE1" w:rsidR="006F17F3" w:rsidRPr="00983219" w:rsidRDefault="006F17F3" w:rsidP="00252893">
            <w:pPr>
              <w:rPr>
                <w:rFonts w:cstheme="minorHAnsi"/>
                <w:color w:val="000000"/>
                <w:sz w:val="20"/>
                <w:szCs w:val="20"/>
              </w:rPr>
            </w:pPr>
            <w:r w:rsidRPr="006F17F3">
              <w:rPr>
                <w:rFonts w:cstheme="minorHAnsi"/>
                <w:color w:val="000000"/>
                <w:sz w:val="20"/>
                <w:szCs w:val="20"/>
              </w:rPr>
              <w:t>Primary Brain Neoplasm</w:t>
            </w:r>
          </w:p>
        </w:tc>
        <w:tc>
          <w:tcPr>
            <w:tcW w:w="2264" w:type="dxa"/>
            <w:shd w:val="clear" w:color="auto" w:fill="auto"/>
            <w:tcMar>
              <w:top w:w="15" w:type="dxa"/>
              <w:left w:w="15" w:type="dxa"/>
              <w:bottom w:w="0" w:type="dxa"/>
              <w:right w:w="15" w:type="dxa"/>
            </w:tcMar>
            <w:vAlign w:val="center"/>
          </w:tcPr>
          <w:p w14:paraId="422148A4" w14:textId="51E1852A" w:rsidR="006F17F3" w:rsidRPr="00983219" w:rsidRDefault="006F17F3" w:rsidP="00252893">
            <w:pPr>
              <w:rPr>
                <w:rFonts w:cstheme="minorHAnsi"/>
                <w:color w:val="000000"/>
                <w:sz w:val="20"/>
                <w:szCs w:val="20"/>
              </w:rPr>
            </w:pPr>
            <w:r w:rsidRPr="006F17F3">
              <w:rPr>
                <w:rFonts w:cstheme="minorHAnsi"/>
                <w:color w:val="000000"/>
                <w:sz w:val="20"/>
                <w:szCs w:val="20"/>
              </w:rPr>
              <w:t>M D Anderson Cancer Center, Houston, Texas, United States</w:t>
            </w:r>
          </w:p>
        </w:tc>
        <w:tc>
          <w:tcPr>
            <w:tcW w:w="4417" w:type="dxa"/>
            <w:shd w:val="clear" w:color="auto" w:fill="auto"/>
            <w:tcMar>
              <w:top w:w="15" w:type="dxa"/>
              <w:left w:w="15" w:type="dxa"/>
              <w:bottom w:w="0" w:type="dxa"/>
              <w:right w:w="15" w:type="dxa"/>
            </w:tcMar>
            <w:vAlign w:val="center"/>
          </w:tcPr>
          <w:p w14:paraId="11EC82FD" w14:textId="22F8B115" w:rsidR="006F17F3" w:rsidRDefault="006F17F3" w:rsidP="00252893">
            <w:r w:rsidRPr="006F17F3">
              <w:t>https://clinicaltrials.gov/study/NCT03830151</w:t>
            </w:r>
          </w:p>
        </w:tc>
      </w:tr>
      <w:tr w:rsidR="00097B3B" w:rsidRPr="00983219" w14:paraId="65CFA01A" w14:textId="77777777" w:rsidTr="00202E51">
        <w:trPr>
          <w:cantSplit/>
          <w:trHeight w:val="20"/>
        </w:trPr>
        <w:tc>
          <w:tcPr>
            <w:tcW w:w="3524" w:type="dxa"/>
            <w:shd w:val="clear" w:color="auto" w:fill="auto"/>
            <w:tcMar>
              <w:top w:w="15" w:type="dxa"/>
              <w:left w:w="15" w:type="dxa"/>
              <w:bottom w:w="0" w:type="dxa"/>
              <w:right w:w="15" w:type="dxa"/>
            </w:tcMar>
            <w:vAlign w:val="center"/>
            <w:hideMark/>
          </w:tcPr>
          <w:p w14:paraId="5F57134C" w14:textId="77777777" w:rsidR="00097B3B" w:rsidRPr="00983219" w:rsidRDefault="00097B3B" w:rsidP="00252893">
            <w:pPr>
              <w:rPr>
                <w:rFonts w:cstheme="minorHAnsi"/>
                <w:color w:val="000000"/>
                <w:sz w:val="20"/>
                <w:szCs w:val="20"/>
              </w:rPr>
            </w:pPr>
            <w:r w:rsidRPr="00983219">
              <w:rPr>
                <w:rFonts w:cstheme="minorHAnsi"/>
                <w:color w:val="000000"/>
                <w:sz w:val="20"/>
                <w:szCs w:val="20"/>
              </w:rPr>
              <w:t>Characterization of Hyperpolarized Pyruvate MRI Reproducibility</w:t>
            </w:r>
          </w:p>
        </w:tc>
        <w:tc>
          <w:tcPr>
            <w:tcW w:w="1241" w:type="dxa"/>
            <w:shd w:val="clear" w:color="auto" w:fill="auto"/>
            <w:tcMar>
              <w:top w:w="15" w:type="dxa"/>
              <w:left w:w="15" w:type="dxa"/>
              <w:bottom w:w="0" w:type="dxa"/>
              <w:right w:w="15" w:type="dxa"/>
            </w:tcMar>
            <w:vAlign w:val="center"/>
            <w:hideMark/>
          </w:tcPr>
          <w:p w14:paraId="2A8C3EC0" w14:textId="77777777" w:rsidR="00097B3B" w:rsidRPr="00983219" w:rsidRDefault="00097B3B" w:rsidP="00252893">
            <w:pPr>
              <w:rPr>
                <w:rFonts w:cstheme="minorHAnsi"/>
                <w:color w:val="000000"/>
                <w:sz w:val="20"/>
                <w:szCs w:val="20"/>
              </w:rPr>
            </w:pPr>
            <w:r w:rsidRPr="00983219">
              <w:rPr>
                <w:rFonts w:cstheme="minorHAnsi"/>
                <w:color w:val="000000"/>
                <w:sz w:val="20"/>
                <w:szCs w:val="20"/>
              </w:rPr>
              <w:t>Recruiting</w:t>
            </w:r>
          </w:p>
        </w:tc>
        <w:tc>
          <w:tcPr>
            <w:tcW w:w="2498" w:type="dxa"/>
            <w:shd w:val="clear" w:color="auto" w:fill="auto"/>
            <w:tcMar>
              <w:top w:w="15" w:type="dxa"/>
              <w:left w:w="15" w:type="dxa"/>
              <w:bottom w:w="0" w:type="dxa"/>
              <w:right w:w="15" w:type="dxa"/>
            </w:tcMar>
            <w:vAlign w:val="center"/>
            <w:hideMark/>
          </w:tcPr>
          <w:p w14:paraId="6150140E" w14:textId="77777777" w:rsidR="00097B3B" w:rsidRPr="00983219" w:rsidRDefault="00097B3B" w:rsidP="00252893">
            <w:pPr>
              <w:rPr>
                <w:rFonts w:cstheme="minorHAnsi"/>
                <w:color w:val="000000"/>
                <w:sz w:val="20"/>
                <w:szCs w:val="20"/>
              </w:rPr>
            </w:pPr>
            <w:r w:rsidRPr="00983219">
              <w:rPr>
                <w:rFonts w:cstheme="minorHAnsi"/>
                <w:color w:val="000000"/>
                <w:sz w:val="20"/>
                <w:szCs w:val="20"/>
              </w:rPr>
              <w:t>Malignant Solid Tumors</w:t>
            </w:r>
          </w:p>
        </w:tc>
        <w:tc>
          <w:tcPr>
            <w:tcW w:w="2264" w:type="dxa"/>
            <w:shd w:val="clear" w:color="auto" w:fill="auto"/>
            <w:tcMar>
              <w:top w:w="15" w:type="dxa"/>
              <w:left w:w="15" w:type="dxa"/>
              <w:bottom w:w="0" w:type="dxa"/>
              <w:right w:w="15" w:type="dxa"/>
            </w:tcMar>
            <w:vAlign w:val="center"/>
            <w:hideMark/>
          </w:tcPr>
          <w:p w14:paraId="581E41CA" w14:textId="77777777" w:rsidR="00097B3B" w:rsidRPr="00983219" w:rsidRDefault="00097B3B" w:rsidP="00252893">
            <w:pPr>
              <w:rPr>
                <w:rFonts w:cstheme="minorHAnsi"/>
                <w:color w:val="000000"/>
                <w:sz w:val="20"/>
                <w:szCs w:val="20"/>
              </w:rPr>
            </w:pPr>
            <w:r w:rsidRPr="00983219">
              <w:rPr>
                <w:rFonts w:cstheme="minorHAnsi"/>
                <w:color w:val="000000"/>
                <w:sz w:val="20"/>
                <w:szCs w:val="20"/>
              </w:rPr>
              <w:t>Memorial Sloan Kettering Cancer Center, New York, New York, United States</w:t>
            </w:r>
          </w:p>
        </w:tc>
        <w:tc>
          <w:tcPr>
            <w:tcW w:w="4417" w:type="dxa"/>
            <w:shd w:val="clear" w:color="auto" w:fill="auto"/>
            <w:tcMar>
              <w:top w:w="15" w:type="dxa"/>
              <w:left w:w="15" w:type="dxa"/>
              <w:bottom w:w="0" w:type="dxa"/>
              <w:right w:w="15" w:type="dxa"/>
            </w:tcMar>
            <w:vAlign w:val="center"/>
            <w:hideMark/>
          </w:tcPr>
          <w:p w14:paraId="1BCEC105" w14:textId="77777777" w:rsidR="00097B3B" w:rsidRPr="00983219" w:rsidRDefault="00955B21" w:rsidP="00252893">
            <w:pPr>
              <w:rPr>
                <w:rFonts w:cstheme="minorHAnsi"/>
                <w:color w:val="0563C1"/>
                <w:sz w:val="20"/>
                <w:szCs w:val="20"/>
                <w:u w:val="single"/>
              </w:rPr>
            </w:pPr>
            <w:hyperlink r:id="rId37" w:history="1">
              <w:r w:rsidR="00097B3B" w:rsidRPr="00983219">
                <w:rPr>
                  <w:rStyle w:val="Hyperlink"/>
                  <w:rFonts w:cstheme="minorHAnsi"/>
                  <w:sz w:val="20"/>
                  <w:szCs w:val="20"/>
                </w:rPr>
                <w:t xml:space="preserve">https://ClinicalTrials.gov/show/NCT02421380 </w:t>
              </w:r>
            </w:hyperlink>
          </w:p>
        </w:tc>
      </w:tr>
      <w:tr w:rsidR="00097B3B" w:rsidRPr="00983219" w14:paraId="4B13A075" w14:textId="77777777" w:rsidTr="00202E51">
        <w:trPr>
          <w:cantSplit/>
          <w:trHeight w:val="20"/>
        </w:trPr>
        <w:tc>
          <w:tcPr>
            <w:tcW w:w="3524" w:type="dxa"/>
            <w:shd w:val="clear" w:color="auto" w:fill="auto"/>
            <w:tcMar>
              <w:top w:w="15" w:type="dxa"/>
              <w:left w:w="15" w:type="dxa"/>
              <w:bottom w:w="0" w:type="dxa"/>
              <w:right w:w="15" w:type="dxa"/>
            </w:tcMar>
            <w:vAlign w:val="center"/>
            <w:hideMark/>
          </w:tcPr>
          <w:p w14:paraId="47EC8F34" w14:textId="77777777" w:rsidR="00097B3B" w:rsidRPr="00983219" w:rsidRDefault="00097B3B" w:rsidP="00252893">
            <w:pPr>
              <w:rPr>
                <w:rFonts w:cstheme="minorHAnsi"/>
                <w:color w:val="000000"/>
                <w:sz w:val="20"/>
                <w:szCs w:val="20"/>
              </w:rPr>
            </w:pPr>
            <w:r w:rsidRPr="00983219">
              <w:rPr>
                <w:rFonts w:cstheme="minorHAnsi"/>
                <w:color w:val="000000"/>
                <w:sz w:val="20"/>
                <w:szCs w:val="20"/>
              </w:rPr>
              <w:t>Characterization of Hyperpolarized Pyruvate MRI Reproducibility</w:t>
            </w:r>
          </w:p>
        </w:tc>
        <w:tc>
          <w:tcPr>
            <w:tcW w:w="1241" w:type="dxa"/>
            <w:shd w:val="clear" w:color="auto" w:fill="auto"/>
            <w:tcMar>
              <w:top w:w="15" w:type="dxa"/>
              <w:left w:w="15" w:type="dxa"/>
              <w:bottom w:w="0" w:type="dxa"/>
              <w:right w:w="15" w:type="dxa"/>
            </w:tcMar>
            <w:vAlign w:val="center"/>
            <w:hideMark/>
          </w:tcPr>
          <w:p w14:paraId="593E9CD3" w14:textId="77777777" w:rsidR="00097B3B" w:rsidRPr="00983219" w:rsidRDefault="00097B3B" w:rsidP="00252893">
            <w:pPr>
              <w:rPr>
                <w:rFonts w:cstheme="minorHAnsi"/>
                <w:color w:val="000000"/>
                <w:sz w:val="20"/>
                <w:szCs w:val="20"/>
              </w:rPr>
            </w:pPr>
            <w:r w:rsidRPr="00983219">
              <w:rPr>
                <w:rFonts w:cstheme="minorHAnsi"/>
                <w:color w:val="000000"/>
                <w:sz w:val="20"/>
                <w:szCs w:val="20"/>
              </w:rPr>
              <w:t>Recruiting</w:t>
            </w:r>
          </w:p>
        </w:tc>
        <w:tc>
          <w:tcPr>
            <w:tcW w:w="2498" w:type="dxa"/>
            <w:shd w:val="clear" w:color="auto" w:fill="auto"/>
            <w:tcMar>
              <w:top w:w="15" w:type="dxa"/>
              <w:left w:w="15" w:type="dxa"/>
              <w:bottom w:w="0" w:type="dxa"/>
              <w:right w:w="15" w:type="dxa"/>
            </w:tcMar>
            <w:vAlign w:val="center"/>
            <w:hideMark/>
          </w:tcPr>
          <w:p w14:paraId="521329CF" w14:textId="77777777" w:rsidR="00097B3B" w:rsidRPr="00983219" w:rsidRDefault="00097B3B" w:rsidP="00252893">
            <w:pPr>
              <w:rPr>
                <w:rFonts w:cstheme="minorHAnsi"/>
                <w:color w:val="000000"/>
                <w:sz w:val="20"/>
                <w:szCs w:val="20"/>
              </w:rPr>
            </w:pPr>
            <w:r w:rsidRPr="00983219">
              <w:rPr>
                <w:rFonts w:cstheme="minorHAnsi"/>
                <w:color w:val="000000"/>
                <w:sz w:val="20"/>
                <w:szCs w:val="20"/>
              </w:rPr>
              <w:t>Malignant Solid Tumors</w:t>
            </w:r>
          </w:p>
        </w:tc>
        <w:tc>
          <w:tcPr>
            <w:tcW w:w="2264" w:type="dxa"/>
            <w:shd w:val="clear" w:color="auto" w:fill="auto"/>
            <w:tcMar>
              <w:top w:w="15" w:type="dxa"/>
              <w:left w:w="15" w:type="dxa"/>
              <w:bottom w:w="0" w:type="dxa"/>
              <w:right w:w="15" w:type="dxa"/>
            </w:tcMar>
            <w:vAlign w:val="center"/>
            <w:hideMark/>
          </w:tcPr>
          <w:p w14:paraId="4437DE43" w14:textId="77777777" w:rsidR="00097B3B" w:rsidRPr="00983219" w:rsidRDefault="00097B3B" w:rsidP="00252893">
            <w:pPr>
              <w:rPr>
                <w:rFonts w:cstheme="minorHAnsi"/>
                <w:color w:val="000000"/>
                <w:sz w:val="20"/>
                <w:szCs w:val="20"/>
              </w:rPr>
            </w:pPr>
            <w:r w:rsidRPr="00983219">
              <w:rPr>
                <w:rFonts w:cstheme="minorHAnsi"/>
                <w:color w:val="000000"/>
                <w:sz w:val="20"/>
                <w:szCs w:val="20"/>
              </w:rPr>
              <w:t>Memorial Sloan Kettering Cancer Center, New York, New York, United States</w:t>
            </w:r>
          </w:p>
        </w:tc>
        <w:tc>
          <w:tcPr>
            <w:tcW w:w="4417" w:type="dxa"/>
            <w:shd w:val="clear" w:color="auto" w:fill="auto"/>
            <w:tcMar>
              <w:top w:w="15" w:type="dxa"/>
              <w:left w:w="15" w:type="dxa"/>
              <w:bottom w:w="0" w:type="dxa"/>
              <w:right w:w="15" w:type="dxa"/>
            </w:tcMar>
            <w:vAlign w:val="center"/>
            <w:hideMark/>
          </w:tcPr>
          <w:p w14:paraId="2E56980B" w14:textId="77777777" w:rsidR="00097B3B" w:rsidRPr="00983219" w:rsidRDefault="00955B21" w:rsidP="00252893">
            <w:pPr>
              <w:rPr>
                <w:rFonts w:cstheme="minorHAnsi"/>
                <w:color w:val="0563C1"/>
                <w:sz w:val="20"/>
                <w:szCs w:val="20"/>
                <w:u w:val="single"/>
              </w:rPr>
            </w:pPr>
            <w:hyperlink r:id="rId38" w:history="1">
              <w:r w:rsidR="00097B3B" w:rsidRPr="00983219">
                <w:rPr>
                  <w:rStyle w:val="Hyperlink"/>
                  <w:rFonts w:cstheme="minorHAnsi"/>
                  <w:sz w:val="20"/>
                  <w:szCs w:val="20"/>
                </w:rPr>
                <w:t>https://clinicaltrials.gov/ct2/show/NCT02421380</w:t>
              </w:r>
            </w:hyperlink>
          </w:p>
        </w:tc>
      </w:tr>
      <w:tr w:rsidR="0087772C" w:rsidRPr="00983219" w14:paraId="1AFF28CE" w14:textId="77777777" w:rsidTr="00202E51">
        <w:trPr>
          <w:cantSplit/>
          <w:trHeight w:val="20"/>
        </w:trPr>
        <w:tc>
          <w:tcPr>
            <w:tcW w:w="3524" w:type="dxa"/>
            <w:shd w:val="clear" w:color="auto" w:fill="auto"/>
            <w:tcMar>
              <w:top w:w="15" w:type="dxa"/>
              <w:left w:w="15" w:type="dxa"/>
              <w:bottom w:w="0" w:type="dxa"/>
              <w:right w:w="15" w:type="dxa"/>
            </w:tcMar>
            <w:vAlign w:val="center"/>
          </w:tcPr>
          <w:p w14:paraId="1045CC0A" w14:textId="34E3EECE" w:rsidR="0087772C" w:rsidRPr="00983219" w:rsidRDefault="0087772C" w:rsidP="00252893">
            <w:pPr>
              <w:rPr>
                <w:rFonts w:cstheme="minorHAnsi"/>
                <w:color w:val="000000"/>
                <w:sz w:val="20"/>
                <w:szCs w:val="20"/>
              </w:rPr>
            </w:pPr>
            <w:r w:rsidRPr="00983219">
              <w:rPr>
                <w:rFonts w:cstheme="minorHAnsi"/>
                <w:color w:val="333333"/>
                <w:sz w:val="20"/>
                <w:szCs w:val="20"/>
                <w:shd w:val="clear" w:color="auto" w:fill="FFFFFF"/>
              </w:rPr>
              <w:lastRenderedPageBreak/>
              <w:t>A Study of [</w:t>
            </w:r>
            <w:r w:rsidRPr="00983219">
              <w:rPr>
                <w:rFonts w:cstheme="minorHAnsi"/>
                <w:sz w:val="20"/>
                <w:szCs w:val="20"/>
              </w:rPr>
              <w:t>13</w:t>
            </w:r>
            <w:proofErr w:type="gramStart"/>
            <w:r w:rsidRPr="00983219">
              <w:rPr>
                <w:rFonts w:cstheme="minorHAnsi"/>
                <w:sz w:val="20"/>
                <w:szCs w:val="20"/>
              </w:rPr>
              <w:t>C</w:t>
            </w:r>
            <w:r w:rsidRPr="00983219">
              <w:rPr>
                <w:rFonts w:cstheme="minorHAnsi"/>
                <w:color w:val="333333"/>
                <w:sz w:val="20"/>
                <w:szCs w:val="20"/>
                <w:shd w:val="clear" w:color="auto" w:fill="FFFFFF"/>
              </w:rPr>
              <w:t>]</w:t>
            </w:r>
            <w:r w:rsidRPr="00983219">
              <w:rPr>
                <w:rFonts w:cstheme="minorHAnsi"/>
                <w:sz w:val="20"/>
                <w:szCs w:val="20"/>
              </w:rPr>
              <w:t>Pyruvate</w:t>
            </w:r>
            <w:proofErr w:type="gramEnd"/>
            <w:r w:rsidRPr="00983219">
              <w:rPr>
                <w:rStyle w:val="apple-converted-space"/>
                <w:rFonts w:cstheme="minorHAnsi"/>
                <w:color w:val="333333"/>
                <w:sz w:val="20"/>
                <w:szCs w:val="20"/>
                <w:shd w:val="clear" w:color="auto" w:fill="FFFFFF"/>
              </w:rPr>
              <w:t> </w:t>
            </w:r>
            <w:r w:rsidRPr="00983219">
              <w:rPr>
                <w:rFonts w:cstheme="minorHAnsi"/>
                <w:color w:val="333333"/>
                <w:sz w:val="20"/>
                <w:szCs w:val="20"/>
                <w:shd w:val="clear" w:color="auto" w:fill="FFFFFF"/>
              </w:rPr>
              <w:t>as an Imaging Agent for Magnetic Resonance Imaging in Healthy Volunteers</w:t>
            </w:r>
          </w:p>
        </w:tc>
        <w:tc>
          <w:tcPr>
            <w:tcW w:w="1241" w:type="dxa"/>
            <w:shd w:val="clear" w:color="auto" w:fill="auto"/>
            <w:tcMar>
              <w:top w:w="15" w:type="dxa"/>
              <w:left w:w="15" w:type="dxa"/>
              <w:bottom w:w="0" w:type="dxa"/>
              <w:right w:w="15" w:type="dxa"/>
            </w:tcMar>
            <w:vAlign w:val="center"/>
          </w:tcPr>
          <w:p w14:paraId="60B153D4" w14:textId="274D284F" w:rsidR="0087772C" w:rsidRPr="00983219" w:rsidRDefault="0087772C" w:rsidP="00252893">
            <w:pPr>
              <w:rPr>
                <w:rFonts w:cstheme="minorHAnsi"/>
                <w:color w:val="000000"/>
                <w:sz w:val="20"/>
                <w:szCs w:val="20"/>
              </w:rPr>
            </w:pPr>
            <w:r w:rsidRPr="00983219">
              <w:rPr>
                <w:rFonts w:cstheme="minorHAnsi"/>
                <w:color w:val="000000"/>
                <w:sz w:val="20"/>
                <w:szCs w:val="20"/>
              </w:rPr>
              <w:t>Enrolling by Invitation</w:t>
            </w:r>
          </w:p>
        </w:tc>
        <w:tc>
          <w:tcPr>
            <w:tcW w:w="2498" w:type="dxa"/>
            <w:shd w:val="clear" w:color="auto" w:fill="auto"/>
            <w:tcMar>
              <w:top w:w="15" w:type="dxa"/>
              <w:left w:w="15" w:type="dxa"/>
              <w:bottom w:w="0" w:type="dxa"/>
              <w:right w:w="15" w:type="dxa"/>
            </w:tcMar>
            <w:vAlign w:val="center"/>
          </w:tcPr>
          <w:p w14:paraId="0DE9CEB3" w14:textId="33FD41E9" w:rsidR="0087772C" w:rsidRPr="00983219" w:rsidRDefault="00AD0DDE" w:rsidP="00252893">
            <w:pPr>
              <w:rPr>
                <w:rFonts w:cstheme="minorHAnsi"/>
                <w:color w:val="000000"/>
                <w:sz w:val="20"/>
                <w:szCs w:val="20"/>
              </w:rPr>
            </w:pPr>
            <w:r w:rsidRPr="00983219">
              <w:rPr>
                <w:rFonts w:cstheme="minorHAnsi"/>
                <w:color w:val="000000"/>
                <w:sz w:val="20"/>
                <w:szCs w:val="20"/>
              </w:rPr>
              <w:t>Healthy</w:t>
            </w:r>
            <w:r w:rsidR="0087772C" w:rsidRPr="00983219">
              <w:rPr>
                <w:rFonts w:cstheme="minorHAnsi"/>
                <w:color w:val="000000"/>
                <w:sz w:val="20"/>
                <w:szCs w:val="20"/>
              </w:rPr>
              <w:t xml:space="preserve"> Volunteers</w:t>
            </w:r>
          </w:p>
        </w:tc>
        <w:tc>
          <w:tcPr>
            <w:tcW w:w="2264" w:type="dxa"/>
            <w:shd w:val="clear" w:color="auto" w:fill="auto"/>
            <w:tcMar>
              <w:top w:w="15" w:type="dxa"/>
              <w:left w:w="15" w:type="dxa"/>
              <w:bottom w:w="0" w:type="dxa"/>
              <w:right w:w="15" w:type="dxa"/>
            </w:tcMar>
            <w:vAlign w:val="center"/>
          </w:tcPr>
          <w:p w14:paraId="5DAB64F8" w14:textId="4395C300" w:rsidR="0087772C" w:rsidRPr="00983219" w:rsidRDefault="0087772C" w:rsidP="00252893">
            <w:pPr>
              <w:rPr>
                <w:rFonts w:cstheme="minorHAnsi"/>
                <w:color w:val="000000"/>
                <w:sz w:val="20"/>
                <w:szCs w:val="20"/>
              </w:rPr>
            </w:pPr>
            <w:r w:rsidRPr="00983219">
              <w:rPr>
                <w:rFonts w:cstheme="minorHAnsi"/>
                <w:color w:val="000000"/>
                <w:sz w:val="20"/>
                <w:szCs w:val="20"/>
              </w:rPr>
              <w:t>Memorial Sloan Kettering Cancer Center, New York, New York, United States</w:t>
            </w:r>
          </w:p>
        </w:tc>
        <w:tc>
          <w:tcPr>
            <w:tcW w:w="4417" w:type="dxa"/>
            <w:shd w:val="clear" w:color="auto" w:fill="auto"/>
            <w:tcMar>
              <w:top w:w="15" w:type="dxa"/>
              <w:left w:w="15" w:type="dxa"/>
              <w:bottom w:w="0" w:type="dxa"/>
              <w:right w:w="15" w:type="dxa"/>
            </w:tcMar>
            <w:vAlign w:val="center"/>
          </w:tcPr>
          <w:p w14:paraId="134D63ED" w14:textId="3B8B654D" w:rsidR="00252893" w:rsidRPr="00983219" w:rsidRDefault="00955B21" w:rsidP="00252893">
            <w:pPr>
              <w:rPr>
                <w:rFonts w:cstheme="minorHAnsi"/>
                <w:sz w:val="20"/>
                <w:szCs w:val="20"/>
              </w:rPr>
            </w:pPr>
            <w:hyperlink r:id="rId39" w:history="1">
              <w:r w:rsidR="00252893" w:rsidRPr="002C0645">
                <w:rPr>
                  <w:rStyle w:val="Hyperlink"/>
                  <w:rFonts w:cstheme="minorHAnsi"/>
                  <w:sz w:val="20"/>
                  <w:szCs w:val="20"/>
                </w:rPr>
                <w:t>https://clinicaltrials.gov/study/NCT05041166</w:t>
              </w:r>
            </w:hyperlink>
          </w:p>
        </w:tc>
      </w:tr>
      <w:tr w:rsidR="00097B3B" w:rsidRPr="00983219" w14:paraId="0F01ABF5" w14:textId="77777777" w:rsidTr="00202E51">
        <w:trPr>
          <w:cantSplit/>
          <w:trHeight w:val="20"/>
        </w:trPr>
        <w:tc>
          <w:tcPr>
            <w:tcW w:w="3524" w:type="dxa"/>
            <w:shd w:val="clear" w:color="auto" w:fill="auto"/>
            <w:tcMar>
              <w:top w:w="15" w:type="dxa"/>
              <w:left w:w="15" w:type="dxa"/>
              <w:bottom w:w="0" w:type="dxa"/>
              <w:right w:w="15" w:type="dxa"/>
            </w:tcMar>
            <w:vAlign w:val="center"/>
            <w:hideMark/>
          </w:tcPr>
          <w:p w14:paraId="4AFF86C3" w14:textId="0EC3C066" w:rsidR="00097B3B" w:rsidRPr="00983219" w:rsidRDefault="00097B3B">
            <w:pPr>
              <w:rPr>
                <w:rFonts w:cstheme="minorHAnsi"/>
                <w:color w:val="000000"/>
                <w:sz w:val="20"/>
                <w:szCs w:val="20"/>
              </w:rPr>
            </w:pPr>
            <w:r w:rsidRPr="00983219">
              <w:rPr>
                <w:rFonts w:cstheme="minorHAnsi"/>
                <w:color w:val="000000"/>
                <w:sz w:val="20"/>
                <w:szCs w:val="20"/>
              </w:rPr>
              <w:t>Hyperpolarized Carbon C 13 Pyruvate Magnetic Resonance Spectroscopic Imaging</w:t>
            </w:r>
            <w:r w:rsidRPr="00983219">
              <w:rPr>
                <w:rFonts w:cstheme="minorHAnsi"/>
                <w:color w:val="1A3D85"/>
                <w:sz w:val="20"/>
                <w:szCs w:val="20"/>
              </w:rPr>
              <w:t> </w:t>
            </w:r>
            <w:r w:rsidRPr="00983219">
              <w:rPr>
                <w:rFonts w:cstheme="minorHAnsi"/>
                <w:color w:val="000000"/>
                <w:sz w:val="20"/>
                <w:szCs w:val="20"/>
              </w:rPr>
              <w:t xml:space="preserve">in Detecting Lactate and Bicarbonate in Participants </w:t>
            </w:r>
            <w:r w:rsidR="007F4304" w:rsidRPr="00983219">
              <w:rPr>
                <w:rFonts w:cstheme="minorHAnsi"/>
                <w:color w:val="000000"/>
                <w:sz w:val="20"/>
                <w:szCs w:val="20"/>
              </w:rPr>
              <w:t xml:space="preserve">with </w:t>
            </w:r>
            <w:r w:rsidRPr="00983219">
              <w:rPr>
                <w:rFonts w:cstheme="minorHAnsi"/>
                <w:color w:val="000000"/>
                <w:sz w:val="20"/>
                <w:szCs w:val="20"/>
              </w:rPr>
              <w:t>Central Nervous System Tumors</w:t>
            </w:r>
          </w:p>
        </w:tc>
        <w:tc>
          <w:tcPr>
            <w:tcW w:w="1241" w:type="dxa"/>
            <w:shd w:val="clear" w:color="auto" w:fill="auto"/>
            <w:tcMar>
              <w:top w:w="15" w:type="dxa"/>
              <w:left w:w="15" w:type="dxa"/>
              <w:bottom w:w="0" w:type="dxa"/>
              <w:right w:w="15" w:type="dxa"/>
            </w:tcMar>
            <w:vAlign w:val="center"/>
            <w:hideMark/>
          </w:tcPr>
          <w:p w14:paraId="47E1D403" w14:textId="1683CA42" w:rsidR="00097B3B" w:rsidRPr="00983219" w:rsidRDefault="006F17F3">
            <w:pPr>
              <w:rPr>
                <w:rFonts w:cstheme="minorHAnsi"/>
                <w:color w:val="000000"/>
                <w:sz w:val="20"/>
                <w:szCs w:val="20"/>
              </w:rPr>
            </w:pPr>
            <w:proofErr w:type="spellStart"/>
            <w:r>
              <w:rPr>
                <w:rFonts w:cstheme="minorHAnsi"/>
                <w:color w:val="000000"/>
                <w:sz w:val="20"/>
                <w:szCs w:val="20"/>
              </w:rPr>
              <w:t>Copleted</w:t>
            </w:r>
            <w:proofErr w:type="spellEnd"/>
          </w:p>
        </w:tc>
        <w:tc>
          <w:tcPr>
            <w:tcW w:w="2498" w:type="dxa"/>
            <w:shd w:val="clear" w:color="auto" w:fill="auto"/>
            <w:tcMar>
              <w:top w:w="15" w:type="dxa"/>
              <w:left w:w="15" w:type="dxa"/>
              <w:bottom w:w="0" w:type="dxa"/>
              <w:right w:w="15" w:type="dxa"/>
            </w:tcMar>
            <w:vAlign w:val="center"/>
            <w:hideMark/>
          </w:tcPr>
          <w:p w14:paraId="3D8F4384" w14:textId="77777777" w:rsidR="00097B3B" w:rsidRPr="00983219" w:rsidRDefault="00097B3B">
            <w:pPr>
              <w:rPr>
                <w:rFonts w:cstheme="minorHAnsi"/>
                <w:color w:val="000000"/>
                <w:sz w:val="20"/>
                <w:szCs w:val="20"/>
              </w:rPr>
            </w:pPr>
            <w:r w:rsidRPr="00983219">
              <w:rPr>
                <w:rFonts w:cstheme="minorHAnsi"/>
                <w:color w:val="000000"/>
                <w:sz w:val="20"/>
                <w:szCs w:val="20"/>
              </w:rPr>
              <w:t>Malignant Central Nervous System Neoplasm, Metastatic Malignant Neoplasm in the Central Nervous System</w:t>
            </w:r>
          </w:p>
        </w:tc>
        <w:tc>
          <w:tcPr>
            <w:tcW w:w="2264" w:type="dxa"/>
            <w:shd w:val="clear" w:color="auto" w:fill="auto"/>
            <w:tcMar>
              <w:top w:w="15" w:type="dxa"/>
              <w:left w:w="15" w:type="dxa"/>
              <w:bottom w:w="0" w:type="dxa"/>
              <w:right w:w="15" w:type="dxa"/>
            </w:tcMar>
            <w:vAlign w:val="center"/>
            <w:hideMark/>
          </w:tcPr>
          <w:p w14:paraId="3C1E0348" w14:textId="77777777" w:rsidR="00097B3B" w:rsidRPr="00983219" w:rsidRDefault="00097B3B">
            <w:pPr>
              <w:rPr>
                <w:rFonts w:cstheme="minorHAnsi"/>
                <w:color w:val="000000"/>
                <w:sz w:val="20"/>
                <w:szCs w:val="20"/>
              </w:rPr>
            </w:pPr>
            <w:r w:rsidRPr="00983219">
              <w:rPr>
                <w:rFonts w:cstheme="minorHAnsi"/>
                <w:color w:val="000000"/>
                <w:sz w:val="20"/>
                <w:szCs w:val="20"/>
              </w:rPr>
              <w:t>Stanford University School of Medicine, Palo Alto, California, United States</w:t>
            </w:r>
          </w:p>
        </w:tc>
        <w:tc>
          <w:tcPr>
            <w:tcW w:w="4417" w:type="dxa"/>
            <w:shd w:val="clear" w:color="auto" w:fill="auto"/>
            <w:tcMar>
              <w:top w:w="15" w:type="dxa"/>
              <w:left w:w="15" w:type="dxa"/>
              <w:bottom w:w="0" w:type="dxa"/>
              <w:right w:w="15" w:type="dxa"/>
            </w:tcMar>
            <w:vAlign w:val="center"/>
            <w:hideMark/>
          </w:tcPr>
          <w:p w14:paraId="6670C34F" w14:textId="77777777" w:rsidR="00097B3B" w:rsidRPr="00983219" w:rsidRDefault="00955B21">
            <w:pPr>
              <w:rPr>
                <w:rFonts w:cstheme="minorHAnsi"/>
                <w:color w:val="0563C1"/>
                <w:sz w:val="20"/>
                <w:szCs w:val="20"/>
                <w:u w:val="single"/>
              </w:rPr>
            </w:pPr>
            <w:hyperlink r:id="rId40" w:history="1">
              <w:r w:rsidR="00097B3B" w:rsidRPr="00983219">
                <w:rPr>
                  <w:rStyle w:val="Hyperlink"/>
                  <w:rFonts w:cstheme="minorHAnsi"/>
                  <w:sz w:val="20"/>
                  <w:szCs w:val="20"/>
                </w:rPr>
                <w:t>https://clinicaltrials.gov/ct2/show/NCT03565367</w:t>
              </w:r>
            </w:hyperlink>
          </w:p>
        </w:tc>
      </w:tr>
      <w:tr w:rsidR="00097B3B" w:rsidRPr="00983219" w14:paraId="6D302FC9" w14:textId="77777777" w:rsidTr="00202E51">
        <w:trPr>
          <w:cantSplit/>
          <w:trHeight w:val="20"/>
        </w:trPr>
        <w:tc>
          <w:tcPr>
            <w:tcW w:w="3524" w:type="dxa"/>
            <w:shd w:val="clear" w:color="auto" w:fill="auto"/>
            <w:tcMar>
              <w:top w:w="15" w:type="dxa"/>
              <w:left w:w="15" w:type="dxa"/>
              <w:bottom w:w="0" w:type="dxa"/>
              <w:right w:w="15" w:type="dxa"/>
            </w:tcMar>
            <w:vAlign w:val="center"/>
            <w:hideMark/>
          </w:tcPr>
          <w:p w14:paraId="4E2E8BF4" w14:textId="77777777" w:rsidR="00097B3B" w:rsidRPr="00983219" w:rsidRDefault="00097B3B">
            <w:pPr>
              <w:rPr>
                <w:rFonts w:cstheme="minorHAnsi"/>
                <w:color w:val="000000"/>
                <w:sz w:val="20"/>
                <w:szCs w:val="20"/>
              </w:rPr>
            </w:pPr>
            <w:r w:rsidRPr="00983219">
              <w:rPr>
                <w:rFonts w:cstheme="minorHAnsi"/>
                <w:color w:val="000000"/>
                <w:sz w:val="20"/>
                <w:szCs w:val="20"/>
              </w:rPr>
              <w:t>Metabolic Imaging of the Heart Using Hyperpolarized (13C) Pyruvate Injection</w:t>
            </w:r>
          </w:p>
        </w:tc>
        <w:tc>
          <w:tcPr>
            <w:tcW w:w="1241" w:type="dxa"/>
            <w:shd w:val="clear" w:color="auto" w:fill="auto"/>
            <w:tcMar>
              <w:top w:w="15" w:type="dxa"/>
              <w:left w:w="15" w:type="dxa"/>
              <w:bottom w:w="0" w:type="dxa"/>
              <w:right w:w="15" w:type="dxa"/>
            </w:tcMar>
            <w:vAlign w:val="center"/>
            <w:hideMark/>
          </w:tcPr>
          <w:p w14:paraId="6ABBE116" w14:textId="77777777" w:rsidR="00097B3B" w:rsidRPr="00983219" w:rsidRDefault="00097B3B">
            <w:pPr>
              <w:rPr>
                <w:rFonts w:cstheme="minorHAnsi"/>
                <w:color w:val="000000"/>
                <w:sz w:val="20"/>
                <w:szCs w:val="20"/>
              </w:rPr>
            </w:pPr>
            <w:r w:rsidRPr="00983219">
              <w:rPr>
                <w:rFonts w:cstheme="minorHAnsi"/>
                <w:color w:val="000000"/>
                <w:sz w:val="20"/>
                <w:szCs w:val="20"/>
              </w:rPr>
              <w:t>Recruiting</w:t>
            </w:r>
          </w:p>
        </w:tc>
        <w:tc>
          <w:tcPr>
            <w:tcW w:w="2498" w:type="dxa"/>
            <w:shd w:val="clear" w:color="auto" w:fill="auto"/>
            <w:tcMar>
              <w:top w:w="15" w:type="dxa"/>
              <w:left w:w="15" w:type="dxa"/>
              <w:bottom w:w="0" w:type="dxa"/>
              <w:right w:w="15" w:type="dxa"/>
            </w:tcMar>
            <w:vAlign w:val="center"/>
            <w:hideMark/>
          </w:tcPr>
          <w:p w14:paraId="44B6F3D7" w14:textId="77777777" w:rsidR="00097B3B" w:rsidRPr="00983219" w:rsidRDefault="00097B3B">
            <w:pPr>
              <w:rPr>
                <w:rFonts w:cstheme="minorHAnsi"/>
                <w:color w:val="000000"/>
                <w:sz w:val="20"/>
                <w:szCs w:val="20"/>
              </w:rPr>
            </w:pPr>
            <w:r w:rsidRPr="00983219">
              <w:rPr>
                <w:rFonts w:cstheme="minorHAnsi"/>
                <w:color w:val="000000"/>
                <w:sz w:val="20"/>
                <w:szCs w:val="20"/>
              </w:rPr>
              <w:t>Hypertension Hypertrophy</w:t>
            </w:r>
          </w:p>
        </w:tc>
        <w:tc>
          <w:tcPr>
            <w:tcW w:w="2264" w:type="dxa"/>
            <w:shd w:val="clear" w:color="auto" w:fill="auto"/>
            <w:tcMar>
              <w:top w:w="15" w:type="dxa"/>
              <w:left w:w="15" w:type="dxa"/>
              <w:bottom w:w="0" w:type="dxa"/>
              <w:right w:w="15" w:type="dxa"/>
            </w:tcMar>
            <w:vAlign w:val="center"/>
            <w:hideMark/>
          </w:tcPr>
          <w:p w14:paraId="39B559B2" w14:textId="77777777" w:rsidR="00097B3B" w:rsidRPr="00983219" w:rsidRDefault="00097B3B">
            <w:pPr>
              <w:rPr>
                <w:rFonts w:cstheme="minorHAnsi"/>
                <w:color w:val="000000"/>
                <w:sz w:val="20"/>
                <w:szCs w:val="20"/>
              </w:rPr>
            </w:pPr>
            <w:r w:rsidRPr="00983219">
              <w:rPr>
                <w:rFonts w:cstheme="minorHAnsi"/>
                <w:color w:val="000000"/>
                <w:sz w:val="20"/>
                <w:szCs w:val="20"/>
              </w:rPr>
              <w:t>Sunnybrook Health Sciences Centre, Toronto, Ontario, Canada</w:t>
            </w:r>
          </w:p>
        </w:tc>
        <w:tc>
          <w:tcPr>
            <w:tcW w:w="4417" w:type="dxa"/>
            <w:shd w:val="clear" w:color="auto" w:fill="auto"/>
            <w:tcMar>
              <w:top w:w="15" w:type="dxa"/>
              <w:left w:w="15" w:type="dxa"/>
              <w:bottom w:w="0" w:type="dxa"/>
              <w:right w:w="15" w:type="dxa"/>
            </w:tcMar>
            <w:vAlign w:val="center"/>
            <w:hideMark/>
          </w:tcPr>
          <w:p w14:paraId="7D3ECC4A" w14:textId="77777777" w:rsidR="00097B3B" w:rsidRPr="00983219" w:rsidRDefault="00955B21">
            <w:pPr>
              <w:rPr>
                <w:rFonts w:cstheme="minorHAnsi"/>
                <w:color w:val="0563C1"/>
                <w:sz w:val="20"/>
                <w:szCs w:val="20"/>
                <w:u w:val="single"/>
              </w:rPr>
            </w:pPr>
            <w:hyperlink r:id="rId41" w:history="1">
              <w:r w:rsidR="00097B3B" w:rsidRPr="00983219">
                <w:rPr>
                  <w:rStyle w:val="Hyperlink"/>
                  <w:rFonts w:cstheme="minorHAnsi"/>
                  <w:sz w:val="20"/>
                  <w:szCs w:val="20"/>
                </w:rPr>
                <w:t xml:space="preserve">https://ClinicalTrials.gov/show/NCT02648009 </w:t>
              </w:r>
            </w:hyperlink>
          </w:p>
        </w:tc>
      </w:tr>
      <w:tr w:rsidR="00097B3B" w:rsidRPr="00983219" w14:paraId="3C3A4927" w14:textId="77777777" w:rsidTr="00202E51">
        <w:trPr>
          <w:cantSplit/>
          <w:trHeight w:val="20"/>
        </w:trPr>
        <w:tc>
          <w:tcPr>
            <w:tcW w:w="3524" w:type="dxa"/>
            <w:shd w:val="clear" w:color="auto" w:fill="auto"/>
            <w:tcMar>
              <w:top w:w="15" w:type="dxa"/>
              <w:left w:w="15" w:type="dxa"/>
              <w:bottom w:w="0" w:type="dxa"/>
              <w:right w:w="15" w:type="dxa"/>
            </w:tcMar>
            <w:vAlign w:val="center"/>
            <w:hideMark/>
          </w:tcPr>
          <w:p w14:paraId="6CA62A6D" w14:textId="77777777" w:rsidR="00097B3B" w:rsidRPr="00983219" w:rsidRDefault="00097B3B">
            <w:pPr>
              <w:rPr>
                <w:rFonts w:cstheme="minorHAnsi"/>
                <w:color w:val="000000"/>
                <w:sz w:val="20"/>
                <w:szCs w:val="20"/>
              </w:rPr>
            </w:pPr>
            <w:r w:rsidRPr="00983219">
              <w:rPr>
                <w:rFonts w:cstheme="minorHAnsi"/>
                <w:color w:val="000000"/>
                <w:sz w:val="20"/>
                <w:szCs w:val="20"/>
              </w:rPr>
              <w:t>Multiparametric MRI for Prostate Cancer Localization and Characterization Using Hyperpolarized Pyruvate (13C) Injection</w:t>
            </w:r>
          </w:p>
        </w:tc>
        <w:tc>
          <w:tcPr>
            <w:tcW w:w="1241" w:type="dxa"/>
            <w:shd w:val="clear" w:color="auto" w:fill="auto"/>
            <w:tcMar>
              <w:top w:w="15" w:type="dxa"/>
              <w:left w:w="15" w:type="dxa"/>
              <w:bottom w:w="0" w:type="dxa"/>
              <w:right w:w="15" w:type="dxa"/>
            </w:tcMar>
            <w:vAlign w:val="center"/>
            <w:hideMark/>
          </w:tcPr>
          <w:p w14:paraId="3DB693E7" w14:textId="7A6EFA30" w:rsidR="00097B3B" w:rsidRPr="00983219" w:rsidRDefault="0087772C" w:rsidP="007F4304">
            <w:pPr>
              <w:rPr>
                <w:rFonts w:cstheme="minorHAnsi"/>
                <w:color w:val="000000"/>
                <w:sz w:val="20"/>
                <w:szCs w:val="20"/>
              </w:rPr>
            </w:pPr>
            <w:r w:rsidRPr="00983219">
              <w:rPr>
                <w:rFonts w:cstheme="minorHAnsi"/>
                <w:color w:val="000000"/>
                <w:sz w:val="20"/>
                <w:szCs w:val="20"/>
              </w:rPr>
              <w:t>Withdrawn</w:t>
            </w:r>
          </w:p>
        </w:tc>
        <w:tc>
          <w:tcPr>
            <w:tcW w:w="2498" w:type="dxa"/>
            <w:shd w:val="clear" w:color="auto" w:fill="auto"/>
            <w:tcMar>
              <w:top w:w="15" w:type="dxa"/>
              <w:left w:w="15" w:type="dxa"/>
              <w:bottom w:w="0" w:type="dxa"/>
              <w:right w:w="15" w:type="dxa"/>
            </w:tcMar>
            <w:vAlign w:val="center"/>
            <w:hideMark/>
          </w:tcPr>
          <w:p w14:paraId="2054EBF2" w14:textId="77777777" w:rsidR="00097B3B" w:rsidRPr="00983219" w:rsidRDefault="00097B3B">
            <w:pPr>
              <w:rPr>
                <w:rFonts w:cstheme="minorHAnsi"/>
                <w:color w:val="000000"/>
                <w:sz w:val="20"/>
                <w:szCs w:val="20"/>
              </w:rPr>
            </w:pPr>
            <w:r w:rsidRPr="00983219">
              <w:rPr>
                <w:rFonts w:cstheme="minorHAnsi"/>
                <w:color w:val="000000"/>
                <w:sz w:val="20"/>
                <w:szCs w:val="20"/>
              </w:rPr>
              <w:t>Prostatic Neoplasms</w:t>
            </w:r>
          </w:p>
        </w:tc>
        <w:tc>
          <w:tcPr>
            <w:tcW w:w="2264" w:type="dxa"/>
            <w:shd w:val="clear" w:color="auto" w:fill="auto"/>
            <w:tcMar>
              <w:top w:w="15" w:type="dxa"/>
              <w:left w:w="15" w:type="dxa"/>
              <w:bottom w:w="0" w:type="dxa"/>
              <w:right w:w="15" w:type="dxa"/>
            </w:tcMar>
            <w:vAlign w:val="center"/>
            <w:hideMark/>
          </w:tcPr>
          <w:p w14:paraId="74EC7362" w14:textId="77777777" w:rsidR="00097B3B" w:rsidRPr="00983219" w:rsidRDefault="00097B3B">
            <w:pPr>
              <w:rPr>
                <w:rFonts w:cstheme="minorHAnsi"/>
                <w:color w:val="000000"/>
                <w:sz w:val="20"/>
                <w:szCs w:val="20"/>
              </w:rPr>
            </w:pPr>
            <w:r w:rsidRPr="00983219">
              <w:rPr>
                <w:rFonts w:cstheme="minorHAnsi"/>
                <w:color w:val="000000"/>
                <w:sz w:val="20"/>
                <w:szCs w:val="20"/>
              </w:rPr>
              <w:t>Sunnybrook Health Sciences Centre, Toronto, Ontario, Canada</w:t>
            </w:r>
          </w:p>
        </w:tc>
        <w:tc>
          <w:tcPr>
            <w:tcW w:w="4417" w:type="dxa"/>
            <w:shd w:val="clear" w:color="auto" w:fill="auto"/>
            <w:tcMar>
              <w:top w:w="15" w:type="dxa"/>
              <w:left w:w="15" w:type="dxa"/>
              <w:bottom w:w="0" w:type="dxa"/>
              <w:right w:w="15" w:type="dxa"/>
            </w:tcMar>
            <w:vAlign w:val="center"/>
            <w:hideMark/>
          </w:tcPr>
          <w:p w14:paraId="2E1379F4" w14:textId="77777777" w:rsidR="00097B3B" w:rsidRPr="00983219" w:rsidRDefault="00955B21">
            <w:pPr>
              <w:rPr>
                <w:rFonts w:cstheme="minorHAnsi"/>
                <w:color w:val="0563C1"/>
                <w:sz w:val="20"/>
                <w:szCs w:val="20"/>
                <w:u w:val="single"/>
              </w:rPr>
            </w:pPr>
            <w:hyperlink r:id="rId42" w:history="1">
              <w:r w:rsidR="00097B3B" w:rsidRPr="00983219">
                <w:rPr>
                  <w:rStyle w:val="Hyperlink"/>
                  <w:rFonts w:cstheme="minorHAnsi"/>
                  <w:sz w:val="20"/>
                  <w:szCs w:val="20"/>
                </w:rPr>
                <w:t xml:space="preserve">https://ClinicalTrials.gov/show/NCT02647983 </w:t>
              </w:r>
            </w:hyperlink>
          </w:p>
        </w:tc>
      </w:tr>
      <w:tr w:rsidR="00097B3B" w:rsidRPr="00983219" w14:paraId="30667103" w14:textId="77777777" w:rsidTr="00202E51">
        <w:trPr>
          <w:cantSplit/>
          <w:trHeight w:val="20"/>
        </w:trPr>
        <w:tc>
          <w:tcPr>
            <w:tcW w:w="3524" w:type="dxa"/>
            <w:shd w:val="clear" w:color="auto" w:fill="auto"/>
            <w:tcMar>
              <w:top w:w="15" w:type="dxa"/>
              <w:left w:w="15" w:type="dxa"/>
              <w:bottom w:w="0" w:type="dxa"/>
              <w:right w:w="15" w:type="dxa"/>
            </w:tcMar>
            <w:vAlign w:val="center"/>
            <w:hideMark/>
          </w:tcPr>
          <w:p w14:paraId="231529E6" w14:textId="77777777" w:rsidR="00097B3B" w:rsidRPr="00983219" w:rsidRDefault="00097B3B">
            <w:pPr>
              <w:rPr>
                <w:rFonts w:cstheme="minorHAnsi"/>
                <w:color w:val="000000"/>
                <w:sz w:val="20"/>
                <w:szCs w:val="20"/>
              </w:rPr>
            </w:pPr>
            <w:r w:rsidRPr="00983219">
              <w:rPr>
                <w:rFonts w:cstheme="minorHAnsi"/>
                <w:color w:val="000000"/>
                <w:sz w:val="20"/>
                <w:szCs w:val="20"/>
              </w:rPr>
              <w:t>Study to Evaluate the Feasibility of 13-C Pyruvate Imaging in Breast Cancer Patients Receiving Neoadjuvant Chemotherapy</w:t>
            </w:r>
          </w:p>
        </w:tc>
        <w:tc>
          <w:tcPr>
            <w:tcW w:w="1241" w:type="dxa"/>
            <w:shd w:val="clear" w:color="auto" w:fill="auto"/>
            <w:tcMar>
              <w:top w:w="15" w:type="dxa"/>
              <w:left w:w="15" w:type="dxa"/>
              <w:bottom w:w="0" w:type="dxa"/>
              <w:right w:w="15" w:type="dxa"/>
            </w:tcMar>
            <w:vAlign w:val="center"/>
            <w:hideMark/>
          </w:tcPr>
          <w:p w14:paraId="20E41516" w14:textId="77777777" w:rsidR="00097B3B" w:rsidRDefault="0087772C">
            <w:pPr>
              <w:rPr>
                <w:rFonts w:cstheme="minorHAnsi"/>
                <w:color w:val="000000"/>
                <w:sz w:val="20"/>
                <w:szCs w:val="20"/>
              </w:rPr>
            </w:pPr>
            <w:r w:rsidRPr="00983219">
              <w:rPr>
                <w:rFonts w:cstheme="minorHAnsi"/>
                <w:color w:val="000000"/>
                <w:sz w:val="20"/>
                <w:szCs w:val="20"/>
              </w:rPr>
              <w:t>Withdrawn</w:t>
            </w:r>
          </w:p>
          <w:p w14:paraId="7DF51007" w14:textId="43A58F62" w:rsidR="006F17F3" w:rsidRPr="00983219" w:rsidRDefault="006F17F3">
            <w:pPr>
              <w:rPr>
                <w:rFonts w:cstheme="minorHAnsi"/>
                <w:color w:val="000000"/>
                <w:sz w:val="20"/>
                <w:szCs w:val="20"/>
              </w:rPr>
            </w:pPr>
            <w:r w:rsidRPr="006F17F3">
              <w:rPr>
                <w:rFonts w:cstheme="minorHAnsi"/>
                <w:color w:val="000000"/>
                <w:sz w:val="20"/>
                <w:szCs w:val="20"/>
              </w:rPr>
              <w:t>(Funding Completed)</w:t>
            </w:r>
          </w:p>
        </w:tc>
        <w:tc>
          <w:tcPr>
            <w:tcW w:w="2498" w:type="dxa"/>
            <w:shd w:val="clear" w:color="auto" w:fill="auto"/>
            <w:tcMar>
              <w:top w:w="15" w:type="dxa"/>
              <w:left w:w="15" w:type="dxa"/>
              <w:bottom w:w="0" w:type="dxa"/>
              <w:right w:w="15" w:type="dxa"/>
            </w:tcMar>
            <w:vAlign w:val="center"/>
            <w:hideMark/>
          </w:tcPr>
          <w:p w14:paraId="3D74D494" w14:textId="77777777" w:rsidR="00097B3B" w:rsidRPr="00983219" w:rsidRDefault="00097B3B">
            <w:pPr>
              <w:rPr>
                <w:rFonts w:cstheme="minorHAnsi"/>
                <w:color w:val="000000"/>
                <w:sz w:val="20"/>
                <w:szCs w:val="20"/>
              </w:rPr>
            </w:pPr>
            <w:r w:rsidRPr="00983219">
              <w:rPr>
                <w:rFonts w:cstheme="minorHAnsi"/>
                <w:color w:val="000000"/>
                <w:sz w:val="20"/>
                <w:szCs w:val="20"/>
              </w:rPr>
              <w:t>Breast Cancer</w:t>
            </w:r>
          </w:p>
        </w:tc>
        <w:tc>
          <w:tcPr>
            <w:tcW w:w="2264" w:type="dxa"/>
            <w:shd w:val="clear" w:color="auto" w:fill="auto"/>
            <w:tcMar>
              <w:top w:w="15" w:type="dxa"/>
              <w:left w:w="15" w:type="dxa"/>
              <w:bottom w:w="0" w:type="dxa"/>
              <w:right w:w="15" w:type="dxa"/>
            </w:tcMar>
            <w:vAlign w:val="center"/>
            <w:hideMark/>
          </w:tcPr>
          <w:p w14:paraId="460C0B4E" w14:textId="77777777" w:rsidR="00097B3B" w:rsidRPr="00983219" w:rsidRDefault="00097B3B">
            <w:pPr>
              <w:rPr>
                <w:rFonts w:cstheme="minorHAnsi"/>
                <w:color w:val="000000"/>
                <w:sz w:val="20"/>
                <w:szCs w:val="20"/>
              </w:rPr>
            </w:pPr>
            <w:r w:rsidRPr="00983219">
              <w:rPr>
                <w:rFonts w:cstheme="minorHAnsi"/>
                <w:color w:val="000000"/>
                <w:sz w:val="20"/>
                <w:szCs w:val="20"/>
              </w:rPr>
              <w:t>Sunnybrook Health Sciences Centre, Toronto, Ontario, Canada</w:t>
            </w:r>
          </w:p>
        </w:tc>
        <w:tc>
          <w:tcPr>
            <w:tcW w:w="4417" w:type="dxa"/>
            <w:shd w:val="clear" w:color="auto" w:fill="auto"/>
            <w:tcMar>
              <w:top w:w="15" w:type="dxa"/>
              <w:left w:w="15" w:type="dxa"/>
              <w:bottom w:w="0" w:type="dxa"/>
              <w:right w:w="15" w:type="dxa"/>
            </w:tcMar>
            <w:vAlign w:val="center"/>
            <w:hideMark/>
          </w:tcPr>
          <w:p w14:paraId="571A8B7F" w14:textId="77777777" w:rsidR="00097B3B" w:rsidRPr="00983219" w:rsidRDefault="00955B21">
            <w:pPr>
              <w:rPr>
                <w:rFonts w:cstheme="minorHAnsi"/>
                <w:color w:val="0563C1"/>
                <w:sz w:val="20"/>
                <w:szCs w:val="20"/>
                <w:u w:val="single"/>
              </w:rPr>
            </w:pPr>
            <w:hyperlink r:id="rId43" w:history="1">
              <w:r w:rsidR="00097B3B" w:rsidRPr="00983219">
                <w:rPr>
                  <w:rStyle w:val="Hyperlink"/>
                  <w:rFonts w:cstheme="minorHAnsi"/>
                  <w:sz w:val="20"/>
                  <w:szCs w:val="20"/>
                </w:rPr>
                <w:t xml:space="preserve">https://ClinicalTrials.gov/show/NCT03121989 </w:t>
              </w:r>
            </w:hyperlink>
          </w:p>
        </w:tc>
      </w:tr>
      <w:tr w:rsidR="00097B3B" w:rsidRPr="00983219" w14:paraId="11D841B7" w14:textId="77777777" w:rsidTr="00202E51">
        <w:trPr>
          <w:cantSplit/>
          <w:trHeight w:val="20"/>
        </w:trPr>
        <w:tc>
          <w:tcPr>
            <w:tcW w:w="3524" w:type="dxa"/>
            <w:shd w:val="clear" w:color="auto" w:fill="auto"/>
            <w:tcMar>
              <w:top w:w="15" w:type="dxa"/>
              <w:left w:w="15" w:type="dxa"/>
              <w:bottom w:w="0" w:type="dxa"/>
              <w:right w:w="15" w:type="dxa"/>
            </w:tcMar>
            <w:vAlign w:val="center"/>
            <w:hideMark/>
          </w:tcPr>
          <w:p w14:paraId="650A4CD1" w14:textId="06B8D2CA" w:rsidR="00097B3B" w:rsidRPr="00983219" w:rsidRDefault="00097B3B">
            <w:pPr>
              <w:rPr>
                <w:rFonts w:cstheme="minorHAnsi"/>
                <w:color w:val="000000"/>
                <w:sz w:val="20"/>
                <w:szCs w:val="20"/>
              </w:rPr>
            </w:pPr>
            <w:r w:rsidRPr="00983219">
              <w:rPr>
                <w:rFonts w:cstheme="minorHAnsi"/>
                <w:color w:val="000000"/>
                <w:sz w:val="20"/>
                <w:szCs w:val="20"/>
              </w:rPr>
              <w:t xml:space="preserve">Role of Hyperpolarized 13C-Pyruvate MR Spectroscopy in Patients </w:t>
            </w:r>
            <w:r w:rsidR="007F4304" w:rsidRPr="00983219">
              <w:rPr>
                <w:rFonts w:cstheme="minorHAnsi"/>
                <w:color w:val="000000"/>
                <w:sz w:val="20"/>
                <w:szCs w:val="20"/>
              </w:rPr>
              <w:t>with</w:t>
            </w:r>
            <w:r w:rsidRPr="00983219">
              <w:rPr>
                <w:rFonts w:cstheme="minorHAnsi"/>
                <w:color w:val="000000"/>
                <w:sz w:val="20"/>
                <w:szCs w:val="20"/>
              </w:rPr>
              <w:t xml:space="preserve"> Intracranial Metastasis Treated With (SRS)</w:t>
            </w:r>
          </w:p>
        </w:tc>
        <w:tc>
          <w:tcPr>
            <w:tcW w:w="1241" w:type="dxa"/>
            <w:shd w:val="clear" w:color="auto" w:fill="auto"/>
            <w:tcMar>
              <w:top w:w="15" w:type="dxa"/>
              <w:left w:w="15" w:type="dxa"/>
              <w:bottom w:w="0" w:type="dxa"/>
              <w:right w:w="15" w:type="dxa"/>
            </w:tcMar>
            <w:vAlign w:val="center"/>
            <w:hideMark/>
          </w:tcPr>
          <w:p w14:paraId="5731C7C4" w14:textId="77777777" w:rsidR="00097B3B" w:rsidRPr="00983219" w:rsidRDefault="00097B3B">
            <w:pPr>
              <w:rPr>
                <w:rFonts w:cstheme="minorHAnsi"/>
                <w:color w:val="000000"/>
                <w:sz w:val="20"/>
                <w:szCs w:val="20"/>
              </w:rPr>
            </w:pPr>
            <w:r w:rsidRPr="00983219">
              <w:rPr>
                <w:rFonts w:cstheme="minorHAnsi"/>
                <w:color w:val="000000"/>
                <w:sz w:val="20"/>
                <w:szCs w:val="20"/>
              </w:rPr>
              <w:t>Recruiting</w:t>
            </w:r>
          </w:p>
        </w:tc>
        <w:tc>
          <w:tcPr>
            <w:tcW w:w="2498" w:type="dxa"/>
            <w:shd w:val="clear" w:color="auto" w:fill="auto"/>
            <w:tcMar>
              <w:top w:w="15" w:type="dxa"/>
              <w:left w:w="15" w:type="dxa"/>
              <w:bottom w:w="0" w:type="dxa"/>
              <w:right w:w="15" w:type="dxa"/>
            </w:tcMar>
            <w:vAlign w:val="center"/>
            <w:hideMark/>
          </w:tcPr>
          <w:p w14:paraId="2BC97BE0" w14:textId="77777777" w:rsidR="00097B3B" w:rsidRPr="00983219" w:rsidRDefault="00097B3B">
            <w:pPr>
              <w:rPr>
                <w:rFonts w:cstheme="minorHAnsi"/>
                <w:color w:val="000000"/>
                <w:sz w:val="20"/>
                <w:szCs w:val="20"/>
              </w:rPr>
            </w:pPr>
            <w:r w:rsidRPr="00983219">
              <w:rPr>
                <w:rFonts w:cstheme="minorHAnsi"/>
                <w:color w:val="000000"/>
                <w:sz w:val="20"/>
                <w:szCs w:val="20"/>
              </w:rPr>
              <w:t>Brain Metastases</w:t>
            </w:r>
          </w:p>
        </w:tc>
        <w:tc>
          <w:tcPr>
            <w:tcW w:w="2264" w:type="dxa"/>
            <w:shd w:val="clear" w:color="auto" w:fill="auto"/>
            <w:tcMar>
              <w:top w:w="15" w:type="dxa"/>
              <w:left w:w="15" w:type="dxa"/>
              <w:bottom w:w="0" w:type="dxa"/>
              <w:right w:w="15" w:type="dxa"/>
            </w:tcMar>
            <w:vAlign w:val="center"/>
            <w:hideMark/>
          </w:tcPr>
          <w:p w14:paraId="6BA219C3" w14:textId="77777777" w:rsidR="00097B3B" w:rsidRPr="00983219" w:rsidRDefault="00097B3B">
            <w:pPr>
              <w:rPr>
                <w:rFonts w:cstheme="minorHAnsi"/>
                <w:color w:val="000000"/>
                <w:sz w:val="20"/>
                <w:szCs w:val="20"/>
              </w:rPr>
            </w:pPr>
            <w:r w:rsidRPr="00983219">
              <w:rPr>
                <w:rFonts w:cstheme="minorHAnsi"/>
                <w:color w:val="000000"/>
                <w:sz w:val="20"/>
                <w:szCs w:val="20"/>
              </w:rPr>
              <w:t>Sunnybrook Health Sciences Centre, Toronto, Ontario, Canada</w:t>
            </w:r>
          </w:p>
        </w:tc>
        <w:tc>
          <w:tcPr>
            <w:tcW w:w="4417" w:type="dxa"/>
            <w:shd w:val="clear" w:color="auto" w:fill="auto"/>
            <w:tcMar>
              <w:top w:w="15" w:type="dxa"/>
              <w:left w:w="15" w:type="dxa"/>
              <w:bottom w:w="0" w:type="dxa"/>
              <w:right w:w="15" w:type="dxa"/>
            </w:tcMar>
            <w:vAlign w:val="center"/>
            <w:hideMark/>
          </w:tcPr>
          <w:p w14:paraId="44C3426E" w14:textId="77777777" w:rsidR="00097B3B" w:rsidRPr="00983219" w:rsidRDefault="00955B21">
            <w:pPr>
              <w:rPr>
                <w:rFonts w:cstheme="minorHAnsi"/>
                <w:color w:val="0563C1"/>
                <w:sz w:val="20"/>
                <w:szCs w:val="20"/>
                <w:u w:val="single"/>
              </w:rPr>
            </w:pPr>
            <w:hyperlink r:id="rId44" w:history="1">
              <w:r w:rsidR="00097B3B" w:rsidRPr="00983219">
                <w:rPr>
                  <w:rStyle w:val="Hyperlink"/>
                  <w:rFonts w:cstheme="minorHAnsi"/>
                  <w:sz w:val="20"/>
                  <w:szCs w:val="20"/>
                </w:rPr>
                <w:t xml:space="preserve">https://ClinicalTrials.gov/show/NCT03324360 </w:t>
              </w:r>
            </w:hyperlink>
          </w:p>
        </w:tc>
      </w:tr>
      <w:tr w:rsidR="00097B3B" w:rsidRPr="00983219" w14:paraId="190D4661" w14:textId="77777777" w:rsidTr="00202E51">
        <w:trPr>
          <w:cantSplit/>
          <w:trHeight w:val="20"/>
        </w:trPr>
        <w:tc>
          <w:tcPr>
            <w:tcW w:w="3524" w:type="dxa"/>
            <w:shd w:val="clear" w:color="auto" w:fill="auto"/>
            <w:tcMar>
              <w:top w:w="15" w:type="dxa"/>
              <w:left w:w="15" w:type="dxa"/>
              <w:bottom w:w="0" w:type="dxa"/>
              <w:right w:w="15" w:type="dxa"/>
            </w:tcMar>
            <w:vAlign w:val="center"/>
            <w:hideMark/>
          </w:tcPr>
          <w:p w14:paraId="305DD576" w14:textId="77777777" w:rsidR="00097B3B" w:rsidRPr="00983219" w:rsidRDefault="00097B3B">
            <w:pPr>
              <w:rPr>
                <w:rFonts w:cstheme="minorHAnsi"/>
                <w:color w:val="000000"/>
                <w:sz w:val="20"/>
                <w:szCs w:val="20"/>
              </w:rPr>
            </w:pPr>
            <w:r w:rsidRPr="00983219">
              <w:rPr>
                <w:rFonts w:cstheme="minorHAnsi"/>
                <w:color w:val="000000"/>
                <w:sz w:val="20"/>
                <w:szCs w:val="20"/>
              </w:rPr>
              <w:t>Hyperpolarized Carbon-13 Imaging of Metastatic Prostate Cancer</w:t>
            </w:r>
          </w:p>
        </w:tc>
        <w:tc>
          <w:tcPr>
            <w:tcW w:w="1241" w:type="dxa"/>
            <w:shd w:val="clear" w:color="auto" w:fill="auto"/>
            <w:tcMar>
              <w:top w:w="15" w:type="dxa"/>
              <w:left w:w="15" w:type="dxa"/>
              <w:bottom w:w="0" w:type="dxa"/>
              <w:right w:w="15" w:type="dxa"/>
            </w:tcMar>
            <w:vAlign w:val="center"/>
            <w:hideMark/>
          </w:tcPr>
          <w:p w14:paraId="1AD2CA64" w14:textId="0502AD16" w:rsidR="00097B3B" w:rsidRPr="00983219" w:rsidRDefault="0087772C">
            <w:pPr>
              <w:rPr>
                <w:rFonts w:cstheme="minorHAnsi"/>
                <w:color w:val="000000"/>
                <w:sz w:val="20"/>
                <w:szCs w:val="20"/>
              </w:rPr>
            </w:pPr>
            <w:r w:rsidRPr="00983219">
              <w:rPr>
                <w:rFonts w:cstheme="minorHAnsi"/>
                <w:color w:val="000000"/>
                <w:sz w:val="20"/>
                <w:szCs w:val="20"/>
              </w:rPr>
              <w:t>Terminated</w:t>
            </w:r>
          </w:p>
        </w:tc>
        <w:tc>
          <w:tcPr>
            <w:tcW w:w="2498" w:type="dxa"/>
            <w:shd w:val="clear" w:color="auto" w:fill="auto"/>
            <w:tcMar>
              <w:top w:w="15" w:type="dxa"/>
              <w:left w:w="15" w:type="dxa"/>
              <w:bottom w:w="0" w:type="dxa"/>
              <w:right w:w="15" w:type="dxa"/>
            </w:tcMar>
            <w:vAlign w:val="center"/>
            <w:hideMark/>
          </w:tcPr>
          <w:p w14:paraId="23AB0C7C" w14:textId="77777777" w:rsidR="00097B3B" w:rsidRPr="00983219" w:rsidRDefault="00097B3B">
            <w:pPr>
              <w:rPr>
                <w:rFonts w:cstheme="minorHAnsi"/>
                <w:color w:val="000000"/>
                <w:sz w:val="20"/>
                <w:szCs w:val="20"/>
              </w:rPr>
            </w:pPr>
            <w:r w:rsidRPr="00983219">
              <w:rPr>
                <w:rFonts w:cstheme="minorHAnsi"/>
                <w:color w:val="000000"/>
                <w:sz w:val="20"/>
                <w:szCs w:val="20"/>
              </w:rPr>
              <w:t>Prostate Cancer</w:t>
            </w:r>
          </w:p>
        </w:tc>
        <w:tc>
          <w:tcPr>
            <w:tcW w:w="2264" w:type="dxa"/>
            <w:shd w:val="clear" w:color="auto" w:fill="auto"/>
            <w:tcMar>
              <w:top w:w="15" w:type="dxa"/>
              <w:left w:w="15" w:type="dxa"/>
              <w:bottom w:w="0" w:type="dxa"/>
              <w:right w:w="15" w:type="dxa"/>
            </w:tcMar>
            <w:vAlign w:val="center"/>
            <w:hideMark/>
          </w:tcPr>
          <w:p w14:paraId="740AC6B0" w14:textId="77777777" w:rsidR="00097B3B" w:rsidRPr="00983219" w:rsidRDefault="00097B3B">
            <w:pPr>
              <w:rPr>
                <w:rFonts w:cstheme="minorHAnsi"/>
                <w:color w:val="000000"/>
                <w:sz w:val="20"/>
                <w:szCs w:val="20"/>
              </w:rPr>
            </w:pPr>
            <w:r w:rsidRPr="00983219">
              <w:rPr>
                <w:rFonts w:cstheme="minorHAnsi"/>
                <w:color w:val="000000"/>
                <w:sz w:val="20"/>
                <w:szCs w:val="20"/>
              </w:rPr>
              <w:t>Sunnybrook Health Sciences Centre, Toronto, Ontario, Canada</w:t>
            </w:r>
          </w:p>
        </w:tc>
        <w:tc>
          <w:tcPr>
            <w:tcW w:w="4417" w:type="dxa"/>
            <w:shd w:val="clear" w:color="auto" w:fill="auto"/>
            <w:tcMar>
              <w:top w:w="15" w:type="dxa"/>
              <w:left w:w="15" w:type="dxa"/>
              <w:bottom w:w="0" w:type="dxa"/>
              <w:right w:w="15" w:type="dxa"/>
            </w:tcMar>
            <w:vAlign w:val="center"/>
            <w:hideMark/>
          </w:tcPr>
          <w:p w14:paraId="5C753F61" w14:textId="77777777" w:rsidR="00097B3B" w:rsidRPr="00983219" w:rsidRDefault="00955B21">
            <w:pPr>
              <w:rPr>
                <w:rFonts w:cstheme="minorHAnsi"/>
                <w:color w:val="0563C1"/>
                <w:sz w:val="20"/>
                <w:szCs w:val="20"/>
                <w:u w:val="single"/>
              </w:rPr>
            </w:pPr>
            <w:hyperlink r:id="rId45" w:history="1">
              <w:r w:rsidR="00097B3B" w:rsidRPr="00983219">
                <w:rPr>
                  <w:rStyle w:val="Hyperlink"/>
                  <w:rFonts w:cstheme="minorHAnsi"/>
                  <w:sz w:val="20"/>
                  <w:szCs w:val="20"/>
                </w:rPr>
                <w:t xml:space="preserve">https://ClinicalTrials.gov/show/NCT02844647 </w:t>
              </w:r>
            </w:hyperlink>
          </w:p>
        </w:tc>
      </w:tr>
      <w:tr w:rsidR="00097B3B" w:rsidRPr="00983219" w14:paraId="2BC900B0" w14:textId="77777777" w:rsidTr="00202E51">
        <w:trPr>
          <w:cantSplit/>
          <w:trHeight w:val="20"/>
        </w:trPr>
        <w:tc>
          <w:tcPr>
            <w:tcW w:w="3524" w:type="dxa"/>
            <w:shd w:val="clear" w:color="auto" w:fill="auto"/>
            <w:tcMar>
              <w:top w:w="15" w:type="dxa"/>
              <w:left w:w="15" w:type="dxa"/>
              <w:bottom w:w="0" w:type="dxa"/>
              <w:right w:w="15" w:type="dxa"/>
            </w:tcMar>
            <w:vAlign w:val="center"/>
            <w:hideMark/>
          </w:tcPr>
          <w:p w14:paraId="2D51BE6C" w14:textId="7B7B38AA" w:rsidR="00097B3B" w:rsidRPr="00983219" w:rsidRDefault="00097B3B">
            <w:pPr>
              <w:rPr>
                <w:rFonts w:cstheme="minorHAnsi"/>
                <w:color w:val="000000"/>
                <w:sz w:val="20"/>
                <w:szCs w:val="20"/>
              </w:rPr>
            </w:pPr>
            <w:r w:rsidRPr="00983219">
              <w:rPr>
                <w:rFonts w:cstheme="minorHAnsi"/>
                <w:color w:val="000000"/>
                <w:sz w:val="20"/>
                <w:szCs w:val="20"/>
              </w:rPr>
              <w:t xml:space="preserve">Hyperpolarized 13C MR Imaging of Lactate in Patients </w:t>
            </w:r>
            <w:r w:rsidR="005A7740" w:rsidRPr="00983219">
              <w:rPr>
                <w:rFonts w:cstheme="minorHAnsi"/>
                <w:color w:val="000000"/>
                <w:sz w:val="20"/>
                <w:szCs w:val="20"/>
              </w:rPr>
              <w:t>with</w:t>
            </w:r>
            <w:r w:rsidRPr="00983219">
              <w:rPr>
                <w:rFonts w:cstheme="minorHAnsi"/>
                <w:color w:val="000000"/>
                <w:sz w:val="20"/>
                <w:szCs w:val="20"/>
              </w:rPr>
              <w:t xml:space="preserve"> Locally Advanced Cervical Cancer (LACC) Cervical Cancer</w:t>
            </w:r>
          </w:p>
        </w:tc>
        <w:tc>
          <w:tcPr>
            <w:tcW w:w="1241" w:type="dxa"/>
            <w:shd w:val="clear" w:color="auto" w:fill="auto"/>
            <w:tcMar>
              <w:top w:w="15" w:type="dxa"/>
              <w:left w:w="15" w:type="dxa"/>
              <w:bottom w:w="0" w:type="dxa"/>
              <w:right w:w="15" w:type="dxa"/>
            </w:tcMar>
            <w:vAlign w:val="center"/>
            <w:hideMark/>
          </w:tcPr>
          <w:p w14:paraId="3402FE24" w14:textId="52B6E07C" w:rsidR="00097B3B" w:rsidRPr="00983219" w:rsidRDefault="0087772C">
            <w:pPr>
              <w:rPr>
                <w:rFonts w:cstheme="minorHAnsi"/>
                <w:color w:val="000000"/>
                <w:sz w:val="20"/>
                <w:szCs w:val="20"/>
              </w:rPr>
            </w:pPr>
            <w:r w:rsidRPr="00983219">
              <w:rPr>
                <w:rFonts w:cstheme="minorHAnsi"/>
                <w:color w:val="000000"/>
                <w:sz w:val="20"/>
                <w:szCs w:val="20"/>
              </w:rPr>
              <w:t>Terminated</w:t>
            </w:r>
          </w:p>
        </w:tc>
        <w:tc>
          <w:tcPr>
            <w:tcW w:w="2498" w:type="dxa"/>
            <w:shd w:val="clear" w:color="auto" w:fill="auto"/>
            <w:tcMar>
              <w:top w:w="15" w:type="dxa"/>
              <w:left w:w="15" w:type="dxa"/>
              <w:bottom w:w="0" w:type="dxa"/>
              <w:right w:w="15" w:type="dxa"/>
            </w:tcMar>
            <w:vAlign w:val="center"/>
            <w:hideMark/>
          </w:tcPr>
          <w:p w14:paraId="71DC7ACD" w14:textId="77777777" w:rsidR="00097B3B" w:rsidRPr="00983219" w:rsidRDefault="00097B3B">
            <w:pPr>
              <w:rPr>
                <w:rFonts w:cstheme="minorHAnsi"/>
                <w:color w:val="000000"/>
                <w:sz w:val="20"/>
                <w:szCs w:val="20"/>
              </w:rPr>
            </w:pPr>
            <w:r w:rsidRPr="00983219">
              <w:rPr>
                <w:rFonts w:cstheme="minorHAnsi"/>
                <w:color w:val="000000"/>
                <w:sz w:val="20"/>
                <w:szCs w:val="20"/>
              </w:rPr>
              <w:t>Uterine Cervical Neoplasms</w:t>
            </w:r>
          </w:p>
        </w:tc>
        <w:tc>
          <w:tcPr>
            <w:tcW w:w="2264" w:type="dxa"/>
            <w:shd w:val="clear" w:color="auto" w:fill="auto"/>
            <w:tcMar>
              <w:top w:w="15" w:type="dxa"/>
              <w:left w:w="15" w:type="dxa"/>
              <w:bottom w:w="0" w:type="dxa"/>
              <w:right w:w="15" w:type="dxa"/>
            </w:tcMar>
            <w:vAlign w:val="center"/>
            <w:hideMark/>
          </w:tcPr>
          <w:p w14:paraId="325FEE81" w14:textId="77777777" w:rsidR="00097B3B" w:rsidRPr="00983219" w:rsidRDefault="00097B3B">
            <w:pPr>
              <w:rPr>
                <w:rFonts w:cstheme="minorHAnsi"/>
                <w:color w:val="000000"/>
                <w:sz w:val="20"/>
                <w:szCs w:val="20"/>
              </w:rPr>
            </w:pPr>
            <w:r w:rsidRPr="00983219">
              <w:rPr>
                <w:rFonts w:cstheme="minorHAnsi"/>
                <w:color w:val="000000"/>
                <w:sz w:val="20"/>
                <w:szCs w:val="20"/>
              </w:rPr>
              <w:t>Sunnybrook Health Sciences Centre, Toronto, Ontario, Canada</w:t>
            </w:r>
          </w:p>
        </w:tc>
        <w:tc>
          <w:tcPr>
            <w:tcW w:w="4417" w:type="dxa"/>
            <w:shd w:val="clear" w:color="auto" w:fill="auto"/>
            <w:tcMar>
              <w:top w:w="15" w:type="dxa"/>
              <w:left w:w="15" w:type="dxa"/>
              <w:bottom w:w="0" w:type="dxa"/>
              <w:right w:w="15" w:type="dxa"/>
            </w:tcMar>
            <w:vAlign w:val="center"/>
            <w:hideMark/>
          </w:tcPr>
          <w:p w14:paraId="254D9139" w14:textId="77777777" w:rsidR="00097B3B" w:rsidRPr="00983219" w:rsidRDefault="00955B21">
            <w:pPr>
              <w:rPr>
                <w:rFonts w:cstheme="minorHAnsi"/>
                <w:color w:val="0563C1"/>
                <w:sz w:val="20"/>
                <w:szCs w:val="20"/>
                <w:u w:val="single"/>
              </w:rPr>
            </w:pPr>
            <w:hyperlink r:id="rId46" w:history="1">
              <w:r w:rsidR="00097B3B" w:rsidRPr="00983219">
                <w:rPr>
                  <w:rStyle w:val="Hyperlink"/>
                  <w:rFonts w:cstheme="minorHAnsi"/>
                  <w:sz w:val="20"/>
                  <w:szCs w:val="20"/>
                </w:rPr>
                <w:t xml:space="preserve">https://ClinicalTrials.gov/show/NCT03129776 </w:t>
              </w:r>
            </w:hyperlink>
          </w:p>
        </w:tc>
      </w:tr>
      <w:tr w:rsidR="00097B3B" w:rsidRPr="00983219" w14:paraId="51369C2A" w14:textId="77777777" w:rsidTr="00202E51">
        <w:trPr>
          <w:cantSplit/>
          <w:trHeight w:val="20"/>
        </w:trPr>
        <w:tc>
          <w:tcPr>
            <w:tcW w:w="3524" w:type="dxa"/>
            <w:shd w:val="clear" w:color="auto" w:fill="auto"/>
            <w:tcMar>
              <w:top w:w="15" w:type="dxa"/>
              <w:left w:w="15" w:type="dxa"/>
              <w:bottom w:w="0" w:type="dxa"/>
              <w:right w:w="15" w:type="dxa"/>
            </w:tcMar>
            <w:vAlign w:val="center"/>
            <w:hideMark/>
          </w:tcPr>
          <w:p w14:paraId="592C36A1" w14:textId="4139D52F" w:rsidR="00097B3B" w:rsidRPr="00983219" w:rsidRDefault="005A7740">
            <w:pPr>
              <w:rPr>
                <w:rFonts w:cstheme="minorHAnsi"/>
                <w:color w:val="000000"/>
                <w:sz w:val="20"/>
                <w:szCs w:val="20"/>
              </w:rPr>
            </w:pPr>
            <w:r w:rsidRPr="00983219">
              <w:rPr>
                <w:rFonts w:cstheme="minorHAnsi"/>
                <w:color w:val="000000"/>
                <w:sz w:val="20"/>
                <w:szCs w:val="20"/>
              </w:rPr>
              <w:t>Hyperpolarized</w:t>
            </w:r>
            <w:r w:rsidR="00097B3B" w:rsidRPr="00983219">
              <w:rPr>
                <w:rFonts w:cstheme="minorHAnsi"/>
                <w:color w:val="1A3D85"/>
                <w:sz w:val="20"/>
                <w:szCs w:val="20"/>
              </w:rPr>
              <w:t> </w:t>
            </w:r>
            <w:r w:rsidR="00097B3B" w:rsidRPr="00983219">
              <w:rPr>
                <w:rFonts w:cstheme="minorHAnsi"/>
                <w:color w:val="000000"/>
                <w:sz w:val="20"/>
                <w:szCs w:val="20"/>
              </w:rPr>
              <w:t>13C</w:t>
            </w:r>
            <w:r w:rsidR="00097B3B" w:rsidRPr="00983219">
              <w:rPr>
                <w:rFonts w:cstheme="minorHAnsi"/>
                <w:color w:val="1A3D85"/>
                <w:sz w:val="20"/>
                <w:szCs w:val="20"/>
              </w:rPr>
              <w:t>-</w:t>
            </w:r>
            <w:r w:rsidR="00097B3B" w:rsidRPr="00983219">
              <w:rPr>
                <w:rFonts w:cstheme="minorHAnsi"/>
                <w:color w:val="000000"/>
                <w:sz w:val="20"/>
                <w:szCs w:val="20"/>
              </w:rPr>
              <w:t>Pyruvate MRI Study</w:t>
            </w:r>
          </w:p>
        </w:tc>
        <w:tc>
          <w:tcPr>
            <w:tcW w:w="1241" w:type="dxa"/>
            <w:shd w:val="clear" w:color="auto" w:fill="auto"/>
            <w:tcMar>
              <w:top w:w="15" w:type="dxa"/>
              <w:left w:w="15" w:type="dxa"/>
              <w:bottom w:w="0" w:type="dxa"/>
              <w:right w:w="15" w:type="dxa"/>
            </w:tcMar>
            <w:vAlign w:val="center"/>
            <w:hideMark/>
          </w:tcPr>
          <w:p w14:paraId="10389E66" w14:textId="4CCED76D" w:rsidR="00097B3B" w:rsidRPr="00983219" w:rsidRDefault="0087772C">
            <w:pPr>
              <w:rPr>
                <w:rFonts w:cstheme="minorHAnsi"/>
                <w:color w:val="000000"/>
                <w:sz w:val="20"/>
                <w:szCs w:val="20"/>
              </w:rPr>
            </w:pPr>
            <w:r w:rsidRPr="00983219">
              <w:rPr>
                <w:rFonts w:cstheme="minorHAnsi"/>
                <w:color w:val="000000"/>
                <w:sz w:val="20"/>
                <w:szCs w:val="20"/>
              </w:rPr>
              <w:t>Unknown</w:t>
            </w:r>
          </w:p>
        </w:tc>
        <w:tc>
          <w:tcPr>
            <w:tcW w:w="2498" w:type="dxa"/>
            <w:shd w:val="clear" w:color="auto" w:fill="auto"/>
            <w:tcMar>
              <w:top w:w="15" w:type="dxa"/>
              <w:left w:w="15" w:type="dxa"/>
              <w:bottom w:w="0" w:type="dxa"/>
              <w:right w:w="15" w:type="dxa"/>
            </w:tcMar>
            <w:vAlign w:val="center"/>
            <w:hideMark/>
          </w:tcPr>
          <w:p w14:paraId="672175B6" w14:textId="77777777" w:rsidR="00097B3B" w:rsidRPr="00983219" w:rsidRDefault="00097B3B">
            <w:pPr>
              <w:rPr>
                <w:rFonts w:cstheme="minorHAnsi"/>
                <w:color w:val="000000"/>
                <w:sz w:val="20"/>
                <w:szCs w:val="20"/>
              </w:rPr>
            </w:pPr>
            <w:r w:rsidRPr="00983219">
              <w:rPr>
                <w:rFonts w:cstheme="minorHAnsi"/>
                <w:color w:val="000000"/>
                <w:sz w:val="20"/>
                <w:szCs w:val="20"/>
              </w:rPr>
              <w:t>Cancer, Cardiovascular Diseases</w:t>
            </w:r>
          </w:p>
        </w:tc>
        <w:tc>
          <w:tcPr>
            <w:tcW w:w="2264" w:type="dxa"/>
            <w:shd w:val="clear" w:color="auto" w:fill="auto"/>
            <w:tcMar>
              <w:top w:w="15" w:type="dxa"/>
              <w:left w:w="15" w:type="dxa"/>
              <w:bottom w:w="0" w:type="dxa"/>
              <w:right w:w="15" w:type="dxa"/>
            </w:tcMar>
            <w:vAlign w:val="center"/>
            <w:hideMark/>
          </w:tcPr>
          <w:p w14:paraId="09ADABF9" w14:textId="77777777" w:rsidR="00097B3B" w:rsidRPr="00983219" w:rsidRDefault="00097B3B">
            <w:pPr>
              <w:rPr>
                <w:rFonts w:cstheme="minorHAnsi"/>
                <w:color w:val="000000"/>
                <w:sz w:val="20"/>
                <w:szCs w:val="20"/>
              </w:rPr>
            </w:pPr>
            <w:r w:rsidRPr="00983219">
              <w:rPr>
                <w:rFonts w:cstheme="minorHAnsi"/>
                <w:color w:val="000000"/>
                <w:sz w:val="20"/>
                <w:szCs w:val="20"/>
              </w:rPr>
              <w:t>University College London, London, United Kingdom</w:t>
            </w:r>
          </w:p>
        </w:tc>
        <w:tc>
          <w:tcPr>
            <w:tcW w:w="4417" w:type="dxa"/>
            <w:shd w:val="clear" w:color="auto" w:fill="auto"/>
            <w:tcMar>
              <w:top w:w="15" w:type="dxa"/>
              <w:left w:w="15" w:type="dxa"/>
              <w:bottom w:w="0" w:type="dxa"/>
              <w:right w:w="15" w:type="dxa"/>
            </w:tcMar>
            <w:vAlign w:val="center"/>
            <w:hideMark/>
          </w:tcPr>
          <w:p w14:paraId="66AB35AA" w14:textId="77777777" w:rsidR="00097B3B" w:rsidRPr="00983219" w:rsidRDefault="00955B21">
            <w:pPr>
              <w:rPr>
                <w:rFonts w:cstheme="minorHAnsi"/>
                <w:color w:val="0563C1"/>
                <w:sz w:val="20"/>
                <w:szCs w:val="20"/>
                <w:u w:val="single"/>
              </w:rPr>
            </w:pPr>
            <w:hyperlink r:id="rId47" w:history="1">
              <w:r w:rsidR="00097B3B" w:rsidRPr="00983219">
                <w:rPr>
                  <w:rStyle w:val="Hyperlink"/>
                  <w:rFonts w:cstheme="minorHAnsi"/>
                  <w:sz w:val="20"/>
                  <w:szCs w:val="20"/>
                </w:rPr>
                <w:t>https://clinicaltrials.gov/ct2/show/NCT03687645</w:t>
              </w:r>
            </w:hyperlink>
          </w:p>
        </w:tc>
      </w:tr>
      <w:tr w:rsidR="0087772C" w:rsidRPr="00983219" w14:paraId="24A44F81" w14:textId="77777777" w:rsidTr="00202E51">
        <w:trPr>
          <w:cantSplit/>
          <w:trHeight w:val="20"/>
        </w:trPr>
        <w:tc>
          <w:tcPr>
            <w:tcW w:w="3524" w:type="dxa"/>
            <w:shd w:val="clear" w:color="auto" w:fill="auto"/>
            <w:tcMar>
              <w:top w:w="15" w:type="dxa"/>
              <w:left w:w="15" w:type="dxa"/>
              <w:bottom w:w="0" w:type="dxa"/>
              <w:right w:w="15" w:type="dxa"/>
            </w:tcMar>
            <w:vAlign w:val="center"/>
          </w:tcPr>
          <w:p w14:paraId="65198CCA" w14:textId="1E272E18" w:rsidR="0087772C" w:rsidRPr="00983219" w:rsidRDefault="0087772C" w:rsidP="0087772C">
            <w:pPr>
              <w:rPr>
                <w:rFonts w:cstheme="minorHAnsi"/>
                <w:color w:val="000000"/>
                <w:sz w:val="20"/>
                <w:szCs w:val="20"/>
              </w:rPr>
            </w:pPr>
            <w:r w:rsidRPr="00202E51">
              <w:rPr>
                <w:rFonts w:cstheme="minorHAnsi"/>
                <w:color w:val="333333"/>
                <w:sz w:val="20"/>
                <w:szCs w:val="20"/>
                <w:shd w:val="clear" w:color="auto" w:fill="FFFFFF"/>
              </w:rPr>
              <w:t>Novel MRI Assessment of Prostate Cancer VALIDATE-PRO (VALIDATE-PRO)</w:t>
            </w:r>
          </w:p>
        </w:tc>
        <w:tc>
          <w:tcPr>
            <w:tcW w:w="1241" w:type="dxa"/>
            <w:shd w:val="clear" w:color="auto" w:fill="auto"/>
            <w:tcMar>
              <w:top w:w="15" w:type="dxa"/>
              <w:left w:w="15" w:type="dxa"/>
              <w:bottom w:w="0" w:type="dxa"/>
              <w:right w:w="15" w:type="dxa"/>
            </w:tcMar>
            <w:vAlign w:val="center"/>
          </w:tcPr>
          <w:p w14:paraId="203B02CB" w14:textId="58F2FFAC" w:rsidR="0087772C" w:rsidRPr="00983219" w:rsidRDefault="000033BA" w:rsidP="0087772C">
            <w:pPr>
              <w:rPr>
                <w:rFonts w:cstheme="minorHAnsi"/>
                <w:color w:val="000000"/>
                <w:sz w:val="20"/>
                <w:szCs w:val="20"/>
              </w:rPr>
            </w:pPr>
            <w:r>
              <w:rPr>
                <w:rFonts w:cstheme="minorHAnsi"/>
                <w:color w:val="000000"/>
                <w:sz w:val="20"/>
                <w:szCs w:val="20"/>
              </w:rPr>
              <w:t xml:space="preserve"> </w:t>
            </w:r>
            <w:r w:rsidRPr="000033BA">
              <w:rPr>
                <w:rFonts w:cstheme="minorHAnsi"/>
                <w:color w:val="000000"/>
                <w:sz w:val="20"/>
                <w:szCs w:val="20"/>
              </w:rPr>
              <w:t>Unknown</w:t>
            </w:r>
          </w:p>
        </w:tc>
        <w:tc>
          <w:tcPr>
            <w:tcW w:w="2498" w:type="dxa"/>
            <w:shd w:val="clear" w:color="auto" w:fill="auto"/>
            <w:tcMar>
              <w:top w:w="15" w:type="dxa"/>
              <w:left w:w="15" w:type="dxa"/>
              <w:bottom w:w="0" w:type="dxa"/>
              <w:right w:w="15" w:type="dxa"/>
            </w:tcMar>
            <w:vAlign w:val="center"/>
          </w:tcPr>
          <w:p w14:paraId="12E6DE52" w14:textId="4A2025E2" w:rsidR="0087772C" w:rsidRPr="00983219" w:rsidRDefault="0087772C" w:rsidP="0087772C">
            <w:pPr>
              <w:rPr>
                <w:rFonts w:cstheme="minorHAnsi"/>
                <w:color w:val="000000"/>
                <w:sz w:val="20"/>
                <w:szCs w:val="20"/>
              </w:rPr>
            </w:pPr>
            <w:r w:rsidRPr="00983219">
              <w:rPr>
                <w:rFonts w:cstheme="minorHAnsi"/>
                <w:color w:val="000000"/>
                <w:sz w:val="20"/>
                <w:szCs w:val="20"/>
              </w:rPr>
              <w:t>Prostate Cancer</w:t>
            </w:r>
          </w:p>
        </w:tc>
        <w:tc>
          <w:tcPr>
            <w:tcW w:w="2264" w:type="dxa"/>
            <w:shd w:val="clear" w:color="auto" w:fill="auto"/>
            <w:tcMar>
              <w:top w:w="15" w:type="dxa"/>
              <w:left w:w="15" w:type="dxa"/>
              <w:bottom w:w="0" w:type="dxa"/>
              <w:right w:w="15" w:type="dxa"/>
            </w:tcMar>
            <w:vAlign w:val="center"/>
          </w:tcPr>
          <w:p w14:paraId="3DEBA896" w14:textId="4E5A2DBC" w:rsidR="0087772C" w:rsidRPr="00983219" w:rsidRDefault="0087772C" w:rsidP="0087772C">
            <w:pPr>
              <w:rPr>
                <w:rFonts w:cstheme="minorHAnsi"/>
                <w:color w:val="000000"/>
                <w:sz w:val="20"/>
                <w:szCs w:val="20"/>
              </w:rPr>
            </w:pPr>
            <w:r w:rsidRPr="00983219">
              <w:rPr>
                <w:rFonts w:cstheme="minorHAnsi"/>
                <w:color w:val="000000"/>
                <w:sz w:val="20"/>
                <w:szCs w:val="20"/>
              </w:rPr>
              <w:t>University College London, London, United Kingdom</w:t>
            </w:r>
          </w:p>
        </w:tc>
        <w:tc>
          <w:tcPr>
            <w:tcW w:w="4417" w:type="dxa"/>
            <w:shd w:val="clear" w:color="auto" w:fill="auto"/>
            <w:tcMar>
              <w:top w:w="15" w:type="dxa"/>
              <w:left w:w="15" w:type="dxa"/>
              <w:bottom w:w="0" w:type="dxa"/>
              <w:right w:w="15" w:type="dxa"/>
            </w:tcMar>
            <w:vAlign w:val="center"/>
          </w:tcPr>
          <w:p w14:paraId="14AF5032" w14:textId="74996EF1" w:rsidR="0087772C" w:rsidRPr="00202E51" w:rsidRDefault="0087772C" w:rsidP="0087772C">
            <w:pPr>
              <w:rPr>
                <w:rFonts w:cstheme="minorHAnsi"/>
                <w:color w:val="0000FF"/>
                <w:sz w:val="20"/>
                <w:szCs w:val="20"/>
              </w:rPr>
            </w:pPr>
            <w:r w:rsidRPr="00202E51">
              <w:rPr>
                <w:rFonts w:cstheme="minorHAnsi"/>
                <w:color w:val="0000FF"/>
                <w:sz w:val="20"/>
                <w:szCs w:val="20"/>
              </w:rPr>
              <w:t>https://clinicaltrials.gov/study/NCT05017181</w:t>
            </w:r>
          </w:p>
        </w:tc>
      </w:tr>
      <w:tr w:rsidR="0087772C" w:rsidRPr="00983219" w14:paraId="139A77D6" w14:textId="77777777" w:rsidTr="00202E51">
        <w:trPr>
          <w:cantSplit/>
          <w:trHeight w:val="20"/>
        </w:trPr>
        <w:tc>
          <w:tcPr>
            <w:tcW w:w="3524" w:type="dxa"/>
            <w:shd w:val="clear" w:color="auto" w:fill="auto"/>
            <w:tcMar>
              <w:top w:w="15" w:type="dxa"/>
              <w:left w:w="15" w:type="dxa"/>
              <w:bottom w:w="0" w:type="dxa"/>
              <w:right w:w="15" w:type="dxa"/>
            </w:tcMar>
            <w:vAlign w:val="center"/>
          </w:tcPr>
          <w:p w14:paraId="24EA49D8" w14:textId="362B5D65" w:rsidR="0087772C" w:rsidRPr="00983219" w:rsidRDefault="0087772C" w:rsidP="0087772C">
            <w:pPr>
              <w:rPr>
                <w:rFonts w:cstheme="minorHAnsi"/>
                <w:color w:val="000000"/>
                <w:sz w:val="20"/>
                <w:szCs w:val="20"/>
              </w:rPr>
            </w:pPr>
            <w:r w:rsidRPr="00983219">
              <w:rPr>
                <w:rFonts w:cstheme="minorHAnsi"/>
                <w:color w:val="333333"/>
                <w:sz w:val="20"/>
                <w:szCs w:val="20"/>
                <w:shd w:val="clear" w:color="auto" w:fill="FFFFFF"/>
              </w:rPr>
              <w:lastRenderedPageBreak/>
              <w:t>Simultaneous Hyperpolarized [1-</w:t>
            </w:r>
            <w:r w:rsidRPr="00983219">
              <w:rPr>
                <w:rFonts w:cstheme="minorHAnsi"/>
                <w:sz w:val="20"/>
                <w:szCs w:val="20"/>
              </w:rPr>
              <w:t>13</w:t>
            </w:r>
            <w:proofErr w:type="gramStart"/>
            <w:r w:rsidRPr="00983219">
              <w:rPr>
                <w:rFonts w:cstheme="minorHAnsi"/>
                <w:sz w:val="20"/>
                <w:szCs w:val="20"/>
              </w:rPr>
              <w:t>C</w:t>
            </w:r>
            <w:r w:rsidRPr="00983219">
              <w:rPr>
                <w:rFonts w:cstheme="minorHAnsi"/>
                <w:color w:val="333333"/>
                <w:sz w:val="20"/>
                <w:szCs w:val="20"/>
                <w:shd w:val="clear" w:color="auto" w:fill="FFFFFF"/>
              </w:rPr>
              <w:t>]</w:t>
            </w:r>
            <w:r w:rsidRPr="00983219">
              <w:rPr>
                <w:rFonts w:cstheme="minorHAnsi"/>
                <w:sz w:val="20"/>
                <w:szCs w:val="20"/>
              </w:rPr>
              <w:t>Pyruvate</w:t>
            </w:r>
            <w:proofErr w:type="gramEnd"/>
            <w:r w:rsidRPr="00983219">
              <w:rPr>
                <w:rStyle w:val="apple-converted-space"/>
                <w:rFonts w:cstheme="minorHAnsi"/>
                <w:color w:val="333333"/>
                <w:sz w:val="20"/>
                <w:szCs w:val="20"/>
                <w:shd w:val="clear" w:color="auto" w:fill="FFFFFF"/>
              </w:rPr>
              <w:t> </w:t>
            </w:r>
            <w:r w:rsidRPr="00983219">
              <w:rPr>
                <w:rFonts w:cstheme="minorHAnsi"/>
                <w:color w:val="333333"/>
                <w:sz w:val="20"/>
                <w:szCs w:val="20"/>
                <w:shd w:val="clear" w:color="auto" w:fill="FFFFFF"/>
              </w:rPr>
              <w:t>and 18F-FDG PET/MRS in Cancer Patients</w:t>
            </w:r>
          </w:p>
        </w:tc>
        <w:tc>
          <w:tcPr>
            <w:tcW w:w="1241" w:type="dxa"/>
            <w:shd w:val="clear" w:color="auto" w:fill="auto"/>
            <w:tcMar>
              <w:top w:w="15" w:type="dxa"/>
              <w:left w:w="15" w:type="dxa"/>
              <w:bottom w:w="0" w:type="dxa"/>
              <w:right w:w="15" w:type="dxa"/>
            </w:tcMar>
            <w:vAlign w:val="center"/>
          </w:tcPr>
          <w:p w14:paraId="4B1FB0A5" w14:textId="2BA35D5C" w:rsidR="0087772C" w:rsidRPr="00983219" w:rsidRDefault="0087772C" w:rsidP="0087772C">
            <w:pPr>
              <w:rPr>
                <w:rFonts w:cstheme="minorHAnsi"/>
                <w:color w:val="000000"/>
                <w:sz w:val="20"/>
                <w:szCs w:val="20"/>
              </w:rPr>
            </w:pPr>
            <w:r w:rsidRPr="00983219">
              <w:rPr>
                <w:rFonts w:cstheme="minorHAnsi"/>
                <w:color w:val="000000"/>
                <w:sz w:val="20"/>
                <w:szCs w:val="20"/>
              </w:rPr>
              <w:t>Enrolling by Invitation</w:t>
            </w:r>
          </w:p>
        </w:tc>
        <w:tc>
          <w:tcPr>
            <w:tcW w:w="2498" w:type="dxa"/>
            <w:shd w:val="clear" w:color="auto" w:fill="auto"/>
            <w:tcMar>
              <w:top w:w="15" w:type="dxa"/>
              <w:left w:w="15" w:type="dxa"/>
              <w:bottom w:w="0" w:type="dxa"/>
              <w:right w:w="15" w:type="dxa"/>
            </w:tcMar>
            <w:vAlign w:val="center"/>
          </w:tcPr>
          <w:p w14:paraId="19C8873B" w14:textId="354169F0" w:rsidR="0087772C" w:rsidRPr="00983219" w:rsidRDefault="0087772C" w:rsidP="0087772C">
            <w:pPr>
              <w:rPr>
                <w:rFonts w:cstheme="minorHAnsi"/>
                <w:color w:val="000000"/>
                <w:sz w:val="20"/>
                <w:szCs w:val="20"/>
              </w:rPr>
            </w:pPr>
            <w:r w:rsidRPr="00983219">
              <w:rPr>
                <w:rFonts w:cstheme="minorHAnsi"/>
                <w:color w:val="000000"/>
                <w:sz w:val="20"/>
                <w:szCs w:val="20"/>
              </w:rPr>
              <w:t>Breast Cancer and Neuroendocrine tumors</w:t>
            </w:r>
          </w:p>
        </w:tc>
        <w:tc>
          <w:tcPr>
            <w:tcW w:w="2264" w:type="dxa"/>
            <w:shd w:val="clear" w:color="auto" w:fill="auto"/>
            <w:tcMar>
              <w:top w:w="15" w:type="dxa"/>
              <w:left w:w="15" w:type="dxa"/>
              <w:bottom w:w="0" w:type="dxa"/>
              <w:right w:w="15" w:type="dxa"/>
            </w:tcMar>
            <w:vAlign w:val="center"/>
          </w:tcPr>
          <w:p w14:paraId="3CF89B61" w14:textId="2989FC06" w:rsidR="0087772C" w:rsidRPr="00983219" w:rsidRDefault="0087772C" w:rsidP="0087772C">
            <w:pPr>
              <w:rPr>
                <w:rFonts w:cstheme="minorHAnsi"/>
                <w:color w:val="000000"/>
                <w:sz w:val="20"/>
                <w:szCs w:val="20"/>
              </w:rPr>
            </w:pPr>
            <w:proofErr w:type="spellStart"/>
            <w:r w:rsidRPr="00983219">
              <w:rPr>
                <w:rFonts w:cstheme="minorHAnsi"/>
                <w:color w:val="000000"/>
                <w:sz w:val="20"/>
                <w:szCs w:val="20"/>
              </w:rPr>
              <w:t>Rigshopitalet</w:t>
            </w:r>
            <w:proofErr w:type="spellEnd"/>
            <w:r w:rsidRPr="00983219">
              <w:rPr>
                <w:rFonts w:cstheme="minorHAnsi"/>
                <w:color w:val="000000"/>
                <w:sz w:val="20"/>
                <w:szCs w:val="20"/>
              </w:rPr>
              <w:t>, Copenhagen, Denmark</w:t>
            </w:r>
          </w:p>
        </w:tc>
        <w:tc>
          <w:tcPr>
            <w:tcW w:w="4417" w:type="dxa"/>
            <w:shd w:val="clear" w:color="auto" w:fill="auto"/>
            <w:tcMar>
              <w:top w:w="15" w:type="dxa"/>
              <w:left w:w="15" w:type="dxa"/>
              <w:bottom w:w="0" w:type="dxa"/>
              <w:right w:w="15" w:type="dxa"/>
            </w:tcMar>
            <w:vAlign w:val="center"/>
          </w:tcPr>
          <w:p w14:paraId="286DB3E1" w14:textId="2D9631DF" w:rsidR="0087772C" w:rsidRPr="00202E51" w:rsidRDefault="0087772C" w:rsidP="0087772C">
            <w:pPr>
              <w:rPr>
                <w:rFonts w:cstheme="minorHAnsi"/>
                <w:color w:val="0000FF"/>
                <w:sz w:val="20"/>
                <w:szCs w:val="20"/>
              </w:rPr>
            </w:pPr>
            <w:r w:rsidRPr="00202E51">
              <w:rPr>
                <w:rFonts w:cstheme="minorHAnsi"/>
                <w:color w:val="0000FF"/>
                <w:sz w:val="20"/>
                <w:szCs w:val="20"/>
              </w:rPr>
              <w:t>https://clinicaltrials.gov/study/NCT05396118</w:t>
            </w:r>
          </w:p>
        </w:tc>
      </w:tr>
      <w:tr w:rsidR="00097B3B" w:rsidRPr="00983219" w14:paraId="2190AACA" w14:textId="77777777" w:rsidTr="00202E51">
        <w:trPr>
          <w:cantSplit/>
          <w:trHeight w:val="20"/>
        </w:trPr>
        <w:tc>
          <w:tcPr>
            <w:tcW w:w="3524" w:type="dxa"/>
            <w:shd w:val="clear" w:color="auto" w:fill="auto"/>
            <w:tcMar>
              <w:top w:w="15" w:type="dxa"/>
              <w:left w:w="15" w:type="dxa"/>
              <w:bottom w:w="0" w:type="dxa"/>
              <w:right w:w="15" w:type="dxa"/>
            </w:tcMar>
            <w:vAlign w:val="center"/>
            <w:hideMark/>
          </w:tcPr>
          <w:p w14:paraId="3711D631" w14:textId="62B436A0" w:rsidR="00097B3B" w:rsidRPr="00983219" w:rsidRDefault="00097B3B">
            <w:pPr>
              <w:rPr>
                <w:rFonts w:cstheme="minorHAnsi"/>
                <w:color w:val="000000"/>
                <w:sz w:val="20"/>
                <w:szCs w:val="20"/>
              </w:rPr>
            </w:pPr>
            <w:r w:rsidRPr="00983219">
              <w:rPr>
                <w:rFonts w:cstheme="minorHAnsi"/>
                <w:color w:val="000000"/>
                <w:sz w:val="20"/>
                <w:szCs w:val="20"/>
              </w:rPr>
              <w:t xml:space="preserve">Pilot Study of Safety and Toxicity of Acquiring Hyperpolarized Carbon-13 Imaging in Children </w:t>
            </w:r>
            <w:r w:rsidR="005A7740" w:rsidRPr="00983219">
              <w:rPr>
                <w:rFonts w:cstheme="minorHAnsi"/>
                <w:color w:val="000000"/>
                <w:sz w:val="20"/>
                <w:szCs w:val="20"/>
              </w:rPr>
              <w:t>with</w:t>
            </w:r>
            <w:r w:rsidRPr="00983219">
              <w:rPr>
                <w:rFonts w:cstheme="minorHAnsi"/>
                <w:color w:val="000000"/>
                <w:sz w:val="20"/>
                <w:szCs w:val="20"/>
              </w:rPr>
              <w:t xml:space="preserve"> Brain Tumors</w:t>
            </w:r>
          </w:p>
        </w:tc>
        <w:tc>
          <w:tcPr>
            <w:tcW w:w="1241" w:type="dxa"/>
            <w:shd w:val="clear" w:color="auto" w:fill="auto"/>
            <w:tcMar>
              <w:top w:w="15" w:type="dxa"/>
              <w:left w:w="15" w:type="dxa"/>
              <w:bottom w:w="0" w:type="dxa"/>
              <w:right w:w="15" w:type="dxa"/>
            </w:tcMar>
            <w:vAlign w:val="center"/>
            <w:hideMark/>
          </w:tcPr>
          <w:p w14:paraId="4252F4F6" w14:textId="38AABBA4" w:rsidR="00097B3B" w:rsidRPr="00983219" w:rsidRDefault="0087772C">
            <w:pPr>
              <w:rPr>
                <w:rFonts w:cstheme="minorHAnsi"/>
                <w:color w:val="000000"/>
                <w:sz w:val="20"/>
                <w:szCs w:val="20"/>
              </w:rPr>
            </w:pPr>
            <w:r w:rsidRPr="00983219">
              <w:rPr>
                <w:rFonts w:cstheme="minorHAnsi"/>
                <w:color w:val="000000"/>
                <w:sz w:val="20"/>
                <w:szCs w:val="20"/>
              </w:rPr>
              <w:t>Completed</w:t>
            </w:r>
          </w:p>
        </w:tc>
        <w:tc>
          <w:tcPr>
            <w:tcW w:w="2498" w:type="dxa"/>
            <w:shd w:val="clear" w:color="auto" w:fill="auto"/>
            <w:tcMar>
              <w:top w:w="15" w:type="dxa"/>
              <w:left w:w="15" w:type="dxa"/>
              <w:bottom w:w="0" w:type="dxa"/>
              <w:right w:w="15" w:type="dxa"/>
            </w:tcMar>
            <w:vAlign w:val="center"/>
            <w:hideMark/>
          </w:tcPr>
          <w:p w14:paraId="038C4F12" w14:textId="77777777" w:rsidR="00097B3B" w:rsidRPr="00983219" w:rsidRDefault="00097B3B">
            <w:pPr>
              <w:rPr>
                <w:rFonts w:cstheme="minorHAnsi"/>
                <w:color w:val="000000"/>
                <w:sz w:val="20"/>
                <w:szCs w:val="20"/>
              </w:rPr>
            </w:pPr>
            <w:r w:rsidRPr="00983219">
              <w:rPr>
                <w:rFonts w:cstheme="minorHAnsi"/>
                <w:color w:val="000000"/>
                <w:sz w:val="20"/>
                <w:szCs w:val="20"/>
              </w:rPr>
              <w:t>Pediatric Brain Tumors</w:t>
            </w:r>
          </w:p>
        </w:tc>
        <w:tc>
          <w:tcPr>
            <w:tcW w:w="2264" w:type="dxa"/>
            <w:shd w:val="clear" w:color="auto" w:fill="auto"/>
            <w:tcMar>
              <w:top w:w="15" w:type="dxa"/>
              <w:left w:w="15" w:type="dxa"/>
              <w:bottom w:w="0" w:type="dxa"/>
              <w:right w:w="15" w:type="dxa"/>
            </w:tcMar>
            <w:vAlign w:val="center"/>
            <w:hideMark/>
          </w:tcPr>
          <w:p w14:paraId="38C226E1" w14:textId="77777777" w:rsidR="00097B3B" w:rsidRPr="00983219" w:rsidRDefault="00097B3B">
            <w:pPr>
              <w:rPr>
                <w:rFonts w:cstheme="minorHAnsi"/>
                <w:color w:val="000000"/>
                <w:sz w:val="20"/>
                <w:szCs w:val="20"/>
              </w:rPr>
            </w:pPr>
            <w:r w:rsidRPr="00983219">
              <w:rPr>
                <w:rFonts w:cstheme="minorHAnsi"/>
                <w:color w:val="000000"/>
                <w:sz w:val="20"/>
                <w:szCs w:val="20"/>
              </w:rPr>
              <w:t>University of California San Francisco Helen Diller Family Comprehensive Cancer Center, San Francisco, California, United States</w:t>
            </w:r>
          </w:p>
        </w:tc>
        <w:tc>
          <w:tcPr>
            <w:tcW w:w="4417" w:type="dxa"/>
            <w:shd w:val="clear" w:color="auto" w:fill="auto"/>
            <w:tcMar>
              <w:top w:w="15" w:type="dxa"/>
              <w:left w:w="15" w:type="dxa"/>
              <w:bottom w:w="0" w:type="dxa"/>
              <w:right w:w="15" w:type="dxa"/>
            </w:tcMar>
            <w:vAlign w:val="center"/>
            <w:hideMark/>
          </w:tcPr>
          <w:p w14:paraId="0B5A4834" w14:textId="77777777" w:rsidR="00097B3B" w:rsidRPr="00983219" w:rsidRDefault="00955B21">
            <w:pPr>
              <w:rPr>
                <w:rFonts w:cstheme="minorHAnsi"/>
                <w:color w:val="0563C1"/>
                <w:sz w:val="20"/>
                <w:szCs w:val="20"/>
                <w:u w:val="single"/>
              </w:rPr>
            </w:pPr>
            <w:hyperlink r:id="rId48" w:history="1">
              <w:r w:rsidR="00097B3B" w:rsidRPr="00983219">
                <w:rPr>
                  <w:rStyle w:val="Hyperlink"/>
                  <w:rFonts w:cstheme="minorHAnsi"/>
                  <w:sz w:val="20"/>
                  <w:szCs w:val="20"/>
                </w:rPr>
                <w:t xml:space="preserve">https://ClinicalTrials.gov/show/NCT02947373 </w:t>
              </w:r>
            </w:hyperlink>
          </w:p>
        </w:tc>
      </w:tr>
      <w:tr w:rsidR="00097B3B" w:rsidRPr="00983219" w14:paraId="2EBDF08A" w14:textId="77777777" w:rsidTr="00202E51">
        <w:trPr>
          <w:cantSplit/>
          <w:trHeight w:val="20"/>
        </w:trPr>
        <w:tc>
          <w:tcPr>
            <w:tcW w:w="3524" w:type="dxa"/>
            <w:shd w:val="clear" w:color="auto" w:fill="auto"/>
            <w:tcMar>
              <w:top w:w="15" w:type="dxa"/>
              <w:left w:w="15" w:type="dxa"/>
              <w:bottom w:w="0" w:type="dxa"/>
              <w:right w:w="15" w:type="dxa"/>
            </w:tcMar>
            <w:vAlign w:val="center"/>
            <w:hideMark/>
          </w:tcPr>
          <w:p w14:paraId="45F4CE31" w14:textId="36A08E10" w:rsidR="00097B3B" w:rsidRPr="00983219" w:rsidRDefault="00097B3B">
            <w:pPr>
              <w:rPr>
                <w:rFonts w:cstheme="minorHAnsi"/>
                <w:color w:val="000000"/>
                <w:sz w:val="20"/>
                <w:szCs w:val="20"/>
              </w:rPr>
            </w:pPr>
            <w:r w:rsidRPr="00983219">
              <w:rPr>
                <w:rFonts w:cstheme="minorHAnsi"/>
                <w:color w:val="000000"/>
                <w:sz w:val="20"/>
                <w:szCs w:val="20"/>
              </w:rPr>
              <w:t xml:space="preserve">Hyperpolarized Pyruvate Injection in Subjects </w:t>
            </w:r>
            <w:r w:rsidR="00632EC0" w:rsidRPr="00983219">
              <w:rPr>
                <w:rFonts w:cstheme="minorHAnsi"/>
                <w:color w:val="000000"/>
                <w:sz w:val="20"/>
                <w:szCs w:val="20"/>
              </w:rPr>
              <w:t>with</w:t>
            </w:r>
            <w:r w:rsidRPr="00983219">
              <w:rPr>
                <w:rFonts w:cstheme="minorHAnsi"/>
                <w:color w:val="000000"/>
                <w:sz w:val="20"/>
                <w:szCs w:val="20"/>
              </w:rPr>
              <w:t xml:space="preserve"> Prostate Cancer</w:t>
            </w:r>
          </w:p>
        </w:tc>
        <w:tc>
          <w:tcPr>
            <w:tcW w:w="1241" w:type="dxa"/>
            <w:shd w:val="clear" w:color="auto" w:fill="auto"/>
            <w:tcMar>
              <w:top w:w="15" w:type="dxa"/>
              <w:left w:w="15" w:type="dxa"/>
              <w:bottom w:w="0" w:type="dxa"/>
              <w:right w:w="15" w:type="dxa"/>
            </w:tcMar>
            <w:vAlign w:val="center"/>
            <w:hideMark/>
          </w:tcPr>
          <w:p w14:paraId="5B96FA3A" w14:textId="77777777" w:rsidR="00097B3B" w:rsidRPr="00983219" w:rsidRDefault="00097B3B">
            <w:pPr>
              <w:rPr>
                <w:rFonts w:cstheme="minorHAnsi"/>
                <w:color w:val="000000"/>
                <w:sz w:val="20"/>
                <w:szCs w:val="20"/>
              </w:rPr>
            </w:pPr>
            <w:r w:rsidRPr="00983219">
              <w:rPr>
                <w:rFonts w:cstheme="minorHAnsi"/>
                <w:color w:val="000000"/>
                <w:sz w:val="20"/>
                <w:szCs w:val="20"/>
              </w:rPr>
              <w:t>Completed</w:t>
            </w:r>
          </w:p>
        </w:tc>
        <w:tc>
          <w:tcPr>
            <w:tcW w:w="2498" w:type="dxa"/>
            <w:shd w:val="clear" w:color="auto" w:fill="auto"/>
            <w:tcMar>
              <w:top w:w="15" w:type="dxa"/>
              <w:left w:w="15" w:type="dxa"/>
              <w:bottom w:w="0" w:type="dxa"/>
              <w:right w:w="15" w:type="dxa"/>
            </w:tcMar>
            <w:vAlign w:val="center"/>
            <w:hideMark/>
          </w:tcPr>
          <w:p w14:paraId="4A0A6766" w14:textId="77777777" w:rsidR="00097B3B" w:rsidRPr="00983219" w:rsidRDefault="00097B3B">
            <w:pPr>
              <w:rPr>
                <w:rFonts w:cstheme="minorHAnsi"/>
                <w:color w:val="000000"/>
                <w:sz w:val="20"/>
                <w:szCs w:val="20"/>
              </w:rPr>
            </w:pPr>
            <w:r w:rsidRPr="00983219">
              <w:rPr>
                <w:rFonts w:cstheme="minorHAnsi"/>
                <w:color w:val="000000"/>
                <w:sz w:val="20"/>
                <w:szCs w:val="20"/>
              </w:rPr>
              <w:t>Prostate Cancer</w:t>
            </w:r>
          </w:p>
        </w:tc>
        <w:tc>
          <w:tcPr>
            <w:tcW w:w="2264" w:type="dxa"/>
            <w:shd w:val="clear" w:color="auto" w:fill="auto"/>
            <w:tcMar>
              <w:top w:w="15" w:type="dxa"/>
              <w:left w:w="15" w:type="dxa"/>
              <w:bottom w:w="0" w:type="dxa"/>
              <w:right w:w="15" w:type="dxa"/>
            </w:tcMar>
            <w:vAlign w:val="center"/>
            <w:hideMark/>
          </w:tcPr>
          <w:p w14:paraId="0C2D9637" w14:textId="77777777" w:rsidR="00097B3B" w:rsidRPr="00983219" w:rsidRDefault="00097B3B">
            <w:pPr>
              <w:rPr>
                <w:rFonts w:cstheme="minorHAnsi"/>
                <w:color w:val="000000"/>
                <w:sz w:val="20"/>
                <w:szCs w:val="20"/>
              </w:rPr>
            </w:pPr>
            <w:r w:rsidRPr="00983219">
              <w:rPr>
                <w:rFonts w:cstheme="minorHAnsi"/>
                <w:color w:val="000000"/>
                <w:sz w:val="20"/>
                <w:szCs w:val="20"/>
              </w:rPr>
              <w:t>University of California San Francisco, San Francisco, California, United States</w:t>
            </w:r>
          </w:p>
        </w:tc>
        <w:tc>
          <w:tcPr>
            <w:tcW w:w="4417" w:type="dxa"/>
            <w:shd w:val="clear" w:color="auto" w:fill="auto"/>
            <w:tcMar>
              <w:top w:w="15" w:type="dxa"/>
              <w:left w:w="15" w:type="dxa"/>
              <w:bottom w:w="0" w:type="dxa"/>
              <w:right w:w="15" w:type="dxa"/>
            </w:tcMar>
            <w:vAlign w:val="center"/>
            <w:hideMark/>
          </w:tcPr>
          <w:p w14:paraId="4BE86D82" w14:textId="77777777" w:rsidR="00097B3B" w:rsidRPr="00983219" w:rsidRDefault="00955B21">
            <w:pPr>
              <w:rPr>
                <w:rFonts w:cstheme="minorHAnsi"/>
                <w:color w:val="0563C1"/>
                <w:sz w:val="20"/>
                <w:szCs w:val="20"/>
                <w:u w:val="single"/>
              </w:rPr>
            </w:pPr>
            <w:hyperlink r:id="rId49" w:history="1">
              <w:r w:rsidR="00097B3B" w:rsidRPr="00983219">
                <w:rPr>
                  <w:rStyle w:val="Hyperlink"/>
                  <w:rFonts w:cstheme="minorHAnsi"/>
                  <w:sz w:val="20"/>
                  <w:szCs w:val="20"/>
                </w:rPr>
                <w:t xml:space="preserve">https://ClinicalTrials.gov/show/NCT01229618 </w:t>
              </w:r>
            </w:hyperlink>
          </w:p>
        </w:tc>
      </w:tr>
      <w:tr w:rsidR="00097B3B" w:rsidRPr="00983219" w14:paraId="149546E5" w14:textId="77777777" w:rsidTr="00202E51">
        <w:trPr>
          <w:cantSplit/>
          <w:trHeight w:val="20"/>
        </w:trPr>
        <w:tc>
          <w:tcPr>
            <w:tcW w:w="3524" w:type="dxa"/>
            <w:shd w:val="clear" w:color="auto" w:fill="auto"/>
            <w:tcMar>
              <w:top w:w="15" w:type="dxa"/>
              <w:left w:w="15" w:type="dxa"/>
              <w:bottom w:w="0" w:type="dxa"/>
              <w:right w:w="15" w:type="dxa"/>
            </w:tcMar>
            <w:vAlign w:val="center"/>
            <w:hideMark/>
          </w:tcPr>
          <w:p w14:paraId="47C1AF94" w14:textId="4876D1E8" w:rsidR="00097B3B" w:rsidRPr="00983219" w:rsidRDefault="00097B3B">
            <w:pPr>
              <w:rPr>
                <w:rFonts w:cstheme="minorHAnsi"/>
                <w:color w:val="000000"/>
                <w:sz w:val="20"/>
                <w:szCs w:val="20"/>
              </w:rPr>
            </w:pPr>
            <w:r w:rsidRPr="00983219">
              <w:rPr>
                <w:rFonts w:cstheme="minorHAnsi"/>
                <w:color w:val="000000"/>
                <w:sz w:val="20"/>
                <w:szCs w:val="20"/>
              </w:rPr>
              <w:t xml:space="preserve">Hyperpolarized C-13 Pyruvate as a Biomarker in Patients </w:t>
            </w:r>
            <w:r w:rsidR="00632EC0" w:rsidRPr="00983219">
              <w:rPr>
                <w:rFonts w:cstheme="minorHAnsi"/>
                <w:color w:val="000000"/>
                <w:sz w:val="20"/>
                <w:szCs w:val="20"/>
              </w:rPr>
              <w:t>with</w:t>
            </w:r>
            <w:r w:rsidRPr="00983219">
              <w:rPr>
                <w:rFonts w:cstheme="minorHAnsi"/>
                <w:color w:val="000000"/>
                <w:sz w:val="20"/>
                <w:szCs w:val="20"/>
              </w:rPr>
              <w:t xml:space="preserve"> Advanced Solid Tumor Malignancies</w:t>
            </w:r>
          </w:p>
        </w:tc>
        <w:tc>
          <w:tcPr>
            <w:tcW w:w="1241" w:type="dxa"/>
            <w:shd w:val="clear" w:color="auto" w:fill="auto"/>
            <w:tcMar>
              <w:top w:w="15" w:type="dxa"/>
              <w:left w:w="15" w:type="dxa"/>
              <w:bottom w:w="0" w:type="dxa"/>
              <w:right w:w="15" w:type="dxa"/>
            </w:tcMar>
            <w:vAlign w:val="center"/>
            <w:hideMark/>
          </w:tcPr>
          <w:p w14:paraId="6C79AB9C" w14:textId="08ED5527" w:rsidR="00097B3B" w:rsidRPr="00983219" w:rsidRDefault="0087772C">
            <w:pPr>
              <w:rPr>
                <w:rFonts w:cstheme="minorHAnsi"/>
                <w:color w:val="000000"/>
                <w:sz w:val="20"/>
                <w:szCs w:val="20"/>
              </w:rPr>
            </w:pPr>
            <w:r w:rsidRPr="00983219">
              <w:rPr>
                <w:rFonts w:cstheme="minorHAnsi"/>
                <w:color w:val="000000"/>
                <w:sz w:val="20"/>
                <w:szCs w:val="20"/>
              </w:rPr>
              <w:t>Terminated</w:t>
            </w:r>
          </w:p>
        </w:tc>
        <w:tc>
          <w:tcPr>
            <w:tcW w:w="2498" w:type="dxa"/>
            <w:shd w:val="clear" w:color="auto" w:fill="auto"/>
            <w:tcMar>
              <w:top w:w="15" w:type="dxa"/>
              <w:left w:w="15" w:type="dxa"/>
              <w:bottom w:w="0" w:type="dxa"/>
              <w:right w:w="15" w:type="dxa"/>
            </w:tcMar>
            <w:vAlign w:val="center"/>
            <w:hideMark/>
          </w:tcPr>
          <w:p w14:paraId="12B980A0" w14:textId="77777777" w:rsidR="00097B3B" w:rsidRPr="00983219" w:rsidRDefault="00097B3B">
            <w:pPr>
              <w:rPr>
                <w:rFonts w:cstheme="minorHAnsi"/>
                <w:color w:val="000000"/>
                <w:sz w:val="20"/>
                <w:szCs w:val="20"/>
              </w:rPr>
            </w:pPr>
            <w:r w:rsidRPr="00983219">
              <w:rPr>
                <w:rFonts w:cstheme="minorHAnsi"/>
                <w:color w:val="000000"/>
                <w:sz w:val="20"/>
                <w:szCs w:val="20"/>
              </w:rPr>
              <w:t>Prostate Cancer</w:t>
            </w:r>
          </w:p>
        </w:tc>
        <w:tc>
          <w:tcPr>
            <w:tcW w:w="2264" w:type="dxa"/>
            <w:shd w:val="clear" w:color="auto" w:fill="auto"/>
            <w:tcMar>
              <w:top w:w="15" w:type="dxa"/>
              <w:left w:w="15" w:type="dxa"/>
              <w:bottom w:w="0" w:type="dxa"/>
              <w:right w:w="15" w:type="dxa"/>
            </w:tcMar>
            <w:vAlign w:val="center"/>
            <w:hideMark/>
          </w:tcPr>
          <w:p w14:paraId="718844D3" w14:textId="77777777" w:rsidR="00097B3B" w:rsidRPr="00983219" w:rsidRDefault="00097B3B">
            <w:pPr>
              <w:rPr>
                <w:rFonts w:cstheme="minorHAnsi"/>
                <w:color w:val="000000"/>
                <w:sz w:val="20"/>
                <w:szCs w:val="20"/>
              </w:rPr>
            </w:pPr>
            <w:r w:rsidRPr="00983219">
              <w:rPr>
                <w:rFonts w:cstheme="minorHAnsi"/>
                <w:color w:val="000000"/>
                <w:sz w:val="20"/>
                <w:szCs w:val="20"/>
              </w:rPr>
              <w:t>University of California, San Francisco, San Francisco, California, United States</w:t>
            </w:r>
          </w:p>
        </w:tc>
        <w:tc>
          <w:tcPr>
            <w:tcW w:w="4417" w:type="dxa"/>
            <w:shd w:val="clear" w:color="auto" w:fill="auto"/>
            <w:tcMar>
              <w:top w:w="15" w:type="dxa"/>
              <w:left w:w="15" w:type="dxa"/>
              <w:bottom w:w="0" w:type="dxa"/>
              <w:right w:w="15" w:type="dxa"/>
            </w:tcMar>
            <w:vAlign w:val="center"/>
            <w:hideMark/>
          </w:tcPr>
          <w:p w14:paraId="13C55687" w14:textId="77777777" w:rsidR="00097B3B" w:rsidRPr="00983219" w:rsidRDefault="00955B21">
            <w:pPr>
              <w:rPr>
                <w:rFonts w:cstheme="minorHAnsi"/>
                <w:color w:val="0563C1"/>
                <w:sz w:val="20"/>
                <w:szCs w:val="20"/>
                <w:u w:val="single"/>
              </w:rPr>
            </w:pPr>
            <w:hyperlink r:id="rId50" w:history="1">
              <w:r w:rsidR="00097B3B" w:rsidRPr="00983219">
                <w:rPr>
                  <w:rStyle w:val="Hyperlink"/>
                  <w:rFonts w:cstheme="minorHAnsi"/>
                  <w:sz w:val="20"/>
                  <w:szCs w:val="20"/>
                </w:rPr>
                <w:t xml:space="preserve">https://ClinicalTrials.gov/show/NCT02913131 </w:t>
              </w:r>
            </w:hyperlink>
          </w:p>
        </w:tc>
      </w:tr>
      <w:tr w:rsidR="00097B3B" w:rsidRPr="00983219" w14:paraId="3C31A79A" w14:textId="77777777" w:rsidTr="00202E51">
        <w:trPr>
          <w:cantSplit/>
          <w:trHeight w:val="20"/>
        </w:trPr>
        <w:tc>
          <w:tcPr>
            <w:tcW w:w="3524" w:type="dxa"/>
            <w:shd w:val="clear" w:color="auto" w:fill="auto"/>
            <w:tcMar>
              <w:top w:w="15" w:type="dxa"/>
              <w:left w:w="15" w:type="dxa"/>
              <w:bottom w:w="0" w:type="dxa"/>
              <w:right w:w="15" w:type="dxa"/>
            </w:tcMar>
            <w:vAlign w:val="center"/>
            <w:hideMark/>
          </w:tcPr>
          <w:p w14:paraId="3DCD8E77" w14:textId="115F7FCF" w:rsidR="00097B3B" w:rsidRPr="00983219" w:rsidRDefault="00097B3B">
            <w:pPr>
              <w:rPr>
                <w:rFonts w:cstheme="minorHAnsi"/>
                <w:color w:val="000000"/>
                <w:sz w:val="20"/>
                <w:szCs w:val="20"/>
              </w:rPr>
            </w:pPr>
            <w:r w:rsidRPr="00983219">
              <w:rPr>
                <w:rFonts w:cstheme="minorHAnsi"/>
                <w:color w:val="000000"/>
                <w:sz w:val="20"/>
                <w:szCs w:val="20"/>
              </w:rPr>
              <w:t xml:space="preserve">A Pilot Study of (MR) Imaging </w:t>
            </w:r>
            <w:r w:rsidR="00632EC0" w:rsidRPr="00983219">
              <w:rPr>
                <w:rFonts w:cstheme="minorHAnsi"/>
                <w:color w:val="000000"/>
                <w:sz w:val="20"/>
                <w:szCs w:val="20"/>
              </w:rPr>
              <w:t>with</w:t>
            </w:r>
            <w:r w:rsidRPr="00983219">
              <w:rPr>
                <w:rFonts w:cstheme="minorHAnsi"/>
                <w:color w:val="000000"/>
                <w:sz w:val="20"/>
                <w:szCs w:val="20"/>
              </w:rPr>
              <w:t xml:space="preserve"> Pyruvate (13C) to Detect High Grade Prostate Cancer</w:t>
            </w:r>
          </w:p>
        </w:tc>
        <w:tc>
          <w:tcPr>
            <w:tcW w:w="1241" w:type="dxa"/>
            <w:shd w:val="clear" w:color="auto" w:fill="auto"/>
            <w:tcMar>
              <w:top w:w="15" w:type="dxa"/>
              <w:left w:w="15" w:type="dxa"/>
              <w:bottom w:w="0" w:type="dxa"/>
              <w:right w:w="15" w:type="dxa"/>
            </w:tcMar>
            <w:vAlign w:val="center"/>
            <w:hideMark/>
          </w:tcPr>
          <w:p w14:paraId="11DF4BD1" w14:textId="77777777" w:rsidR="00097B3B" w:rsidRPr="00983219" w:rsidRDefault="00097B3B">
            <w:pPr>
              <w:rPr>
                <w:rFonts w:cstheme="minorHAnsi"/>
                <w:color w:val="000000"/>
                <w:sz w:val="20"/>
                <w:szCs w:val="20"/>
              </w:rPr>
            </w:pPr>
            <w:r w:rsidRPr="00983219">
              <w:rPr>
                <w:rFonts w:cstheme="minorHAnsi"/>
                <w:color w:val="000000"/>
                <w:sz w:val="20"/>
                <w:szCs w:val="20"/>
              </w:rPr>
              <w:t>Recruiting</w:t>
            </w:r>
          </w:p>
        </w:tc>
        <w:tc>
          <w:tcPr>
            <w:tcW w:w="2498" w:type="dxa"/>
            <w:shd w:val="clear" w:color="auto" w:fill="auto"/>
            <w:tcMar>
              <w:top w:w="15" w:type="dxa"/>
              <w:left w:w="15" w:type="dxa"/>
              <w:bottom w:w="0" w:type="dxa"/>
              <w:right w:w="15" w:type="dxa"/>
            </w:tcMar>
            <w:vAlign w:val="center"/>
            <w:hideMark/>
          </w:tcPr>
          <w:p w14:paraId="3E6C4992" w14:textId="77777777" w:rsidR="00097B3B" w:rsidRPr="00983219" w:rsidRDefault="00097B3B">
            <w:pPr>
              <w:rPr>
                <w:rFonts w:cstheme="minorHAnsi"/>
                <w:color w:val="000000"/>
                <w:sz w:val="20"/>
                <w:szCs w:val="20"/>
              </w:rPr>
            </w:pPr>
            <w:r w:rsidRPr="00983219">
              <w:rPr>
                <w:rFonts w:cstheme="minorHAnsi"/>
                <w:color w:val="000000"/>
                <w:sz w:val="20"/>
                <w:szCs w:val="20"/>
              </w:rPr>
              <w:t>Prostate Cancer</w:t>
            </w:r>
          </w:p>
        </w:tc>
        <w:tc>
          <w:tcPr>
            <w:tcW w:w="2264" w:type="dxa"/>
            <w:shd w:val="clear" w:color="auto" w:fill="auto"/>
            <w:tcMar>
              <w:top w:w="15" w:type="dxa"/>
              <w:left w:w="15" w:type="dxa"/>
              <w:bottom w:w="0" w:type="dxa"/>
              <w:right w:w="15" w:type="dxa"/>
            </w:tcMar>
            <w:vAlign w:val="center"/>
            <w:hideMark/>
          </w:tcPr>
          <w:p w14:paraId="5B4F4C2A" w14:textId="77777777" w:rsidR="00097B3B" w:rsidRPr="00983219" w:rsidRDefault="00097B3B">
            <w:pPr>
              <w:rPr>
                <w:rFonts w:cstheme="minorHAnsi"/>
                <w:color w:val="000000"/>
                <w:sz w:val="20"/>
                <w:szCs w:val="20"/>
              </w:rPr>
            </w:pPr>
            <w:r w:rsidRPr="00983219">
              <w:rPr>
                <w:rFonts w:cstheme="minorHAnsi"/>
                <w:color w:val="000000"/>
                <w:sz w:val="20"/>
                <w:szCs w:val="20"/>
              </w:rPr>
              <w:t>University of California, San Francisco, San Francisco, California, United States</w:t>
            </w:r>
          </w:p>
        </w:tc>
        <w:tc>
          <w:tcPr>
            <w:tcW w:w="4417" w:type="dxa"/>
            <w:shd w:val="clear" w:color="auto" w:fill="auto"/>
            <w:tcMar>
              <w:top w:w="15" w:type="dxa"/>
              <w:left w:w="15" w:type="dxa"/>
              <w:bottom w:w="0" w:type="dxa"/>
              <w:right w:w="15" w:type="dxa"/>
            </w:tcMar>
            <w:vAlign w:val="center"/>
            <w:hideMark/>
          </w:tcPr>
          <w:p w14:paraId="0C29D734" w14:textId="77777777" w:rsidR="00097B3B" w:rsidRPr="00983219" w:rsidRDefault="00955B21">
            <w:pPr>
              <w:rPr>
                <w:rFonts w:cstheme="minorHAnsi"/>
                <w:color w:val="0563C1"/>
                <w:sz w:val="20"/>
                <w:szCs w:val="20"/>
                <w:u w:val="single"/>
              </w:rPr>
            </w:pPr>
            <w:hyperlink r:id="rId51" w:history="1">
              <w:r w:rsidR="00097B3B" w:rsidRPr="00983219">
                <w:rPr>
                  <w:rStyle w:val="Hyperlink"/>
                  <w:rFonts w:cstheme="minorHAnsi"/>
                  <w:sz w:val="20"/>
                  <w:szCs w:val="20"/>
                </w:rPr>
                <w:t xml:space="preserve">https://ClinicalTrials.gov/show/NCT02526368 </w:t>
              </w:r>
            </w:hyperlink>
          </w:p>
        </w:tc>
      </w:tr>
      <w:tr w:rsidR="00097B3B" w:rsidRPr="00983219" w14:paraId="4883FFC6" w14:textId="77777777" w:rsidTr="00202E51">
        <w:trPr>
          <w:cantSplit/>
          <w:trHeight w:val="20"/>
        </w:trPr>
        <w:tc>
          <w:tcPr>
            <w:tcW w:w="3524" w:type="dxa"/>
            <w:shd w:val="clear" w:color="auto" w:fill="auto"/>
            <w:tcMar>
              <w:top w:w="15" w:type="dxa"/>
              <w:left w:w="15" w:type="dxa"/>
              <w:bottom w:w="0" w:type="dxa"/>
              <w:right w:w="15" w:type="dxa"/>
            </w:tcMar>
            <w:vAlign w:val="center"/>
            <w:hideMark/>
          </w:tcPr>
          <w:p w14:paraId="57F7A43F" w14:textId="17B6E977" w:rsidR="00097B3B" w:rsidRPr="00983219" w:rsidRDefault="00097B3B">
            <w:pPr>
              <w:rPr>
                <w:rFonts w:cstheme="minorHAnsi"/>
                <w:color w:val="000000"/>
                <w:sz w:val="20"/>
                <w:szCs w:val="20"/>
              </w:rPr>
            </w:pPr>
            <w:r w:rsidRPr="00983219">
              <w:rPr>
                <w:rFonts w:cstheme="minorHAnsi"/>
                <w:color w:val="000000"/>
                <w:sz w:val="20"/>
                <w:szCs w:val="20"/>
              </w:rPr>
              <w:t xml:space="preserve">Magnetic Resonance (MR) Imaging </w:t>
            </w:r>
            <w:r w:rsidR="00632EC0" w:rsidRPr="00983219">
              <w:rPr>
                <w:rFonts w:cstheme="minorHAnsi"/>
                <w:color w:val="000000"/>
                <w:sz w:val="20"/>
                <w:szCs w:val="20"/>
              </w:rPr>
              <w:t>with</w:t>
            </w:r>
            <w:r w:rsidRPr="00983219">
              <w:rPr>
                <w:rFonts w:cstheme="minorHAnsi"/>
                <w:color w:val="000000"/>
                <w:sz w:val="20"/>
                <w:szCs w:val="20"/>
              </w:rPr>
              <w:t xml:space="preserve"> Hyperpolarized Pyruvate (HP) (13C) in Castration-Resistant Prostate Cancer</w:t>
            </w:r>
          </w:p>
        </w:tc>
        <w:tc>
          <w:tcPr>
            <w:tcW w:w="1241" w:type="dxa"/>
            <w:shd w:val="clear" w:color="auto" w:fill="auto"/>
            <w:tcMar>
              <w:top w:w="15" w:type="dxa"/>
              <w:left w:w="15" w:type="dxa"/>
              <w:bottom w:w="0" w:type="dxa"/>
              <w:right w:w="15" w:type="dxa"/>
            </w:tcMar>
            <w:vAlign w:val="center"/>
            <w:hideMark/>
          </w:tcPr>
          <w:p w14:paraId="5264F4E7" w14:textId="7AF6F6DC" w:rsidR="00097B3B" w:rsidRPr="00983219" w:rsidRDefault="00202E51" w:rsidP="00632EC0">
            <w:pPr>
              <w:rPr>
                <w:rFonts w:cstheme="minorHAnsi"/>
                <w:color w:val="000000"/>
                <w:sz w:val="20"/>
                <w:szCs w:val="20"/>
              </w:rPr>
            </w:pPr>
            <w:r w:rsidRPr="00983219">
              <w:rPr>
                <w:rFonts w:cstheme="minorHAnsi"/>
                <w:color w:val="000000"/>
                <w:sz w:val="20"/>
                <w:szCs w:val="20"/>
              </w:rPr>
              <w:t>Terminated</w:t>
            </w:r>
          </w:p>
        </w:tc>
        <w:tc>
          <w:tcPr>
            <w:tcW w:w="2498" w:type="dxa"/>
            <w:shd w:val="clear" w:color="auto" w:fill="auto"/>
            <w:tcMar>
              <w:top w:w="15" w:type="dxa"/>
              <w:left w:w="15" w:type="dxa"/>
              <w:bottom w:w="0" w:type="dxa"/>
              <w:right w:w="15" w:type="dxa"/>
            </w:tcMar>
            <w:vAlign w:val="center"/>
            <w:hideMark/>
          </w:tcPr>
          <w:p w14:paraId="061430F7" w14:textId="77777777" w:rsidR="00097B3B" w:rsidRPr="00983219" w:rsidRDefault="00097B3B">
            <w:pPr>
              <w:rPr>
                <w:rFonts w:cstheme="minorHAnsi"/>
                <w:color w:val="000000"/>
                <w:sz w:val="20"/>
                <w:szCs w:val="20"/>
              </w:rPr>
            </w:pPr>
            <w:r w:rsidRPr="00983219">
              <w:rPr>
                <w:rFonts w:cstheme="minorHAnsi"/>
                <w:color w:val="000000"/>
                <w:sz w:val="20"/>
                <w:szCs w:val="20"/>
              </w:rPr>
              <w:t>Prostate Cancer</w:t>
            </w:r>
          </w:p>
        </w:tc>
        <w:tc>
          <w:tcPr>
            <w:tcW w:w="2264" w:type="dxa"/>
            <w:shd w:val="clear" w:color="auto" w:fill="auto"/>
            <w:tcMar>
              <w:top w:w="15" w:type="dxa"/>
              <w:left w:w="15" w:type="dxa"/>
              <w:bottom w:w="0" w:type="dxa"/>
              <w:right w:w="15" w:type="dxa"/>
            </w:tcMar>
            <w:vAlign w:val="center"/>
            <w:hideMark/>
          </w:tcPr>
          <w:p w14:paraId="4FA72E8C" w14:textId="77777777" w:rsidR="00097B3B" w:rsidRPr="00983219" w:rsidRDefault="00097B3B">
            <w:pPr>
              <w:rPr>
                <w:rFonts w:cstheme="minorHAnsi"/>
                <w:color w:val="000000"/>
                <w:sz w:val="20"/>
                <w:szCs w:val="20"/>
              </w:rPr>
            </w:pPr>
            <w:r w:rsidRPr="00983219">
              <w:rPr>
                <w:rFonts w:cstheme="minorHAnsi"/>
                <w:color w:val="000000"/>
                <w:sz w:val="20"/>
                <w:szCs w:val="20"/>
              </w:rPr>
              <w:t>University of California, San Francisco, San Francisco, California, United States</w:t>
            </w:r>
          </w:p>
        </w:tc>
        <w:tc>
          <w:tcPr>
            <w:tcW w:w="4417" w:type="dxa"/>
            <w:shd w:val="clear" w:color="auto" w:fill="auto"/>
            <w:tcMar>
              <w:top w:w="15" w:type="dxa"/>
              <w:left w:w="15" w:type="dxa"/>
              <w:bottom w:w="0" w:type="dxa"/>
              <w:right w:w="15" w:type="dxa"/>
            </w:tcMar>
            <w:vAlign w:val="center"/>
            <w:hideMark/>
          </w:tcPr>
          <w:p w14:paraId="5BB1A140" w14:textId="77777777" w:rsidR="00097B3B" w:rsidRPr="00983219" w:rsidRDefault="00955B21">
            <w:pPr>
              <w:rPr>
                <w:rFonts w:cstheme="minorHAnsi"/>
                <w:color w:val="0563C1"/>
                <w:sz w:val="20"/>
                <w:szCs w:val="20"/>
                <w:u w:val="single"/>
              </w:rPr>
            </w:pPr>
            <w:hyperlink r:id="rId52" w:history="1">
              <w:r w:rsidR="00097B3B" w:rsidRPr="00983219">
                <w:rPr>
                  <w:rStyle w:val="Hyperlink"/>
                  <w:rFonts w:cstheme="minorHAnsi"/>
                  <w:sz w:val="20"/>
                  <w:szCs w:val="20"/>
                </w:rPr>
                <w:t xml:space="preserve">https://ClinicalTrials.gov/show/NCT02911467 </w:t>
              </w:r>
            </w:hyperlink>
          </w:p>
        </w:tc>
      </w:tr>
      <w:tr w:rsidR="00097B3B" w:rsidRPr="00983219" w14:paraId="6F3C1D17" w14:textId="77777777" w:rsidTr="00202E51">
        <w:trPr>
          <w:cantSplit/>
          <w:trHeight w:val="20"/>
        </w:trPr>
        <w:tc>
          <w:tcPr>
            <w:tcW w:w="3524" w:type="dxa"/>
            <w:shd w:val="clear" w:color="auto" w:fill="auto"/>
            <w:tcMar>
              <w:top w:w="15" w:type="dxa"/>
              <w:left w:w="15" w:type="dxa"/>
              <w:bottom w:w="0" w:type="dxa"/>
              <w:right w:w="15" w:type="dxa"/>
            </w:tcMar>
            <w:vAlign w:val="center"/>
            <w:hideMark/>
          </w:tcPr>
          <w:p w14:paraId="0AF81B83" w14:textId="5F2735B9" w:rsidR="00097B3B" w:rsidRPr="00D75689" w:rsidRDefault="00097B3B">
            <w:pPr>
              <w:rPr>
                <w:rFonts w:cstheme="minorHAnsi"/>
                <w:color w:val="000000"/>
                <w:sz w:val="20"/>
                <w:szCs w:val="20"/>
                <w:highlight w:val="yellow"/>
              </w:rPr>
            </w:pPr>
            <w:r w:rsidRPr="000033BA">
              <w:rPr>
                <w:rFonts w:cstheme="minorHAnsi"/>
                <w:color w:val="000000"/>
                <w:sz w:val="20"/>
                <w:szCs w:val="20"/>
              </w:rPr>
              <w:t xml:space="preserve">MRI </w:t>
            </w:r>
            <w:r w:rsidR="00632EC0" w:rsidRPr="000033BA">
              <w:rPr>
                <w:rFonts w:cstheme="minorHAnsi"/>
                <w:color w:val="000000"/>
                <w:sz w:val="20"/>
                <w:szCs w:val="20"/>
              </w:rPr>
              <w:t xml:space="preserve">with </w:t>
            </w:r>
            <w:r w:rsidRPr="000033BA">
              <w:rPr>
                <w:rFonts w:cstheme="minorHAnsi"/>
                <w:color w:val="000000"/>
                <w:sz w:val="20"/>
                <w:szCs w:val="20"/>
              </w:rPr>
              <w:t>C13 Pilot Study Prostate Cancer</w:t>
            </w:r>
          </w:p>
        </w:tc>
        <w:tc>
          <w:tcPr>
            <w:tcW w:w="1241" w:type="dxa"/>
            <w:shd w:val="clear" w:color="auto" w:fill="auto"/>
            <w:tcMar>
              <w:top w:w="15" w:type="dxa"/>
              <w:left w:w="15" w:type="dxa"/>
              <w:bottom w:w="0" w:type="dxa"/>
              <w:right w:w="15" w:type="dxa"/>
            </w:tcMar>
            <w:vAlign w:val="center"/>
            <w:hideMark/>
          </w:tcPr>
          <w:p w14:paraId="6B441620" w14:textId="77777777" w:rsidR="00097B3B" w:rsidRPr="00983219" w:rsidRDefault="00097B3B">
            <w:pPr>
              <w:rPr>
                <w:rFonts w:cstheme="minorHAnsi"/>
                <w:color w:val="000000"/>
                <w:sz w:val="20"/>
                <w:szCs w:val="20"/>
              </w:rPr>
            </w:pPr>
            <w:r w:rsidRPr="00983219">
              <w:rPr>
                <w:rFonts w:cstheme="minorHAnsi"/>
                <w:color w:val="000000"/>
                <w:sz w:val="20"/>
                <w:szCs w:val="20"/>
              </w:rPr>
              <w:t>Terminated</w:t>
            </w:r>
          </w:p>
        </w:tc>
        <w:tc>
          <w:tcPr>
            <w:tcW w:w="2498" w:type="dxa"/>
            <w:shd w:val="clear" w:color="auto" w:fill="auto"/>
            <w:tcMar>
              <w:top w:w="15" w:type="dxa"/>
              <w:left w:w="15" w:type="dxa"/>
              <w:bottom w:w="0" w:type="dxa"/>
              <w:right w:w="15" w:type="dxa"/>
            </w:tcMar>
            <w:vAlign w:val="center"/>
            <w:hideMark/>
          </w:tcPr>
          <w:p w14:paraId="2E11C9E7" w14:textId="77777777" w:rsidR="00097B3B" w:rsidRPr="00983219" w:rsidRDefault="00097B3B">
            <w:pPr>
              <w:rPr>
                <w:rFonts w:cstheme="minorHAnsi"/>
                <w:color w:val="000000"/>
                <w:sz w:val="20"/>
                <w:szCs w:val="20"/>
              </w:rPr>
            </w:pPr>
            <w:r w:rsidRPr="00983219">
              <w:rPr>
                <w:rFonts w:cstheme="minorHAnsi"/>
                <w:color w:val="000000"/>
                <w:sz w:val="20"/>
                <w:szCs w:val="20"/>
              </w:rPr>
              <w:t>Prostate Cancer</w:t>
            </w:r>
          </w:p>
        </w:tc>
        <w:tc>
          <w:tcPr>
            <w:tcW w:w="2264" w:type="dxa"/>
            <w:shd w:val="clear" w:color="auto" w:fill="auto"/>
            <w:tcMar>
              <w:top w:w="15" w:type="dxa"/>
              <w:left w:w="15" w:type="dxa"/>
              <w:bottom w:w="0" w:type="dxa"/>
              <w:right w:w="15" w:type="dxa"/>
            </w:tcMar>
            <w:vAlign w:val="center"/>
            <w:hideMark/>
          </w:tcPr>
          <w:p w14:paraId="7B7B7B8E" w14:textId="77777777" w:rsidR="00097B3B" w:rsidRPr="00983219" w:rsidRDefault="00097B3B">
            <w:pPr>
              <w:rPr>
                <w:rFonts w:cstheme="minorHAnsi"/>
                <w:color w:val="000000"/>
                <w:sz w:val="20"/>
                <w:szCs w:val="20"/>
              </w:rPr>
            </w:pPr>
            <w:r w:rsidRPr="00983219">
              <w:rPr>
                <w:rFonts w:cstheme="minorHAnsi"/>
                <w:color w:val="000000"/>
                <w:sz w:val="20"/>
                <w:szCs w:val="20"/>
              </w:rPr>
              <w:t>University of California, San Francisco, San Francisco, California, United States</w:t>
            </w:r>
          </w:p>
        </w:tc>
        <w:tc>
          <w:tcPr>
            <w:tcW w:w="4417" w:type="dxa"/>
            <w:shd w:val="clear" w:color="auto" w:fill="auto"/>
            <w:tcMar>
              <w:top w:w="15" w:type="dxa"/>
              <w:left w:w="15" w:type="dxa"/>
              <w:bottom w:w="0" w:type="dxa"/>
              <w:right w:w="15" w:type="dxa"/>
            </w:tcMar>
            <w:vAlign w:val="center"/>
            <w:hideMark/>
          </w:tcPr>
          <w:p w14:paraId="4B3FF238" w14:textId="77777777" w:rsidR="00097B3B" w:rsidRPr="00983219" w:rsidRDefault="00955B21">
            <w:pPr>
              <w:rPr>
                <w:rFonts w:cstheme="minorHAnsi"/>
                <w:color w:val="0563C1"/>
                <w:sz w:val="20"/>
                <w:szCs w:val="20"/>
                <w:u w:val="single"/>
              </w:rPr>
            </w:pPr>
            <w:hyperlink r:id="rId53" w:history="1">
              <w:r w:rsidR="00097B3B" w:rsidRPr="00983219">
                <w:rPr>
                  <w:rStyle w:val="Hyperlink"/>
                  <w:rFonts w:cstheme="minorHAnsi"/>
                  <w:sz w:val="20"/>
                  <w:szCs w:val="20"/>
                </w:rPr>
                <w:t xml:space="preserve">https://ClinicalTrials.gov/show/NCT02450201 </w:t>
              </w:r>
            </w:hyperlink>
          </w:p>
        </w:tc>
      </w:tr>
      <w:tr w:rsidR="00097B3B" w:rsidRPr="00983219" w14:paraId="69C62DA4" w14:textId="77777777" w:rsidTr="00202E51">
        <w:trPr>
          <w:cantSplit/>
          <w:trHeight w:val="20"/>
        </w:trPr>
        <w:tc>
          <w:tcPr>
            <w:tcW w:w="3524" w:type="dxa"/>
            <w:shd w:val="clear" w:color="auto" w:fill="auto"/>
            <w:tcMar>
              <w:top w:w="15" w:type="dxa"/>
              <w:left w:w="15" w:type="dxa"/>
              <w:bottom w:w="0" w:type="dxa"/>
              <w:right w:w="15" w:type="dxa"/>
            </w:tcMar>
            <w:vAlign w:val="center"/>
            <w:hideMark/>
          </w:tcPr>
          <w:p w14:paraId="37B0329B" w14:textId="7E44DC96" w:rsidR="00097B3B" w:rsidRPr="00983219" w:rsidRDefault="00097B3B">
            <w:pPr>
              <w:rPr>
                <w:rFonts w:cstheme="minorHAnsi"/>
                <w:color w:val="000000"/>
                <w:sz w:val="20"/>
                <w:szCs w:val="20"/>
              </w:rPr>
            </w:pPr>
            <w:r w:rsidRPr="00983219">
              <w:rPr>
                <w:rFonts w:cstheme="minorHAnsi"/>
                <w:color w:val="000000"/>
                <w:sz w:val="20"/>
                <w:szCs w:val="20"/>
              </w:rPr>
              <w:t>Hyperpolarized</w:t>
            </w:r>
            <w:r w:rsidRPr="00983219">
              <w:rPr>
                <w:rFonts w:cstheme="minorHAnsi"/>
                <w:color w:val="1A3D85"/>
                <w:sz w:val="20"/>
                <w:szCs w:val="20"/>
              </w:rPr>
              <w:t> </w:t>
            </w:r>
            <w:r w:rsidRPr="00983219">
              <w:rPr>
                <w:rFonts w:cstheme="minorHAnsi"/>
                <w:color w:val="000000"/>
                <w:sz w:val="20"/>
                <w:szCs w:val="20"/>
              </w:rPr>
              <w:t>Carbon-13 (13C) Pyruvate Imaging</w:t>
            </w:r>
            <w:r w:rsidRPr="00983219">
              <w:rPr>
                <w:rFonts w:cstheme="minorHAnsi"/>
                <w:color w:val="1A3D85"/>
                <w:sz w:val="20"/>
                <w:szCs w:val="20"/>
              </w:rPr>
              <w:t> </w:t>
            </w:r>
            <w:r w:rsidRPr="00983219">
              <w:rPr>
                <w:rFonts w:cstheme="minorHAnsi"/>
                <w:color w:val="000000"/>
                <w:sz w:val="20"/>
                <w:szCs w:val="20"/>
              </w:rPr>
              <w:t xml:space="preserve">in Patients </w:t>
            </w:r>
            <w:r w:rsidR="0056014F" w:rsidRPr="00983219">
              <w:rPr>
                <w:rFonts w:cstheme="minorHAnsi"/>
                <w:color w:val="000000"/>
                <w:sz w:val="20"/>
                <w:szCs w:val="20"/>
              </w:rPr>
              <w:t>with</w:t>
            </w:r>
            <w:r w:rsidRPr="00983219">
              <w:rPr>
                <w:rFonts w:cstheme="minorHAnsi"/>
                <w:color w:val="000000"/>
                <w:sz w:val="20"/>
                <w:szCs w:val="20"/>
              </w:rPr>
              <w:t xml:space="preserve"> Glioblastoma</w:t>
            </w:r>
          </w:p>
        </w:tc>
        <w:tc>
          <w:tcPr>
            <w:tcW w:w="1241" w:type="dxa"/>
            <w:shd w:val="clear" w:color="auto" w:fill="auto"/>
            <w:tcMar>
              <w:top w:w="15" w:type="dxa"/>
              <w:left w:w="15" w:type="dxa"/>
              <w:bottom w:w="0" w:type="dxa"/>
              <w:right w:w="15" w:type="dxa"/>
            </w:tcMar>
            <w:vAlign w:val="center"/>
            <w:hideMark/>
          </w:tcPr>
          <w:p w14:paraId="7D923B86" w14:textId="60A587E1" w:rsidR="00097B3B" w:rsidRPr="00D75689" w:rsidRDefault="000033BA">
            <w:pPr>
              <w:rPr>
                <w:rFonts w:cstheme="minorHAnsi"/>
                <w:sz w:val="20"/>
                <w:szCs w:val="20"/>
              </w:rPr>
            </w:pPr>
            <w:r w:rsidRPr="00D75689">
              <w:rPr>
                <w:rFonts w:cstheme="minorHAnsi"/>
                <w:sz w:val="20"/>
                <w:szCs w:val="20"/>
              </w:rPr>
              <w:t xml:space="preserve">Active, No </w:t>
            </w:r>
            <w:r w:rsidR="00097B3B" w:rsidRPr="00D75689">
              <w:rPr>
                <w:rFonts w:cstheme="minorHAnsi"/>
                <w:sz w:val="20"/>
                <w:szCs w:val="20"/>
              </w:rPr>
              <w:t>Recruiting</w:t>
            </w:r>
          </w:p>
        </w:tc>
        <w:tc>
          <w:tcPr>
            <w:tcW w:w="2498" w:type="dxa"/>
            <w:shd w:val="clear" w:color="auto" w:fill="auto"/>
            <w:tcMar>
              <w:top w:w="15" w:type="dxa"/>
              <w:left w:w="15" w:type="dxa"/>
              <w:bottom w:w="0" w:type="dxa"/>
              <w:right w:w="15" w:type="dxa"/>
            </w:tcMar>
            <w:vAlign w:val="center"/>
            <w:hideMark/>
          </w:tcPr>
          <w:p w14:paraId="6E026E00" w14:textId="77777777" w:rsidR="00097B3B" w:rsidRPr="00983219" w:rsidRDefault="00097B3B">
            <w:pPr>
              <w:rPr>
                <w:rFonts w:cstheme="minorHAnsi"/>
                <w:color w:val="000000"/>
                <w:sz w:val="20"/>
                <w:szCs w:val="20"/>
              </w:rPr>
            </w:pPr>
            <w:r w:rsidRPr="00983219">
              <w:rPr>
                <w:rFonts w:cstheme="minorHAnsi"/>
                <w:color w:val="000000"/>
                <w:sz w:val="20"/>
                <w:szCs w:val="20"/>
              </w:rPr>
              <w:t>Glioblastoma Multiforme (GBM)</w:t>
            </w:r>
          </w:p>
        </w:tc>
        <w:tc>
          <w:tcPr>
            <w:tcW w:w="2264" w:type="dxa"/>
            <w:shd w:val="clear" w:color="auto" w:fill="auto"/>
            <w:tcMar>
              <w:top w:w="15" w:type="dxa"/>
              <w:left w:w="15" w:type="dxa"/>
              <w:bottom w:w="0" w:type="dxa"/>
              <w:right w:w="15" w:type="dxa"/>
            </w:tcMar>
            <w:vAlign w:val="center"/>
            <w:hideMark/>
          </w:tcPr>
          <w:p w14:paraId="6E42EC9C" w14:textId="77777777" w:rsidR="00097B3B" w:rsidRPr="00983219" w:rsidRDefault="00097B3B">
            <w:pPr>
              <w:rPr>
                <w:rFonts w:cstheme="minorHAnsi"/>
                <w:color w:val="000000"/>
                <w:sz w:val="20"/>
                <w:szCs w:val="20"/>
              </w:rPr>
            </w:pPr>
            <w:r w:rsidRPr="00983219">
              <w:rPr>
                <w:rFonts w:cstheme="minorHAnsi"/>
                <w:color w:val="000000"/>
                <w:sz w:val="20"/>
                <w:szCs w:val="20"/>
              </w:rPr>
              <w:t>University of California, San Francisco, San Francisco, California, United States</w:t>
            </w:r>
          </w:p>
        </w:tc>
        <w:tc>
          <w:tcPr>
            <w:tcW w:w="4417" w:type="dxa"/>
            <w:shd w:val="clear" w:color="auto" w:fill="auto"/>
            <w:tcMar>
              <w:top w:w="15" w:type="dxa"/>
              <w:left w:w="15" w:type="dxa"/>
              <w:bottom w:w="0" w:type="dxa"/>
              <w:right w:w="15" w:type="dxa"/>
            </w:tcMar>
            <w:vAlign w:val="center"/>
            <w:hideMark/>
          </w:tcPr>
          <w:p w14:paraId="187C0B32" w14:textId="77777777" w:rsidR="00097B3B" w:rsidRPr="00983219" w:rsidRDefault="00955B21">
            <w:pPr>
              <w:rPr>
                <w:rFonts w:cstheme="minorHAnsi"/>
                <w:color w:val="0563C1"/>
                <w:sz w:val="20"/>
                <w:szCs w:val="20"/>
                <w:u w:val="single"/>
              </w:rPr>
            </w:pPr>
            <w:hyperlink r:id="rId54" w:history="1">
              <w:r w:rsidR="00097B3B" w:rsidRPr="00983219">
                <w:rPr>
                  <w:rStyle w:val="Hyperlink"/>
                  <w:rFonts w:cstheme="minorHAnsi"/>
                  <w:sz w:val="20"/>
                  <w:szCs w:val="20"/>
                </w:rPr>
                <w:t>https://clinicaltrials.gov/ct2/show/NCT04019002</w:t>
              </w:r>
            </w:hyperlink>
          </w:p>
        </w:tc>
      </w:tr>
      <w:tr w:rsidR="00097B3B" w:rsidRPr="00983219" w14:paraId="333BCA90" w14:textId="77777777" w:rsidTr="00202E51">
        <w:trPr>
          <w:cantSplit/>
          <w:trHeight w:val="20"/>
        </w:trPr>
        <w:tc>
          <w:tcPr>
            <w:tcW w:w="3524" w:type="dxa"/>
            <w:shd w:val="clear" w:color="auto" w:fill="auto"/>
            <w:tcMar>
              <w:top w:w="15" w:type="dxa"/>
              <w:left w:w="15" w:type="dxa"/>
              <w:bottom w:w="0" w:type="dxa"/>
              <w:right w:w="15" w:type="dxa"/>
            </w:tcMar>
            <w:vAlign w:val="center"/>
            <w:hideMark/>
          </w:tcPr>
          <w:p w14:paraId="72D1DA6C" w14:textId="32CF534A" w:rsidR="00097B3B" w:rsidRPr="00983219" w:rsidRDefault="00097B3B">
            <w:pPr>
              <w:rPr>
                <w:rFonts w:cstheme="minorHAnsi"/>
                <w:color w:val="000000"/>
                <w:sz w:val="20"/>
                <w:szCs w:val="20"/>
              </w:rPr>
            </w:pPr>
            <w:r w:rsidRPr="00983219">
              <w:rPr>
                <w:rFonts w:cstheme="minorHAnsi"/>
                <w:color w:val="000000"/>
                <w:sz w:val="20"/>
                <w:szCs w:val="20"/>
              </w:rPr>
              <w:lastRenderedPageBreak/>
              <w:t>Hyperpolarized Pyruvate (13C) MR</w:t>
            </w:r>
            <w:r w:rsidRPr="00983219">
              <w:rPr>
                <w:rFonts w:cstheme="minorHAnsi"/>
                <w:color w:val="1A3D85"/>
                <w:sz w:val="20"/>
                <w:szCs w:val="20"/>
              </w:rPr>
              <w:t> </w:t>
            </w:r>
            <w:r w:rsidRPr="00983219">
              <w:rPr>
                <w:rFonts w:cstheme="minorHAnsi"/>
                <w:color w:val="000000"/>
                <w:sz w:val="20"/>
                <w:szCs w:val="20"/>
              </w:rPr>
              <w:t xml:space="preserve">Imaging in Monitoring Patients </w:t>
            </w:r>
            <w:r w:rsidR="0056014F" w:rsidRPr="00983219">
              <w:rPr>
                <w:rFonts w:cstheme="minorHAnsi"/>
                <w:color w:val="000000"/>
                <w:sz w:val="20"/>
                <w:szCs w:val="20"/>
              </w:rPr>
              <w:t>with</w:t>
            </w:r>
            <w:r w:rsidRPr="00983219">
              <w:rPr>
                <w:rFonts w:cstheme="minorHAnsi"/>
                <w:color w:val="000000"/>
                <w:sz w:val="20"/>
                <w:szCs w:val="20"/>
              </w:rPr>
              <w:t xml:space="preserve"> Prostate Cancer on Active Surveillance</w:t>
            </w:r>
          </w:p>
        </w:tc>
        <w:tc>
          <w:tcPr>
            <w:tcW w:w="1241" w:type="dxa"/>
            <w:shd w:val="clear" w:color="auto" w:fill="auto"/>
            <w:tcMar>
              <w:top w:w="15" w:type="dxa"/>
              <w:left w:w="15" w:type="dxa"/>
              <w:bottom w:w="0" w:type="dxa"/>
              <w:right w:w="15" w:type="dxa"/>
            </w:tcMar>
            <w:vAlign w:val="center"/>
            <w:hideMark/>
          </w:tcPr>
          <w:p w14:paraId="77B54603" w14:textId="77777777" w:rsidR="00097B3B" w:rsidRPr="00983219" w:rsidRDefault="00097B3B">
            <w:pPr>
              <w:rPr>
                <w:rFonts w:cstheme="minorHAnsi"/>
                <w:color w:val="000000"/>
                <w:sz w:val="20"/>
                <w:szCs w:val="20"/>
              </w:rPr>
            </w:pPr>
            <w:r w:rsidRPr="00983219">
              <w:rPr>
                <w:rFonts w:cstheme="minorHAnsi"/>
                <w:color w:val="000000"/>
                <w:sz w:val="20"/>
                <w:szCs w:val="20"/>
              </w:rPr>
              <w:t>Recruiting</w:t>
            </w:r>
          </w:p>
        </w:tc>
        <w:tc>
          <w:tcPr>
            <w:tcW w:w="2498" w:type="dxa"/>
            <w:shd w:val="clear" w:color="auto" w:fill="auto"/>
            <w:tcMar>
              <w:top w:w="15" w:type="dxa"/>
              <w:left w:w="15" w:type="dxa"/>
              <w:bottom w:w="0" w:type="dxa"/>
              <w:right w:w="15" w:type="dxa"/>
            </w:tcMar>
            <w:vAlign w:val="center"/>
            <w:hideMark/>
          </w:tcPr>
          <w:p w14:paraId="004BC6C6" w14:textId="77777777" w:rsidR="00097B3B" w:rsidRPr="00983219" w:rsidRDefault="00097B3B">
            <w:pPr>
              <w:rPr>
                <w:rFonts w:cstheme="minorHAnsi"/>
                <w:color w:val="000000"/>
                <w:sz w:val="20"/>
                <w:szCs w:val="20"/>
              </w:rPr>
            </w:pPr>
            <w:r w:rsidRPr="00983219">
              <w:rPr>
                <w:rFonts w:cstheme="minorHAnsi"/>
                <w:color w:val="000000"/>
                <w:sz w:val="20"/>
                <w:szCs w:val="20"/>
              </w:rPr>
              <w:t>Prostate Adenocarcinoma</w:t>
            </w:r>
          </w:p>
        </w:tc>
        <w:tc>
          <w:tcPr>
            <w:tcW w:w="2264" w:type="dxa"/>
            <w:shd w:val="clear" w:color="auto" w:fill="auto"/>
            <w:tcMar>
              <w:top w:w="15" w:type="dxa"/>
              <w:left w:w="15" w:type="dxa"/>
              <w:bottom w:w="0" w:type="dxa"/>
              <w:right w:w="15" w:type="dxa"/>
            </w:tcMar>
            <w:vAlign w:val="center"/>
            <w:hideMark/>
          </w:tcPr>
          <w:p w14:paraId="761539C5" w14:textId="77777777" w:rsidR="00097B3B" w:rsidRPr="00983219" w:rsidRDefault="00097B3B">
            <w:pPr>
              <w:rPr>
                <w:rFonts w:cstheme="minorHAnsi"/>
                <w:color w:val="000000"/>
                <w:sz w:val="20"/>
                <w:szCs w:val="20"/>
              </w:rPr>
            </w:pPr>
            <w:r w:rsidRPr="00983219">
              <w:rPr>
                <w:rFonts w:cstheme="minorHAnsi"/>
                <w:color w:val="000000"/>
                <w:sz w:val="20"/>
                <w:szCs w:val="20"/>
              </w:rPr>
              <w:t>University of California, San Francisco, San Francisco, California, United States</w:t>
            </w:r>
          </w:p>
        </w:tc>
        <w:tc>
          <w:tcPr>
            <w:tcW w:w="4417" w:type="dxa"/>
            <w:shd w:val="clear" w:color="auto" w:fill="auto"/>
            <w:tcMar>
              <w:top w:w="15" w:type="dxa"/>
              <w:left w:w="15" w:type="dxa"/>
              <w:bottom w:w="0" w:type="dxa"/>
              <w:right w:w="15" w:type="dxa"/>
            </w:tcMar>
            <w:vAlign w:val="center"/>
            <w:hideMark/>
          </w:tcPr>
          <w:p w14:paraId="27564257" w14:textId="77777777" w:rsidR="00097B3B" w:rsidRPr="00983219" w:rsidRDefault="00955B21">
            <w:pPr>
              <w:rPr>
                <w:rFonts w:cstheme="minorHAnsi"/>
                <w:color w:val="0563C1"/>
                <w:sz w:val="20"/>
                <w:szCs w:val="20"/>
                <w:u w:val="single"/>
              </w:rPr>
            </w:pPr>
            <w:hyperlink r:id="rId55" w:history="1">
              <w:r w:rsidR="00097B3B" w:rsidRPr="00983219">
                <w:rPr>
                  <w:rStyle w:val="Hyperlink"/>
                  <w:rFonts w:cstheme="minorHAnsi"/>
                  <w:sz w:val="20"/>
                  <w:szCs w:val="20"/>
                </w:rPr>
                <w:t>https://clinicaltrials.gov/ct2/show/NCT03933670</w:t>
              </w:r>
            </w:hyperlink>
          </w:p>
        </w:tc>
      </w:tr>
      <w:tr w:rsidR="00097B3B" w:rsidRPr="00983219" w14:paraId="0C652175" w14:textId="77777777" w:rsidTr="005F6CE7">
        <w:trPr>
          <w:cantSplit/>
          <w:trHeight w:val="20"/>
        </w:trPr>
        <w:tc>
          <w:tcPr>
            <w:tcW w:w="3524" w:type="dxa"/>
            <w:tcMar>
              <w:top w:w="15" w:type="dxa"/>
              <w:left w:w="15" w:type="dxa"/>
              <w:bottom w:w="0" w:type="dxa"/>
              <w:right w:w="15" w:type="dxa"/>
            </w:tcMar>
            <w:vAlign w:val="center"/>
            <w:hideMark/>
          </w:tcPr>
          <w:p w14:paraId="17D6D0AE" w14:textId="56BB0DD5" w:rsidR="00097B3B" w:rsidRPr="00983219" w:rsidRDefault="00097B3B">
            <w:pPr>
              <w:rPr>
                <w:rFonts w:cstheme="minorHAnsi"/>
                <w:color w:val="000000"/>
                <w:sz w:val="20"/>
                <w:szCs w:val="20"/>
              </w:rPr>
            </w:pPr>
            <w:r w:rsidRPr="00983219">
              <w:rPr>
                <w:rFonts w:cstheme="minorHAnsi"/>
                <w:color w:val="000000"/>
                <w:sz w:val="20"/>
                <w:szCs w:val="20"/>
              </w:rPr>
              <w:t>Hyperpolarized</w:t>
            </w:r>
            <w:r w:rsidRPr="00983219">
              <w:rPr>
                <w:rFonts w:cstheme="minorHAnsi"/>
                <w:color w:val="1A3D85"/>
                <w:sz w:val="20"/>
                <w:szCs w:val="20"/>
              </w:rPr>
              <w:t> </w:t>
            </w:r>
            <w:r w:rsidRPr="00983219">
              <w:rPr>
                <w:rFonts w:cstheme="minorHAnsi"/>
                <w:color w:val="000000"/>
                <w:sz w:val="20"/>
                <w:szCs w:val="20"/>
              </w:rPr>
              <w:t>Imaging</w:t>
            </w:r>
            <w:r w:rsidRPr="00983219">
              <w:rPr>
                <w:rFonts w:cstheme="minorHAnsi"/>
                <w:color w:val="1A3D85"/>
                <w:sz w:val="20"/>
                <w:szCs w:val="20"/>
              </w:rPr>
              <w:t> </w:t>
            </w:r>
            <w:r w:rsidRPr="00983219">
              <w:rPr>
                <w:rFonts w:cstheme="minorHAnsi"/>
                <w:color w:val="000000"/>
                <w:sz w:val="20"/>
                <w:szCs w:val="20"/>
              </w:rPr>
              <w:t xml:space="preserve">in Diagnosing Participants </w:t>
            </w:r>
            <w:r w:rsidR="0056014F" w:rsidRPr="00983219">
              <w:rPr>
                <w:rFonts w:cstheme="minorHAnsi"/>
                <w:color w:val="000000"/>
                <w:sz w:val="20"/>
                <w:szCs w:val="20"/>
              </w:rPr>
              <w:t>with</w:t>
            </w:r>
            <w:r w:rsidRPr="00983219">
              <w:rPr>
                <w:rFonts w:cstheme="minorHAnsi"/>
                <w:color w:val="000000"/>
                <w:sz w:val="20"/>
                <w:szCs w:val="20"/>
              </w:rPr>
              <w:t xml:space="preserve"> Glioma</w:t>
            </w:r>
          </w:p>
        </w:tc>
        <w:tc>
          <w:tcPr>
            <w:tcW w:w="1241" w:type="dxa"/>
            <w:tcMar>
              <w:top w:w="15" w:type="dxa"/>
              <w:left w:w="15" w:type="dxa"/>
              <w:bottom w:w="0" w:type="dxa"/>
              <w:right w:w="15" w:type="dxa"/>
            </w:tcMar>
            <w:vAlign w:val="center"/>
            <w:hideMark/>
          </w:tcPr>
          <w:p w14:paraId="271058F0" w14:textId="77777777" w:rsidR="00097B3B" w:rsidRPr="00983219" w:rsidRDefault="00097B3B">
            <w:pPr>
              <w:rPr>
                <w:rFonts w:cstheme="minorHAnsi"/>
                <w:color w:val="000000"/>
                <w:sz w:val="20"/>
                <w:szCs w:val="20"/>
              </w:rPr>
            </w:pPr>
            <w:r w:rsidRPr="00983219">
              <w:rPr>
                <w:rFonts w:cstheme="minorHAnsi"/>
                <w:color w:val="000000"/>
                <w:sz w:val="20"/>
                <w:szCs w:val="20"/>
              </w:rPr>
              <w:t xml:space="preserve">Recruiting </w:t>
            </w:r>
          </w:p>
        </w:tc>
        <w:tc>
          <w:tcPr>
            <w:tcW w:w="2498" w:type="dxa"/>
            <w:tcMar>
              <w:top w:w="15" w:type="dxa"/>
              <w:left w:w="15" w:type="dxa"/>
              <w:bottom w:w="0" w:type="dxa"/>
              <w:right w:w="15" w:type="dxa"/>
            </w:tcMar>
            <w:vAlign w:val="center"/>
            <w:hideMark/>
          </w:tcPr>
          <w:p w14:paraId="3930ABBB" w14:textId="77777777" w:rsidR="00097B3B" w:rsidRPr="00983219" w:rsidRDefault="00097B3B">
            <w:pPr>
              <w:rPr>
                <w:rFonts w:cstheme="minorHAnsi"/>
                <w:color w:val="000000"/>
                <w:sz w:val="20"/>
                <w:szCs w:val="20"/>
              </w:rPr>
            </w:pPr>
            <w:r w:rsidRPr="00983219">
              <w:rPr>
                <w:rFonts w:cstheme="minorHAnsi"/>
                <w:color w:val="000000"/>
                <w:sz w:val="20"/>
                <w:szCs w:val="20"/>
              </w:rPr>
              <w:t>Glioma</w:t>
            </w:r>
          </w:p>
        </w:tc>
        <w:tc>
          <w:tcPr>
            <w:tcW w:w="2264" w:type="dxa"/>
            <w:tcMar>
              <w:top w:w="15" w:type="dxa"/>
              <w:left w:w="15" w:type="dxa"/>
              <w:bottom w:w="0" w:type="dxa"/>
              <w:right w:w="15" w:type="dxa"/>
            </w:tcMar>
            <w:vAlign w:val="center"/>
            <w:hideMark/>
          </w:tcPr>
          <w:p w14:paraId="1B38F5C9" w14:textId="77777777" w:rsidR="00097B3B" w:rsidRPr="00983219" w:rsidRDefault="00097B3B">
            <w:pPr>
              <w:rPr>
                <w:rFonts w:cstheme="minorHAnsi"/>
                <w:color w:val="000000"/>
                <w:sz w:val="20"/>
                <w:szCs w:val="20"/>
              </w:rPr>
            </w:pPr>
            <w:r w:rsidRPr="00983219">
              <w:rPr>
                <w:rFonts w:cstheme="minorHAnsi"/>
                <w:color w:val="000000"/>
                <w:sz w:val="20"/>
                <w:szCs w:val="20"/>
              </w:rPr>
              <w:t>University of California, San Francisco, San Francisco, California, United States</w:t>
            </w:r>
          </w:p>
        </w:tc>
        <w:tc>
          <w:tcPr>
            <w:tcW w:w="4417" w:type="dxa"/>
            <w:tcMar>
              <w:top w:w="15" w:type="dxa"/>
              <w:left w:w="15" w:type="dxa"/>
              <w:bottom w:w="0" w:type="dxa"/>
              <w:right w:w="15" w:type="dxa"/>
            </w:tcMar>
            <w:vAlign w:val="center"/>
            <w:hideMark/>
          </w:tcPr>
          <w:p w14:paraId="7339D31E" w14:textId="77777777" w:rsidR="00097B3B" w:rsidRPr="00983219" w:rsidRDefault="00955B21">
            <w:pPr>
              <w:rPr>
                <w:rFonts w:cstheme="minorHAnsi"/>
                <w:color w:val="0563C1"/>
                <w:sz w:val="20"/>
                <w:szCs w:val="20"/>
                <w:u w:val="single"/>
              </w:rPr>
            </w:pPr>
            <w:hyperlink r:id="rId56" w:history="1">
              <w:r w:rsidR="00097B3B" w:rsidRPr="00983219">
                <w:rPr>
                  <w:rStyle w:val="Hyperlink"/>
                  <w:rFonts w:cstheme="minorHAnsi"/>
                  <w:sz w:val="20"/>
                  <w:szCs w:val="20"/>
                </w:rPr>
                <w:t>https://clinicaltrials.gov/ct2/show/NCT03739411</w:t>
              </w:r>
            </w:hyperlink>
          </w:p>
        </w:tc>
      </w:tr>
      <w:tr w:rsidR="0087772C" w:rsidRPr="00983219" w14:paraId="1FCB11DC" w14:textId="77777777" w:rsidTr="005F6CE7">
        <w:trPr>
          <w:cantSplit/>
          <w:trHeight w:val="20"/>
        </w:trPr>
        <w:tc>
          <w:tcPr>
            <w:tcW w:w="3524" w:type="dxa"/>
            <w:tcMar>
              <w:top w:w="15" w:type="dxa"/>
              <w:left w:w="15" w:type="dxa"/>
              <w:bottom w:w="0" w:type="dxa"/>
              <w:right w:w="15" w:type="dxa"/>
            </w:tcMar>
            <w:vAlign w:val="center"/>
          </w:tcPr>
          <w:p w14:paraId="4EB20465" w14:textId="38FE8F48" w:rsidR="0087772C" w:rsidRPr="00983219" w:rsidRDefault="0087772C" w:rsidP="0087772C">
            <w:pPr>
              <w:rPr>
                <w:rFonts w:cstheme="minorHAnsi"/>
                <w:color w:val="000000"/>
                <w:sz w:val="20"/>
                <w:szCs w:val="20"/>
              </w:rPr>
            </w:pPr>
            <w:r w:rsidRPr="00983219">
              <w:rPr>
                <w:rFonts w:cstheme="minorHAnsi"/>
                <w:sz w:val="20"/>
                <w:szCs w:val="20"/>
                <w:shd w:val="clear" w:color="auto" w:fill="FFFFFF"/>
              </w:rPr>
              <w:t>Hyperpolarized 13C Pyruvate as a Biomarker in Advanced Solid Tumors</w:t>
            </w:r>
          </w:p>
        </w:tc>
        <w:tc>
          <w:tcPr>
            <w:tcW w:w="1241" w:type="dxa"/>
            <w:tcMar>
              <w:top w:w="15" w:type="dxa"/>
              <w:left w:w="15" w:type="dxa"/>
              <w:bottom w:w="0" w:type="dxa"/>
              <w:right w:w="15" w:type="dxa"/>
            </w:tcMar>
            <w:vAlign w:val="center"/>
          </w:tcPr>
          <w:p w14:paraId="1E5F6598" w14:textId="18CB7DF9" w:rsidR="0087772C" w:rsidRPr="00983219" w:rsidRDefault="0087772C" w:rsidP="0087772C">
            <w:pPr>
              <w:rPr>
                <w:rFonts w:cstheme="minorHAnsi"/>
                <w:color w:val="000000"/>
                <w:sz w:val="20"/>
                <w:szCs w:val="20"/>
              </w:rPr>
            </w:pPr>
            <w:r w:rsidRPr="00983219">
              <w:rPr>
                <w:rFonts w:cstheme="minorHAnsi"/>
                <w:color w:val="000000"/>
                <w:sz w:val="20"/>
                <w:szCs w:val="20"/>
              </w:rPr>
              <w:t>Recruiting</w:t>
            </w:r>
          </w:p>
        </w:tc>
        <w:tc>
          <w:tcPr>
            <w:tcW w:w="2498" w:type="dxa"/>
            <w:tcMar>
              <w:top w:w="15" w:type="dxa"/>
              <w:left w:w="15" w:type="dxa"/>
              <w:bottom w:w="0" w:type="dxa"/>
              <w:right w:w="15" w:type="dxa"/>
            </w:tcMar>
            <w:vAlign w:val="center"/>
          </w:tcPr>
          <w:p w14:paraId="51AC7181" w14:textId="77777777" w:rsidR="0087772C" w:rsidRPr="00983219" w:rsidRDefault="0087772C" w:rsidP="0087772C">
            <w:pPr>
              <w:spacing w:line="360" w:lineRule="atLeast"/>
              <w:rPr>
                <w:rFonts w:cstheme="minorHAnsi"/>
                <w:color w:val="1B1B1B"/>
                <w:sz w:val="20"/>
                <w:szCs w:val="20"/>
              </w:rPr>
            </w:pPr>
            <w:r w:rsidRPr="00983219">
              <w:rPr>
                <w:rFonts w:cstheme="minorHAnsi"/>
                <w:color w:val="1B1B1B"/>
                <w:sz w:val="20"/>
                <w:szCs w:val="20"/>
              </w:rPr>
              <w:t>Advanced Solid Tumor</w:t>
            </w:r>
          </w:p>
          <w:p w14:paraId="4CC935F6" w14:textId="77777777" w:rsidR="0087772C" w:rsidRPr="00983219" w:rsidRDefault="0087772C" w:rsidP="0087772C">
            <w:pPr>
              <w:rPr>
                <w:rFonts w:cstheme="minorHAnsi"/>
                <w:color w:val="000000"/>
                <w:sz w:val="20"/>
                <w:szCs w:val="20"/>
              </w:rPr>
            </w:pPr>
          </w:p>
        </w:tc>
        <w:tc>
          <w:tcPr>
            <w:tcW w:w="2264" w:type="dxa"/>
            <w:tcMar>
              <w:top w:w="15" w:type="dxa"/>
              <w:left w:w="15" w:type="dxa"/>
              <w:bottom w:w="0" w:type="dxa"/>
              <w:right w:w="15" w:type="dxa"/>
            </w:tcMar>
            <w:vAlign w:val="center"/>
          </w:tcPr>
          <w:p w14:paraId="5E27EB9E" w14:textId="5F8B369B" w:rsidR="0087772C" w:rsidRPr="00983219" w:rsidRDefault="0087772C" w:rsidP="0087772C">
            <w:pPr>
              <w:rPr>
                <w:rFonts w:cstheme="minorHAnsi"/>
                <w:color w:val="000000"/>
                <w:sz w:val="20"/>
                <w:szCs w:val="20"/>
              </w:rPr>
            </w:pPr>
            <w:r w:rsidRPr="00983219">
              <w:rPr>
                <w:rFonts w:cstheme="minorHAnsi"/>
                <w:color w:val="000000"/>
                <w:sz w:val="20"/>
                <w:szCs w:val="20"/>
              </w:rPr>
              <w:t>University of California, San Francisco, San Francisco, California, United States</w:t>
            </w:r>
          </w:p>
        </w:tc>
        <w:tc>
          <w:tcPr>
            <w:tcW w:w="4417" w:type="dxa"/>
            <w:tcMar>
              <w:top w:w="15" w:type="dxa"/>
              <w:left w:w="15" w:type="dxa"/>
              <w:bottom w:w="0" w:type="dxa"/>
              <w:right w:w="15" w:type="dxa"/>
            </w:tcMar>
            <w:vAlign w:val="center"/>
          </w:tcPr>
          <w:p w14:paraId="3C86F0A7" w14:textId="60837637" w:rsidR="00252893" w:rsidRPr="00983219" w:rsidRDefault="00955B21" w:rsidP="00252893">
            <w:pPr>
              <w:rPr>
                <w:rFonts w:cstheme="minorHAnsi"/>
                <w:sz w:val="20"/>
                <w:szCs w:val="20"/>
              </w:rPr>
            </w:pPr>
            <w:hyperlink r:id="rId57" w:history="1">
              <w:r w:rsidR="00252893" w:rsidRPr="002C0645">
                <w:rPr>
                  <w:rStyle w:val="Hyperlink"/>
                  <w:rFonts w:cstheme="minorHAnsi"/>
                  <w:sz w:val="20"/>
                  <w:szCs w:val="20"/>
                </w:rPr>
                <w:t>https://clinicaltrials.gov/study/NCT05599048</w:t>
              </w:r>
            </w:hyperlink>
          </w:p>
        </w:tc>
      </w:tr>
      <w:tr w:rsidR="0087772C" w:rsidRPr="00983219" w14:paraId="1231078D" w14:textId="77777777" w:rsidTr="005F6CE7">
        <w:trPr>
          <w:cantSplit/>
          <w:trHeight w:val="20"/>
        </w:trPr>
        <w:tc>
          <w:tcPr>
            <w:tcW w:w="3524" w:type="dxa"/>
            <w:tcMar>
              <w:top w:w="15" w:type="dxa"/>
              <w:left w:w="15" w:type="dxa"/>
              <w:bottom w:w="0" w:type="dxa"/>
              <w:right w:w="15" w:type="dxa"/>
            </w:tcMar>
            <w:vAlign w:val="center"/>
          </w:tcPr>
          <w:p w14:paraId="4626B4F7" w14:textId="69D230A2" w:rsidR="0087772C" w:rsidRPr="00983219" w:rsidRDefault="0087772C" w:rsidP="0087772C">
            <w:pPr>
              <w:rPr>
                <w:rFonts w:cstheme="minorHAnsi"/>
                <w:color w:val="000000"/>
                <w:sz w:val="20"/>
                <w:szCs w:val="20"/>
              </w:rPr>
            </w:pPr>
            <w:r w:rsidRPr="00983219">
              <w:rPr>
                <w:rFonts w:cstheme="minorHAnsi"/>
                <w:sz w:val="20"/>
                <w:szCs w:val="20"/>
                <w:shd w:val="clear" w:color="auto" w:fill="FFFFFF"/>
              </w:rPr>
              <w:t>Hyperpolarized 13C Pyruvate MRI for Treatment Response Assessment in Pancreatic Ductal Adenocarcinoma</w:t>
            </w:r>
          </w:p>
        </w:tc>
        <w:tc>
          <w:tcPr>
            <w:tcW w:w="1241" w:type="dxa"/>
            <w:tcMar>
              <w:top w:w="15" w:type="dxa"/>
              <w:left w:w="15" w:type="dxa"/>
              <w:bottom w:w="0" w:type="dxa"/>
              <w:right w:w="15" w:type="dxa"/>
            </w:tcMar>
            <w:vAlign w:val="center"/>
          </w:tcPr>
          <w:p w14:paraId="55F9525A" w14:textId="3FA0B867" w:rsidR="0087772C" w:rsidRPr="00983219" w:rsidRDefault="0087772C" w:rsidP="0087772C">
            <w:pPr>
              <w:rPr>
                <w:rFonts w:cstheme="minorHAnsi"/>
                <w:color w:val="000000"/>
                <w:sz w:val="20"/>
                <w:szCs w:val="20"/>
              </w:rPr>
            </w:pPr>
            <w:r w:rsidRPr="00983219">
              <w:rPr>
                <w:rFonts w:cstheme="minorHAnsi"/>
                <w:sz w:val="20"/>
                <w:szCs w:val="20"/>
              </w:rPr>
              <w:t>Terminated</w:t>
            </w:r>
          </w:p>
        </w:tc>
        <w:tc>
          <w:tcPr>
            <w:tcW w:w="2498" w:type="dxa"/>
            <w:tcMar>
              <w:top w:w="15" w:type="dxa"/>
              <w:left w:w="15" w:type="dxa"/>
              <w:bottom w:w="0" w:type="dxa"/>
              <w:right w:w="15" w:type="dxa"/>
            </w:tcMar>
            <w:vAlign w:val="center"/>
          </w:tcPr>
          <w:p w14:paraId="58D932BE" w14:textId="13CF236F" w:rsidR="0087772C" w:rsidRPr="00983219" w:rsidRDefault="0087772C" w:rsidP="0087772C">
            <w:pPr>
              <w:rPr>
                <w:rFonts w:cstheme="minorHAnsi"/>
                <w:color w:val="000000"/>
                <w:sz w:val="20"/>
                <w:szCs w:val="20"/>
              </w:rPr>
            </w:pPr>
            <w:r w:rsidRPr="00983219">
              <w:rPr>
                <w:rFonts w:cstheme="minorHAnsi"/>
                <w:sz w:val="20"/>
                <w:szCs w:val="20"/>
                <w:shd w:val="clear" w:color="auto" w:fill="FFFFFF"/>
              </w:rPr>
              <w:t>Pancreatic Ductal Adenocarcinoma</w:t>
            </w:r>
          </w:p>
        </w:tc>
        <w:tc>
          <w:tcPr>
            <w:tcW w:w="2264" w:type="dxa"/>
            <w:tcMar>
              <w:top w:w="15" w:type="dxa"/>
              <w:left w:w="15" w:type="dxa"/>
              <w:bottom w:w="0" w:type="dxa"/>
              <w:right w:w="15" w:type="dxa"/>
            </w:tcMar>
            <w:vAlign w:val="center"/>
          </w:tcPr>
          <w:p w14:paraId="1F7C7A04" w14:textId="0C8F0EE7" w:rsidR="0087772C" w:rsidRPr="00983219" w:rsidRDefault="0087772C" w:rsidP="0087772C">
            <w:pPr>
              <w:rPr>
                <w:rFonts w:cstheme="minorHAnsi"/>
                <w:color w:val="000000"/>
                <w:sz w:val="20"/>
                <w:szCs w:val="20"/>
              </w:rPr>
            </w:pPr>
            <w:r w:rsidRPr="00983219">
              <w:rPr>
                <w:rFonts w:cstheme="minorHAnsi"/>
                <w:sz w:val="20"/>
                <w:szCs w:val="20"/>
              </w:rPr>
              <w:t>University of California, San Francisco, San Francisco, California, United States</w:t>
            </w:r>
          </w:p>
        </w:tc>
        <w:tc>
          <w:tcPr>
            <w:tcW w:w="4417" w:type="dxa"/>
            <w:tcMar>
              <w:top w:w="15" w:type="dxa"/>
              <w:left w:w="15" w:type="dxa"/>
              <w:bottom w:w="0" w:type="dxa"/>
              <w:right w:w="15" w:type="dxa"/>
            </w:tcMar>
            <w:vAlign w:val="center"/>
          </w:tcPr>
          <w:p w14:paraId="0561C0E0" w14:textId="42B5EB2C" w:rsidR="00252893" w:rsidRPr="00983219" w:rsidRDefault="00955B21" w:rsidP="00252893">
            <w:pPr>
              <w:rPr>
                <w:rFonts w:cstheme="minorHAnsi"/>
                <w:sz w:val="20"/>
                <w:szCs w:val="20"/>
              </w:rPr>
            </w:pPr>
            <w:hyperlink r:id="rId58" w:history="1">
              <w:r w:rsidR="00252893" w:rsidRPr="002C0645">
                <w:rPr>
                  <w:rStyle w:val="Hyperlink"/>
                  <w:rFonts w:cstheme="minorHAnsi"/>
                  <w:sz w:val="20"/>
                  <w:szCs w:val="20"/>
                </w:rPr>
                <w:t>https://clinicaltrials.gov/study/NCT04565327</w:t>
              </w:r>
            </w:hyperlink>
          </w:p>
        </w:tc>
      </w:tr>
      <w:tr w:rsidR="0087772C" w:rsidRPr="00983219" w14:paraId="54F938EB" w14:textId="77777777" w:rsidTr="005F6CE7">
        <w:trPr>
          <w:cantSplit/>
          <w:trHeight w:val="20"/>
        </w:trPr>
        <w:tc>
          <w:tcPr>
            <w:tcW w:w="3524" w:type="dxa"/>
            <w:tcMar>
              <w:top w:w="15" w:type="dxa"/>
              <w:left w:w="15" w:type="dxa"/>
              <w:bottom w:w="0" w:type="dxa"/>
              <w:right w:w="15" w:type="dxa"/>
            </w:tcMar>
            <w:vAlign w:val="center"/>
          </w:tcPr>
          <w:p w14:paraId="54131907" w14:textId="5C978185" w:rsidR="0087772C" w:rsidRPr="00983219" w:rsidRDefault="0087772C" w:rsidP="0087772C">
            <w:pPr>
              <w:rPr>
                <w:rFonts w:cstheme="minorHAnsi"/>
                <w:color w:val="000000"/>
                <w:sz w:val="20"/>
                <w:szCs w:val="20"/>
              </w:rPr>
            </w:pPr>
            <w:r w:rsidRPr="00983219">
              <w:rPr>
                <w:rFonts w:cstheme="minorHAnsi"/>
                <w:color w:val="333333"/>
                <w:sz w:val="20"/>
                <w:szCs w:val="20"/>
                <w:shd w:val="clear" w:color="auto" w:fill="FFFFFF"/>
              </w:rPr>
              <w:t xml:space="preserve">Feasibility of Acquiring Hyperpolarized Imaging in Patients </w:t>
            </w:r>
            <w:r w:rsidR="00AD0DDE" w:rsidRPr="00983219">
              <w:rPr>
                <w:rFonts w:cstheme="minorHAnsi"/>
                <w:color w:val="333333"/>
                <w:sz w:val="20"/>
                <w:szCs w:val="20"/>
                <w:shd w:val="clear" w:color="auto" w:fill="FFFFFF"/>
              </w:rPr>
              <w:t>with</w:t>
            </w:r>
            <w:r w:rsidRPr="00983219">
              <w:rPr>
                <w:rFonts w:cstheme="minorHAnsi"/>
                <w:color w:val="333333"/>
                <w:sz w:val="20"/>
                <w:szCs w:val="20"/>
                <w:shd w:val="clear" w:color="auto" w:fill="FFFFFF"/>
              </w:rPr>
              <w:t xml:space="preserve"> Primary CNS Lymphoma</w:t>
            </w:r>
          </w:p>
        </w:tc>
        <w:tc>
          <w:tcPr>
            <w:tcW w:w="1241" w:type="dxa"/>
            <w:tcMar>
              <w:top w:w="15" w:type="dxa"/>
              <w:left w:w="15" w:type="dxa"/>
              <w:bottom w:w="0" w:type="dxa"/>
              <w:right w:w="15" w:type="dxa"/>
            </w:tcMar>
            <w:vAlign w:val="center"/>
          </w:tcPr>
          <w:p w14:paraId="7BB3F5FC" w14:textId="5C486948" w:rsidR="0087772C" w:rsidRPr="00983219" w:rsidRDefault="0087772C" w:rsidP="0087772C">
            <w:pPr>
              <w:rPr>
                <w:rFonts w:cstheme="minorHAnsi"/>
                <w:color w:val="000000"/>
                <w:sz w:val="20"/>
                <w:szCs w:val="20"/>
              </w:rPr>
            </w:pPr>
            <w:r w:rsidRPr="00983219">
              <w:rPr>
                <w:rFonts w:cstheme="minorHAnsi"/>
                <w:sz w:val="20"/>
                <w:szCs w:val="20"/>
              </w:rPr>
              <w:t>Recruiting</w:t>
            </w:r>
          </w:p>
        </w:tc>
        <w:tc>
          <w:tcPr>
            <w:tcW w:w="2498" w:type="dxa"/>
            <w:tcMar>
              <w:top w:w="15" w:type="dxa"/>
              <w:left w:w="15" w:type="dxa"/>
              <w:bottom w:w="0" w:type="dxa"/>
              <w:right w:w="15" w:type="dxa"/>
            </w:tcMar>
            <w:vAlign w:val="center"/>
          </w:tcPr>
          <w:p w14:paraId="41F0B996" w14:textId="60FBCB64" w:rsidR="0087772C" w:rsidRPr="00983219" w:rsidRDefault="0087772C" w:rsidP="0087772C">
            <w:pPr>
              <w:rPr>
                <w:rFonts w:cstheme="minorHAnsi"/>
                <w:color w:val="000000"/>
                <w:sz w:val="20"/>
                <w:szCs w:val="20"/>
              </w:rPr>
            </w:pPr>
            <w:r w:rsidRPr="00983219">
              <w:rPr>
                <w:rFonts w:cstheme="minorHAnsi"/>
                <w:sz w:val="20"/>
                <w:szCs w:val="20"/>
                <w:shd w:val="clear" w:color="auto" w:fill="FFFFFF"/>
              </w:rPr>
              <w:t>CNS Lymphoma</w:t>
            </w:r>
          </w:p>
        </w:tc>
        <w:tc>
          <w:tcPr>
            <w:tcW w:w="2264" w:type="dxa"/>
            <w:tcMar>
              <w:top w:w="15" w:type="dxa"/>
              <w:left w:w="15" w:type="dxa"/>
              <w:bottom w:w="0" w:type="dxa"/>
              <w:right w:w="15" w:type="dxa"/>
            </w:tcMar>
            <w:vAlign w:val="center"/>
          </w:tcPr>
          <w:p w14:paraId="4B0C7ED7" w14:textId="36B6AC2C" w:rsidR="0087772C" w:rsidRPr="00983219" w:rsidRDefault="0087772C" w:rsidP="0087772C">
            <w:pPr>
              <w:rPr>
                <w:rFonts w:cstheme="minorHAnsi"/>
                <w:color w:val="000000"/>
                <w:sz w:val="20"/>
                <w:szCs w:val="20"/>
              </w:rPr>
            </w:pPr>
            <w:r w:rsidRPr="00983219">
              <w:rPr>
                <w:rFonts w:cstheme="minorHAnsi"/>
                <w:sz w:val="20"/>
                <w:szCs w:val="20"/>
              </w:rPr>
              <w:t>University of California, San Francisco, San Francisco, California, United States</w:t>
            </w:r>
          </w:p>
        </w:tc>
        <w:tc>
          <w:tcPr>
            <w:tcW w:w="4417" w:type="dxa"/>
            <w:tcMar>
              <w:top w:w="15" w:type="dxa"/>
              <w:left w:w="15" w:type="dxa"/>
              <w:bottom w:w="0" w:type="dxa"/>
              <w:right w:w="15" w:type="dxa"/>
            </w:tcMar>
            <w:vAlign w:val="center"/>
          </w:tcPr>
          <w:p w14:paraId="396AE5A8" w14:textId="7350920A" w:rsidR="00252893" w:rsidRPr="00983219" w:rsidRDefault="00955B21" w:rsidP="00252893">
            <w:pPr>
              <w:rPr>
                <w:rFonts w:cstheme="minorHAnsi"/>
                <w:sz w:val="20"/>
                <w:szCs w:val="20"/>
              </w:rPr>
            </w:pPr>
            <w:hyperlink r:id="rId59" w:history="1">
              <w:r w:rsidR="00252893" w:rsidRPr="002C0645">
                <w:rPr>
                  <w:rStyle w:val="Hyperlink"/>
                  <w:rFonts w:cstheme="minorHAnsi"/>
                  <w:sz w:val="20"/>
                  <w:szCs w:val="20"/>
                </w:rPr>
                <w:t>https://clinicaltrials.gov/study/NCT04656431</w:t>
              </w:r>
            </w:hyperlink>
          </w:p>
        </w:tc>
      </w:tr>
      <w:tr w:rsidR="00DD4E2C" w:rsidRPr="00983219" w14:paraId="527F94F0" w14:textId="77777777" w:rsidTr="005F6CE7">
        <w:trPr>
          <w:cantSplit/>
          <w:trHeight w:val="20"/>
        </w:trPr>
        <w:tc>
          <w:tcPr>
            <w:tcW w:w="3524" w:type="dxa"/>
            <w:tcMar>
              <w:top w:w="15" w:type="dxa"/>
              <w:left w:w="15" w:type="dxa"/>
              <w:bottom w:w="0" w:type="dxa"/>
              <w:right w:w="15" w:type="dxa"/>
            </w:tcMar>
            <w:vAlign w:val="center"/>
          </w:tcPr>
          <w:p w14:paraId="39329630" w14:textId="20CB5679" w:rsidR="00DD4E2C" w:rsidRPr="00983219" w:rsidRDefault="00DD4E2C" w:rsidP="00DD4E2C">
            <w:pPr>
              <w:rPr>
                <w:rFonts w:cstheme="minorHAnsi"/>
                <w:color w:val="000000"/>
                <w:sz w:val="20"/>
                <w:szCs w:val="20"/>
              </w:rPr>
            </w:pPr>
            <w:r w:rsidRPr="00983219">
              <w:rPr>
                <w:rFonts w:cstheme="minorHAnsi"/>
                <w:color w:val="333333"/>
                <w:sz w:val="20"/>
                <w:szCs w:val="20"/>
                <w:shd w:val="clear" w:color="auto" w:fill="FFFFFF"/>
              </w:rPr>
              <w:t xml:space="preserve">Feasibility of Acquiring Hyperpolarized Imaging in Patients </w:t>
            </w:r>
            <w:r w:rsidR="00AD0DDE" w:rsidRPr="00983219">
              <w:rPr>
                <w:rFonts w:cstheme="minorHAnsi"/>
                <w:color w:val="333333"/>
                <w:sz w:val="20"/>
                <w:szCs w:val="20"/>
                <w:shd w:val="clear" w:color="auto" w:fill="FFFFFF"/>
              </w:rPr>
              <w:t>with</w:t>
            </w:r>
            <w:r w:rsidRPr="00983219">
              <w:rPr>
                <w:rFonts w:cstheme="minorHAnsi"/>
                <w:color w:val="333333"/>
                <w:sz w:val="20"/>
                <w:szCs w:val="20"/>
                <w:shd w:val="clear" w:color="auto" w:fill="FFFFFF"/>
              </w:rPr>
              <w:t xml:space="preserve"> Meningioma</w:t>
            </w:r>
          </w:p>
        </w:tc>
        <w:tc>
          <w:tcPr>
            <w:tcW w:w="1241" w:type="dxa"/>
            <w:tcMar>
              <w:top w:w="15" w:type="dxa"/>
              <w:left w:w="15" w:type="dxa"/>
              <w:bottom w:w="0" w:type="dxa"/>
              <w:right w:w="15" w:type="dxa"/>
            </w:tcMar>
            <w:vAlign w:val="center"/>
          </w:tcPr>
          <w:p w14:paraId="64B88441" w14:textId="7D473E13" w:rsidR="00DD4E2C" w:rsidRPr="00983219" w:rsidRDefault="000033BA" w:rsidP="00DD4E2C">
            <w:pPr>
              <w:rPr>
                <w:rFonts w:cstheme="minorHAnsi"/>
                <w:color w:val="000000"/>
                <w:sz w:val="20"/>
                <w:szCs w:val="20"/>
              </w:rPr>
            </w:pPr>
            <w:r>
              <w:rPr>
                <w:rFonts w:cstheme="minorHAnsi"/>
                <w:sz w:val="20"/>
                <w:szCs w:val="20"/>
              </w:rPr>
              <w:t xml:space="preserve"> </w:t>
            </w:r>
            <w:r w:rsidRPr="000033BA">
              <w:rPr>
                <w:rFonts w:cstheme="minorHAnsi"/>
                <w:sz w:val="20"/>
                <w:szCs w:val="20"/>
              </w:rPr>
              <w:t>Recruiting</w:t>
            </w:r>
          </w:p>
        </w:tc>
        <w:tc>
          <w:tcPr>
            <w:tcW w:w="2498" w:type="dxa"/>
            <w:tcMar>
              <w:top w:w="15" w:type="dxa"/>
              <w:left w:w="15" w:type="dxa"/>
              <w:bottom w:w="0" w:type="dxa"/>
              <w:right w:w="15" w:type="dxa"/>
            </w:tcMar>
            <w:vAlign w:val="center"/>
          </w:tcPr>
          <w:p w14:paraId="15B6A322" w14:textId="4900FF4A" w:rsidR="00DD4E2C" w:rsidRPr="00983219" w:rsidRDefault="00DD4E2C" w:rsidP="00DD4E2C">
            <w:pPr>
              <w:rPr>
                <w:rFonts w:cstheme="minorHAnsi"/>
                <w:color w:val="000000"/>
                <w:sz w:val="20"/>
                <w:szCs w:val="20"/>
              </w:rPr>
            </w:pPr>
            <w:r w:rsidRPr="00983219">
              <w:rPr>
                <w:rFonts w:cstheme="minorHAnsi"/>
                <w:sz w:val="20"/>
                <w:szCs w:val="20"/>
                <w:shd w:val="clear" w:color="auto" w:fill="FFFFFF"/>
              </w:rPr>
              <w:t>Meningioma</w:t>
            </w:r>
          </w:p>
        </w:tc>
        <w:tc>
          <w:tcPr>
            <w:tcW w:w="2264" w:type="dxa"/>
            <w:tcMar>
              <w:top w:w="15" w:type="dxa"/>
              <w:left w:w="15" w:type="dxa"/>
              <w:bottom w:w="0" w:type="dxa"/>
              <w:right w:w="15" w:type="dxa"/>
            </w:tcMar>
            <w:vAlign w:val="center"/>
          </w:tcPr>
          <w:p w14:paraId="1A9D09F3" w14:textId="464E9C90" w:rsidR="00DD4E2C" w:rsidRPr="00983219" w:rsidRDefault="00DD4E2C" w:rsidP="00DD4E2C">
            <w:pPr>
              <w:rPr>
                <w:rFonts w:cstheme="minorHAnsi"/>
                <w:color w:val="000000"/>
                <w:sz w:val="20"/>
                <w:szCs w:val="20"/>
              </w:rPr>
            </w:pPr>
            <w:r w:rsidRPr="00983219">
              <w:rPr>
                <w:rFonts w:cstheme="minorHAnsi"/>
                <w:sz w:val="20"/>
                <w:szCs w:val="20"/>
              </w:rPr>
              <w:t>University of California, San Francisco, San Francisco, California, United States</w:t>
            </w:r>
          </w:p>
        </w:tc>
        <w:tc>
          <w:tcPr>
            <w:tcW w:w="4417" w:type="dxa"/>
            <w:tcMar>
              <w:top w:w="15" w:type="dxa"/>
              <w:left w:w="15" w:type="dxa"/>
              <w:bottom w:w="0" w:type="dxa"/>
              <w:right w:w="15" w:type="dxa"/>
            </w:tcMar>
            <w:vAlign w:val="center"/>
          </w:tcPr>
          <w:p w14:paraId="15936468" w14:textId="3EB20CA7" w:rsidR="00252893" w:rsidRPr="00983219" w:rsidRDefault="00955B21" w:rsidP="00252893">
            <w:pPr>
              <w:rPr>
                <w:rFonts w:cstheme="minorHAnsi"/>
                <w:sz w:val="20"/>
                <w:szCs w:val="20"/>
              </w:rPr>
            </w:pPr>
            <w:hyperlink r:id="rId60" w:history="1">
              <w:r w:rsidR="00252893" w:rsidRPr="002C0645">
                <w:rPr>
                  <w:rStyle w:val="Hyperlink"/>
                  <w:rFonts w:cstheme="minorHAnsi"/>
                  <w:sz w:val="20"/>
                  <w:szCs w:val="20"/>
                </w:rPr>
                <w:t>https://clinicaltrials.gov/study/NCT06014905</w:t>
              </w:r>
            </w:hyperlink>
          </w:p>
        </w:tc>
      </w:tr>
      <w:tr w:rsidR="00DD4E2C" w:rsidRPr="00983219" w14:paraId="0004AF2F" w14:textId="77777777" w:rsidTr="005F6CE7">
        <w:trPr>
          <w:cantSplit/>
          <w:trHeight w:val="20"/>
        </w:trPr>
        <w:tc>
          <w:tcPr>
            <w:tcW w:w="3524" w:type="dxa"/>
            <w:tcMar>
              <w:top w:w="15" w:type="dxa"/>
              <w:left w:w="15" w:type="dxa"/>
              <w:bottom w:w="0" w:type="dxa"/>
              <w:right w:w="15" w:type="dxa"/>
            </w:tcMar>
            <w:vAlign w:val="center"/>
          </w:tcPr>
          <w:p w14:paraId="142A1C0E" w14:textId="3511ED3A" w:rsidR="00DD4E2C" w:rsidRPr="00983219" w:rsidRDefault="00DD4E2C" w:rsidP="00DD4E2C">
            <w:pPr>
              <w:rPr>
                <w:rFonts w:cstheme="minorHAnsi"/>
                <w:color w:val="000000"/>
                <w:sz w:val="20"/>
                <w:szCs w:val="20"/>
              </w:rPr>
            </w:pPr>
            <w:r w:rsidRPr="00983219">
              <w:rPr>
                <w:rFonts w:cstheme="minorHAnsi"/>
                <w:color w:val="333333"/>
                <w:sz w:val="20"/>
                <w:szCs w:val="20"/>
                <w:shd w:val="clear" w:color="auto" w:fill="FFFFFF"/>
              </w:rPr>
              <w:t>Serial MR Imaging and MR Spectroscopic Imaging for the Characterization of Lower Grade Glioma</w:t>
            </w:r>
          </w:p>
        </w:tc>
        <w:tc>
          <w:tcPr>
            <w:tcW w:w="1241" w:type="dxa"/>
            <w:tcMar>
              <w:top w:w="15" w:type="dxa"/>
              <w:left w:w="15" w:type="dxa"/>
              <w:bottom w:w="0" w:type="dxa"/>
              <w:right w:w="15" w:type="dxa"/>
            </w:tcMar>
            <w:vAlign w:val="center"/>
          </w:tcPr>
          <w:p w14:paraId="2E82FB09" w14:textId="0BC69E25" w:rsidR="00DD4E2C" w:rsidRPr="00983219" w:rsidRDefault="00DD4E2C" w:rsidP="00DD4E2C">
            <w:pPr>
              <w:rPr>
                <w:rFonts w:cstheme="minorHAnsi"/>
                <w:color w:val="000000"/>
                <w:sz w:val="20"/>
                <w:szCs w:val="20"/>
              </w:rPr>
            </w:pPr>
            <w:r w:rsidRPr="00983219">
              <w:rPr>
                <w:rFonts w:cstheme="minorHAnsi"/>
                <w:sz w:val="20"/>
                <w:szCs w:val="20"/>
              </w:rPr>
              <w:t>Recruiting</w:t>
            </w:r>
          </w:p>
        </w:tc>
        <w:tc>
          <w:tcPr>
            <w:tcW w:w="2498" w:type="dxa"/>
            <w:tcMar>
              <w:top w:w="15" w:type="dxa"/>
              <w:left w:w="15" w:type="dxa"/>
              <w:bottom w:w="0" w:type="dxa"/>
              <w:right w:w="15" w:type="dxa"/>
            </w:tcMar>
            <w:vAlign w:val="center"/>
          </w:tcPr>
          <w:p w14:paraId="71E559B7" w14:textId="5DAD9D46" w:rsidR="00DD4E2C" w:rsidRPr="00983219" w:rsidRDefault="00DD4E2C" w:rsidP="00DD4E2C">
            <w:pPr>
              <w:rPr>
                <w:rFonts w:cstheme="minorHAnsi"/>
                <w:color w:val="000000"/>
                <w:sz w:val="20"/>
                <w:szCs w:val="20"/>
              </w:rPr>
            </w:pPr>
            <w:r w:rsidRPr="00983219">
              <w:rPr>
                <w:rFonts w:cstheme="minorHAnsi"/>
                <w:sz w:val="20"/>
                <w:szCs w:val="20"/>
                <w:shd w:val="clear" w:color="auto" w:fill="FFFFFF"/>
              </w:rPr>
              <w:t>Low Grade Glioma</w:t>
            </w:r>
          </w:p>
        </w:tc>
        <w:tc>
          <w:tcPr>
            <w:tcW w:w="2264" w:type="dxa"/>
            <w:tcMar>
              <w:top w:w="15" w:type="dxa"/>
              <w:left w:w="15" w:type="dxa"/>
              <w:bottom w:w="0" w:type="dxa"/>
              <w:right w:w="15" w:type="dxa"/>
            </w:tcMar>
            <w:vAlign w:val="center"/>
          </w:tcPr>
          <w:p w14:paraId="06AFAC55" w14:textId="68776A3B" w:rsidR="00DD4E2C" w:rsidRPr="00983219" w:rsidRDefault="00DD4E2C" w:rsidP="00DD4E2C">
            <w:pPr>
              <w:rPr>
                <w:rFonts w:cstheme="minorHAnsi"/>
                <w:color w:val="000000"/>
                <w:sz w:val="20"/>
                <w:szCs w:val="20"/>
              </w:rPr>
            </w:pPr>
            <w:r w:rsidRPr="00983219">
              <w:rPr>
                <w:rFonts w:cstheme="minorHAnsi"/>
                <w:sz w:val="20"/>
                <w:szCs w:val="20"/>
              </w:rPr>
              <w:t>University of California, San Francisco, San Francisco, California, United States</w:t>
            </w:r>
          </w:p>
        </w:tc>
        <w:tc>
          <w:tcPr>
            <w:tcW w:w="4417" w:type="dxa"/>
            <w:tcMar>
              <w:top w:w="15" w:type="dxa"/>
              <w:left w:w="15" w:type="dxa"/>
              <w:bottom w:w="0" w:type="dxa"/>
              <w:right w:w="15" w:type="dxa"/>
            </w:tcMar>
            <w:vAlign w:val="center"/>
          </w:tcPr>
          <w:p w14:paraId="1C72ED42" w14:textId="7B6DCC43" w:rsidR="00252893" w:rsidRPr="00983219" w:rsidRDefault="00955B21" w:rsidP="00252893">
            <w:pPr>
              <w:rPr>
                <w:rFonts w:cstheme="minorHAnsi"/>
                <w:sz w:val="20"/>
                <w:szCs w:val="20"/>
              </w:rPr>
            </w:pPr>
            <w:hyperlink r:id="rId61" w:history="1">
              <w:r w:rsidR="00252893" w:rsidRPr="002C0645">
                <w:rPr>
                  <w:rStyle w:val="Hyperlink"/>
                  <w:rFonts w:cstheme="minorHAnsi"/>
                  <w:sz w:val="20"/>
                  <w:szCs w:val="20"/>
                </w:rPr>
                <w:t>https://clinicaltrials.gov/study/NCT04540107</w:t>
              </w:r>
            </w:hyperlink>
          </w:p>
        </w:tc>
      </w:tr>
      <w:tr w:rsidR="00DD4E2C" w:rsidRPr="00983219" w14:paraId="5EA239C6" w14:textId="77777777" w:rsidTr="005F6CE7">
        <w:trPr>
          <w:cantSplit/>
          <w:trHeight w:val="20"/>
        </w:trPr>
        <w:tc>
          <w:tcPr>
            <w:tcW w:w="3524" w:type="dxa"/>
            <w:tcMar>
              <w:top w:w="15" w:type="dxa"/>
              <w:left w:w="15" w:type="dxa"/>
              <w:bottom w:w="0" w:type="dxa"/>
              <w:right w:w="15" w:type="dxa"/>
            </w:tcMar>
            <w:vAlign w:val="center"/>
          </w:tcPr>
          <w:p w14:paraId="4FEE9213" w14:textId="74B21781" w:rsidR="00DD4E2C" w:rsidRPr="00983219" w:rsidRDefault="00DD4E2C" w:rsidP="00DD4E2C">
            <w:pPr>
              <w:rPr>
                <w:rFonts w:cstheme="minorHAnsi"/>
                <w:color w:val="000000"/>
                <w:sz w:val="20"/>
                <w:szCs w:val="20"/>
              </w:rPr>
            </w:pPr>
            <w:r w:rsidRPr="00983219">
              <w:rPr>
                <w:rFonts w:cstheme="minorHAnsi"/>
                <w:color w:val="333333"/>
                <w:sz w:val="20"/>
                <w:szCs w:val="20"/>
                <w:shd w:val="clear" w:color="auto" w:fill="FFFFFF"/>
              </w:rPr>
              <w:t>Magnetic Resonance Imaging (MRI) With Hyperpolarized</w:t>
            </w:r>
            <w:r w:rsidRPr="00983219">
              <w:rPr>
                <w:rStyle w:val="apple-converted-space"/>
                <w:rFonts w:cstheme="minorHAnsi"/>
                <w:color w:val="333333"/>
                <w:sz w:val="20"/>
                <w:szCs w:val="20"/>
                <w:shd w:val="clear" w:color="auto" w:fill="FFFFFF"/>
              </w:rPr>
              <w:t> </w:t>
            </w:r>
            <w:r w:rsidRPr="00983219">
              <w:rPr>
                <w:rFonts w:cstheme="minorHAnsi"/>
                <w:sz w:val="20"/>
                <w:szCs w:val="20"/>
              </w:rPr>
              <w:t>Pyruvate</w:t>
            </w:r>
            <w:r w:rsidRPr="00983219">
              <w:rPr>
                <w:rStyle w:val="apple-converted-space"/>
                <w:rFonts w:cstheme="minorHAnsi"/>
                <w:color w:val="333333"/>
                <w:sz w:val="20"/>
                <w:szCs w:val="20"/>
                <w:shd w:val="clear" w:color="auto" w:fill="FFFFFF"/>
              </w:rPr>
              <w:t> </w:t>
            </w:r>
            <w:r w:rsidRPr="00983219">
              <w:rPr>
                <w:rFonts w:cstheme="minorHAnsi"/>
                <w:color w:val="333333"/>
                <w:sz w:val="20"/>
                <w:szCs w:val="20"/>
                <w:shd w:val="clear" w:color="auto" w:fill="FFFFFF"/>
              </w:rPr>
              <w:t>(</w:t>
            </w:r>
            <w:r w:rsidRPr="00983219">
              <w:rPr>
                <w:rFonts w:cstheme="minorHAnsi"/>
                <w:sz w:val="20"/>
                <w:szCs w:val="20"/>
              </w:rPr>
              <w:t>13C</w:t>
            </w:r>
            <w:r w:rsidRPr="00983219">
              <w:rPr>
                <w:rFonts w:cstheme="minorHAnsi"/>
                <w:color w:val="333333"/>
                <w:sz w:val="20"/>
                <w:szCs w:val="20"/>
                <w:shd w:val="clear" w:color="auto" w:fill="FFFFFF"/>
              </w:rPr>
              <w:t>) as Diagnostic Tool in Advanced Prostate Cancer</w:t>
            </w:r>
          </w:p>
        </w:tc>
        <w:tc>
          <w:tcPr>
            <w:tcW w:w="1241" w:type="dxa"/>
            <w:tcMar>
              <w:top w:w="15" w:type="dxa"/>
              <w:left w:w="15" w:type="dxa"/>
              <w:bottom w:w="0" w:type="dxa"/>
              <w:right w:w="15" w:type="dxa"/>
            </w:tcMar>
            <w:vAlign w:val="center"/>
          </w:tcPr>
          <w:p w14:paraId="0E66C510" w14:textId="6F3CAFEA" w:rsidR="00DD4E2C" w:rsidRPr="00983219" w:rsidRDefault="00DD4E2C" w:rsidP="00DD4E2C">
            <w:pPr>
              <w:rPr>
                <w:rFonts w:cstheme="minorHAnsi"/>
                <w:color w:val="000000"/>
                <w:sz w:val="20"/>
                <w:szCs w:val="20"/>
              </w:rPr>
            </w:pPr>
            <w:r w:rsidRPr="00983219">
              <w:rPr>
                <w:rFonts w:cstheme="minorHAnsi"/>
                <w:sz w:val="20"/>
                <w:szCs w:val="20"/>
              </w:rPr>
              <w:t>Recruiting</w:t>
            </w:r>
          </w:p>
        </w:tc>
        <w:tc>
          <w:tcPr>
            <w:tcW w:w="2498" w:type="dxa"/>
            <w:tcMar>
              <w:top w:w="15" w:type="dxa"/>
              <w:left w:w="15" w:type="dxa"/>
              <w:bottom w:w="0" w:type="dxa"/>
              <w:right w:w="15" w:type="dxa"/>
            </w:tcMar>
            <w:vAlign w:val="center"/>
          </w:tcPr>
          <w:p w14:paraId="17A2A858" w14:textId="06358E2F" w:rsidR="00DD4E2C" w:rsidRPr="00983219" w:rsidRDefault="00DD4E2C" w:rsidP="00DD4E2C">
            <w:pPr>
              <w:rPr>
                <w:rFonts w:cstheme="minorHAnsi"/>
                <w:color w:val="000000"/>
                <w:sz w:val="20"/>
                <w:szCs w:val="20"/>
              </w:rPr>
            </w:pPr>
            <w:r w:rsidRPr="00983219">
              <w:rPr>
                <w:rFonts w:cstheme="minorHAnsi"/>
                <w:sz w:val="20"/>
                <w:szCs w:val="20"/>
                <w:shd w:val="clear" w:color="auto" w:fill="FFFFFF"/>
              </w:rPr>
              <w:t>Prostate Cancer</w:t>
            </w:r>
          </w:p>
        </w:tc>
        <w:tc>
          <w:tcPr>
            <w:tcW w:w="2264" w:type="dxa"/>
            <w:tcMar>
              <w:top w:w="15" w:type="dxa"/>
              <w:left w:w="15" w:type="dxa"/>
              <w:bottom w:w="0" w:type="dxa"/>
              <w:right w:w="15" w:type="dxa"/>
            </w:tcMar>
            <w:vAlign w:val="center"/>
          </w:tcPr>
          <w:p w14:paraId="5620EDEB" w14:textId="4F9C6363" w:rsidR="00DD4E2C" w:rsidRPr="00983219" w:rsidRDefault="00DD4E2C" w:rsidP="00DD4E2C">
            <w:pPr>
              <w:rPr>
                <w:rFonts w:cstheme="minorHAnsi"/>
                <w:color w:val="000000"/>
                <w:sz w:val="20"/>
                <w:szCs w:val="20"/>
              </w:rPr>
            </w:pPr>
            <w:r w:rsidRPr="00983219">
              <w:rPr>
                <w:rFonts w:cstheme="minorHAnsi"/>
                <w:sz w:val="20"/>
                <w:szCs w:val="20"/>
              </w:rPr>
              <w:t>University of California, San Francisco, San Francisco, California, United States</w:t>
            </w:r>
          </w:p>
        </w:tc>
        <w:tc>
          <w:tcPr>
            <w:tcW w:w="4417" w:type="dxa"/>
            <w:tcMar>
              <w:top w:w="15" w:type="dxa"/>
              <w:left w:w="15" w:type="dxa"/>
              <w:bottom w:w="0" w:type="dxa"/>
              <w:right w:w="15" w:type="dxa"/>
            </w:tcMar>
            <w:vAlign w:val="center"/>
          </w:tcPr>
          <w:p w14:paraId="485421D1" w14:textId="394B452B" w:rsidR="00252893" w:rsidRPr="00983219" w:rsidRDefault="00955B21" w:rsidP="00252893">
            <w:pPr>
              <w:rPr>
                <w:rFonts w:cstheme="minorHAnsi"/>
                <w:sz w:val="20"/>
                <w:szCs w:val="20"/>
              </w:rPr>
            </w:pPr>
            <w:hyperlink r:id="rId62" w:history="1">
              <w:r w:rsidR="00252893" w:rsidRPr="002C0645">
                <w:rPr>
                  <w:rStyle w:val="Hyperlink"/>
                  <w:rFonts w:cstheme="minorHAnsi"/>
                  <w:sz w:val="20"/>
                  <w:szCs w:val="20"/>
                </w:rPr>
                <w:t>https://clinicaltrials.gov/study/NCT04346225</w:t>
              </w:r>
            </w:hyperlink>
          </w:p>
        </w:tc>
      </w:tr>
      <w:tr w:rsidR="00DD4E2C" w:rsidRPr="00983219" w14:paraId="2D92661B" w14:textId="77777777" w:rsidTr="00252893">
        <w:trPr>
          <w:cantSplit/>
          <w:trHeight w:val="20"/>
        </w:trPr>
        <w:tc>
          <w:tcPr>
            <w:tcW w:w="3524" w:type="dxa"/>
            <w:shd w:val="clear" w:color="auto" w:fill="auto"/>
            <w:tcMar>
              <w:top w:w="15" w:type="dxa"/>
              <w:left w:w="15" w:type="dxa"/>
              <w:bottom w:w="0" w:type="dxa"/>
              <w:right w:w="15" w:type="dxa"/>
            </w:tcMar>
            <w:vAlign w:val="center"/>
          </w:tcPr>
          <w:p w14:paraId="4421E528" w14:textId="62A7EEEE" w:rsidR="00DD4E2C" w:rsidRPr="00983219" w:rsidRDefault="00DD4E2C" w:rsidP="00DD4E2C">
            <w:pPr>
              <w:rPr>
                <w:rFonts w:cstheme="minorHAnsi"/>
                <w:color w:val="000000"/>
                <w:sz w:val="20"/>
                <w:szCs w:val="20"/>
              </w:rPr>
            </w:pPr>
            <w:r w:rsidRPr="00983219">
              <w:rPr>
                <w:rFonts w:cstheme="minorHAnsi"/>
                <w:color w:val="333333"/>
                <w:sz w:val="20"/>
                <w:szCs w:val="20"/>
                <w:shd w:val="clear" w:color="auto" w:fill="FFFFFF"/>
              </w:rPr>
              <w:lastRenderedPageBreak/>
              <w:t>Hyperpolarized</w:t>
            </w:r>
            <w:r w:rsidRPr="00983219">
              <w:rPr>
                <w:rStyle w:val="apple-converted-space"/>
                <w:rFonts w:cstheme="minorHAnsi"/>
                <w:color w:val="333333"/>
                <w:sz w:val="20"/>
                <w:szCs w:val="20"/>
                <w:shd w:val="clear" w:color="auto" w:fill="FFFFFF"/>
              </w:rPr>
              <w:t> </w:t>
            </w:r>
            <w:r w:rsidRPr="00983219">
              <w:rPr>
                <w:rFonts w:cstheme="minorHAnsi"/>
                <w:sz w:val="20"/>
                <w:szCs w:val="20"/>
              </w:rPr>
              <w:t>13C</w:t>
            </w:r>
            <w:r w:rsidRPr="00983219">
              <w:rPr>
                <w:rStyle w:val="apple-converted-space"/>
                <w:rFonts w:cstheme="minorHAnsi"/>
                <w:color w:val="333333"/>
                <w:sz w:val="20"/>
                <w:szCs w:val="20"/>
                <w:shd w:val="clear" w:color="auto" w:fill="FFFFFF"/>
              </w:rPr>
              <w:t> </w:t>
            </w:r>
            <w:r w:rsidRPr="00983219">
              <w:rPr>
                <w:rFonts w:cstheme="minorHAnsi"/>
                <w:sz w:val="20"/>
                <w:szCs w:val="20"/>
              </w:rPr>
              <w:t>Pyruvate</w:t>
            </w:r>
            <w:r w:rsidRPr="00983219">
              <w:rPr>
                <w:rStyle w:val="apple-converted-space"/>
                <w:rFonts w:cstheme="minorHAnsi"/>
                <w:color w:val="333333"/>
                <w:sz w:val="20"/>
                <w:szCs w:val="20"/>
                <w:shd w:val="clear" w:color="auto" w:fill="FFFFFF"/>
              </w:rPr>
              <w:t> </w:t>
            </w:r>
            <w:r w:rsidRPr="00983219">
              <w:rPr>
                <w:rFonts w:cstheme="minorHAnsi"/>
                <w:color w:val="333333"/>
                <w:sz w:val="20"/>
                <w:szCs w:val="20"/>
                <w:shd w:val="clear" w:color="auto" w:fill="FFFFFF"/>
              </w:rPr>
              <w:t xml:space="preserve">MRI Scan in Predicting Tumor Aggressiveness in Patients </w:t>
            </w:r>
            <w:proofErr w:type="gramStart"/>
            <w:r w:rsidRPr="00983219">
              <w:rPr>
                <w:rFonts w:cstheme="minorHAnsi"/>
                <w:color w:val="333333"/>
                <w:sz w:val="20"/>
                <w:szCs w:val="20"/>
                <w:shd w:val="clear" w:color="auto" w:fill="FFFFFF"/>
              </w:rPr>
              <w:t>With</w:t>
            </w:r>
            <w:proofErr w:type="gramEnd"/>
            <w:r w:rsidRPr="00983219">
              <w:rPr>
                <w:rFonts w:cstheme="minorHAnsi"/>
                <w:color w:val="333333"/>
                <w:sz w:val="20"/>
                <w:szCs w:val="20"/>
                <w:shd w:val="clear" w:color="auto" w:fill="FFFFFF"/>
              </w:rPr>
              <w:t xml:space="preserve"> Renal Tumors</w:t>
            </w:r>
          </w:p>
        </w:tc>
        <w:tc>
          <w:tcPr>
            <w:tcW w:w="1241" w:type="dxa"/>
            <w:shd w:val="clear" w:color="auto" w:fill="auto"/>
            <w:tcMar>
              <w:top w:w="15" w:type="dxa"/>
              <w:left w:w="15" w:type="dxa"/>
              <w:bottom w:w="0" w:type="dxa"/>
              <w:right w:w="15" w:type="dxa"/>
            </w:tcMar>
            <w:vAlign w:val="center"/>
          </w:tcPr>
          <w:p w14:paraId="6360F570" w14:textId="5F861280" w:rsidR="00DD4E2C" w:rsidRPr="00983219" w:rsidRDefault="00DD4E2C" w:rsidP="00DD4E2C">
            <w:pPr>
              <w:rPr>
                <w:rFonts w:cstheme="minorHAnsi"/>
                <w:color w:val="000000"/>
                <w:sz w:val="20"/>
                <w:szCs w:val="20"/>
              </w:rPr>
            </w:pPr>
            <w:r w:rsidRPr="00983219">
              <w:rPr>
                <w:rFonts w:cstheme="minorHAnsi"/>
                <w:sz w:val="20"/>
                <w:szCs w:val="20"/>
              </w:rPr>
              <w:t>Recruiting</w:t>
            </w:r>
          </w:p>
        </w:tc>
        <w:tc>
          <w:tcPr>
            <w:tcW w:w="2498" w:type="dxa"/>
            <w:shd w:val="clear" w:color="auto" w:fill="auto"/>
            <w:tcMar>
              <w:top w:w="15" w:type="dxa"/>
              <w:left w:w="15" w:type="dxa"/>
              <w:bottom w:w="0" w:type="dxa"/>
              <w:right w:w="15" w:type="dxa"/>
            </w:tcMar>
            <w:vAlign w:val="center"/>
          </w:tcPr>
          <w:p w14:paraId="19B4B596" w14:textId="3580A3E0" w:rsidR="00DD4E2C" w:rsidRPr="00983219" w:rsidRDefault="00DD4E2C" w:rsidP="00DD4E2C">
            <w:pPr>
              <w:rPr>
                <w:rFonts w:cstheme="minorHAnsi"/>
                <w:color w:val="000000"/>
                <w:sz w:val="20"/>
                <w:szCs w:val="20"/>
              </w:rPr>
            </w:pPr>
            <w:r w:rsidRPr="00983219">
              <w:rPr>
                <w:rFonts w:cstheme="minorHAnsi"/>
                <w:sz w:val="20"/>
                <w:szCs w:val="20"/>
                <w:shd w:val="clear" w:color="auto" w:fill="FFFFFF"/>
              </w:rPr>
              <w:t>Kidney Neoplasm, Renal Cell Cancer</w:t>
            </w:r>
          </w:p>
        </w:tc>
        <w:tc>
          <w:tcPr>
            <w:tcW w:w="2264" w:type="dxa"/>
            <w:shd w:val="clear" w:color="auto" w:fill="auto"/>
            <w:tcMar>
              <w:top w:w="15" w:type="dxa"/>
              <w:left w:w="15" w:type="dxa"/>
              <w:bottom w:w="0" w:type="dxa"/>
              <w:right w:w="15" w:type="dxa"/>
            </w:tcMar>
            <w:vAlign w:val="center"/>
          </w:tcPr>
          <w:p w14:paraId="44A7048C" w14:textId="231B8704" w:rsidR="00DD4E2C" w:rsidRPr="00983219" w:rsidRDefault="00DD4E2C" w:rsidP="00DD4E2C">
            <w:pPr>
              <w:rPr>
                <w:rFonts w:cstheme="minorHAnsi"/>
                <w:color w:val="000000"/>
                <w:sz w:val="20"/>
                <w:szCs w:val="20"/>
              </w:rPr>
            </w:pPr>
            <w:r w:rsidRPr="00983219">
              <w:rPr>
                <w:rFonts w:cstheme="minorHAnsi"/>
                <w:sz w:val="20"/>
                <w:szCs w:val="20"/>
              </w:rPr>
              <w:t>University of California, San Francisco, San Francisco, California, United States</w:t>
            </w:r>
          </w:p>
        </w:tc>
        <w:tc>
          <w:tcPr>
            <w:tcW w:w="4417" w:type="dxa"/>
            <w:shd w:val="clear" w:color="auto" w:fill="auto"/>
            <w:tcMar>
              <w:top w:w="15" w:type="dxa"/>
              <w:left w:w="15" w:type="dxa"/>
              <w:bottom w:w="0" w:type="dxa"/>
              <w:right w:w="15" w:type="dxa"/>
            </w:tcMar>
            <w:vAlign w:val="center"/>
          </w:tcPr>
          <w:p w14:paraId="56664C85" w14:textId="2E789BAC" w:rsidR="00252893" w:rsidRPr="00983219" w:rsidRDefault="00955B21" w:rsidP="00252893">
            <w:pPr>
              <w:rPr>
                <w:rFonts w:cstheme="minorHAnsi"/>
                <w:sz w:val="20"/>
                <w:szCs w:val="20"/>
              </w:rPr>
            </w:pPr>
            <w:hyperlink r:id="rId63" w:history="1">
              <w:r w:rsidR="00252893" w:rsidRPr="002C0645">
                <w:rPr>
                  <w:rStyle w:val="Hyperlink"/>
                  <w:rFonts w:cstheme="minorHAnsi"/>
                  <w:sz w:val="20"/>
                  <w:szCs w:val="20"/>
                </w:rPr>
                <w:t>https://clinicaltrials.gov/study/NCT04258462</w:t>
              </w:r>
            </w:hyperlink>
          </w:p>
        </w:tc>
      </w:tr>
      <w:tr w:rsidR="00097B3B" w:rsidRPr="00983219" w14:paraId="7BD10401" w14:textId="77777777" w:rsidTr="00202E51">
        <w:trPr>
          <w:cantSplit/>
          <w:trHeight w:val="20"/>
        </w:trPr>
        <w:tc>
          <w:tcPr>
            <w:tcW w:w="3524" w:type="dxa"/>
            <w:shd w:val="clear" w:color="auto" w:fill="auto"/>
            <w:tcMar>
              <w:top w:w="15" w:type="dxa"/>
              <w:left w:w="15" w:type="dxa"/>
              <w:bottom w:w="0" w:type="dxa"/>
              <w:right w:w="15" w:type="dxa"/>
            </w:tcMar>
            <w:vAlign w:val="center"/>
            <w:hideMark/>
          </w:tcPr>
          <w:p w14:paraId="1EC14D36" w14:textId="77777777" w:rsidR="00097B3B" w:rsidRPr="00983219" w:rsidRDefault="00097B3B">
            <w:pPr>
              <w:rPr>
                <w:rFonts w:cstheme="minorHAnsi"/>
                <w:color w:val="000000"/>
                <w:sz w:val="20"/>
                <w:szCs w:val="20"/>
              </w:rPr>
            </w:pPr>
            <w:r w:rsidRPr="00983219">
              <w:rPr>
                <w:rFonts w:cstheme="minorHAnsi"/>
                <w:color w:val="000000"/>
                <w:sz w:val="20"/>
                <w:szCs w:val="20"/>
              </w:rPr>
              <w:t>Effect of Fatty Liver on TCA Cycle Flux and the Pentose Phosphate Pathway</w:t>
            </w:r>
          </w:p>
        </w:tc>
        <w:tc>
          <w:tcPr>
            <w:tcW w:w="1241" w:type="dxa"/>
            <w:shd w:val="clear" w:color="auto" w:fill="auto"/>
            <w:tcMar>
              <w:top w:w="15" w:type="dxa"/>
              <w:left w:w="15" w:type="dxa"/>
              <w:bottom w:w="0" w:type="dxa"/>
              <w:right w:w="15" w:type="dxa"/>
            </w:tcMar>
            <w:vAlign w:val="center"/>
            <w:hideMark/>
          </w:tcPr>
          <w:p w14:paraId="78BBE3EF" w14:textId="459CEDDC" w:rsidR="00097B3B" w:rsidRPr="00983219" w:rsidRDefault="00097B3B">
            <w:pPr>
              <w:rPr>
                <w:rFonts w:cstheme="minorHAnsi"/>
                <w:color w:val="000000"/>
                <w:sz w:val="20"/>
                <w:szCs w:val="20"/>
              </w:rPr>
            </w:pPr>
            <w:r w:rsidRPr="00983219">
              <w:rPr>
                <w:rFonts w:cstheme="minorHAnsi"/>
                <w:color w:val="000000"/>
                <w:sz w:val="20"/>
                <w:szCs w:val="20"/>
              </w:rPr>
              <w:t>Enrolling by invitation</w:t>
            </w:r>
          </w:p>
        </w:tc>
        <w:tc>
          <w:tcPr>
            <w:tcW w:w="2498" w:type="dxa"/>
            <w:shd w:val="clear" w:color="auto" w:fill="auto"/>
            <w:tcMar>
              <w:top w:w="15" w:type="dxa"/>
              <w:left w:w="15" w:type="dxa"/>
              <w:bottom w:w="0" w:type="dxa"/>
              <w:right w:w="15" w:type="dxa"/>
            </w:tcMar>
            <w:vAlign w:val="center"/>
            <w:hideMark/>
          </w:tcPr>
          <w:p w14:paraId="5B24476D" w14:textId="77777777" w:rsidR="00097B3B" w:rsidRPr="00983219" w:rsidRDefault="00097B3B">
            <w:pPr>
              <w:rPr>
                <w:rFonts w:cstheme="minorHAnsi"/>
                <w:color w:val="000000"/>
                <w:sz w:val="20"/>
                <w:szCs w:val="20"/>
              </w:rPr>
            </w:pPr>
            <w:r w:rsidRPr="00983219">
              <w:rPr>
                <w:rFonts w:cstheme="minorHAnsi"/>
                <w:color w:val="000000"/>
                <w:sz w:val="20"/>
                <w:szCs w:val="20"/>
              </w:rPr>
              <w:t>Fatty Liver</w:t>
            </w:r>
          </w:p>
        </w:tc>
        <w:tc>
          <w:tcPr>
            <w:tcW w:w="2264" w:type="dxa"/>
            <w:shd w:val="clear" w:color="auto" w:fill="auto"/>
            <w:tcMar>
              <w:top w:w="15" w:type="dxa"/>
              <w:left w:w="15" w:type="dxa"/>
              <w:bottom w:w="0" w:type="dxa"/>
              <w:right w:w="15" w:type="dxa"/>
            </w:tcMar>
            <w:vAlign w:val="center"/>
            <w:hideMark/>
          </w:tcPr>
          <w:p w14:paraId="19D50754" w14:textId="77777777" w:rsidR="00097B3B" w:rsidRPr="00983219" w:rsidRDefault="00097B3B">
            <w:pPr>
              <w:rPr>
                <w:rFonts w:cstheme="minorHAnsi"/>
                <w:color w:val="000000"/>
                <w:sz w:val="20"/>
                <w:szCs w:val="20"/>
              </w:rPr>
            </w:pPr>
            <w:r w:rsidRPr="00983219">
              <w:rPr>
                <w:rFonts w:cstheme="minorHAnsi"/>
                <w:color w:val="000000"/>
                <w:sz w:val="20"/>
                <w:szCs w:val="20"/>
              </w:rPr>
              <w:t>UT Southwestern - Advanced Imaging Research Center, Dallas, Texas, United States</w:t>
            </w:r>
          </w:p>
        </w:tc>
        <w:tc>
          <w:tcPr>
            <w:tcW w:w="4417" w:type="dxa"/>
            <w:shd w:val="clear" w:color="auto" w:fill="auto"/>
            <w:tcMar>
              <w:top w:w="15" w:type="dxa"/>
              <w:left w:w="15" w:type="dxa"/>
              <w:bottom w:w="0" w:type="dxa"/>
              <w:right w:w="15" w:type="dxa"/>
            </w:tcMar>
            <w:vAlign w:val="center"/>
            <w:hideMark/>
          </w:tcPr>
          <w:p w14:paraId="1C86D61E" w14:textId="618AA932" w:rsidR="00252893" w:rsidRPr="00252893" w:rsidRDefault="00955B21" w:rsidP="00252893">
            <w:pPr>
              <w:rPr>
                <w:rFonts w:cstheme="minorHAnsi"/>
                <w:color w:val="0000FF"/>
                <w:sz w:val="20"/>
                <w:szCs w:val="20"/>
              </w:rPr>
            </w:pPr>
            <w:hyperlink r:id="rId64" w:history="1">
              <w:r w:rsidR="00097B3B" w:rsidRPr="00252893">
                <w:rPr>
                  <w:rStyle w:val="Hyperlink"/>
                  <w:rFonts w:cstheme="minorHAnsi"/>
                  <w:color w:val="0000FF"/>
                  <w:sz w:val="20"/>
                  <w:szCs w:val="20"/>
                </w:rPr>
                <w:t>https://clinicaltrials.gov/ct2/show/NCT03480594</w:t>
              </w:r>
            </w:hyperlink>
          </w:p>
        </w:tc>
      </w:tr>
      <w:tr w:rsidR="00097B3B" w:rsidRPr="00983219" w14:paraId="5FA809F5" w14:textId="77777777" w:rsidTr="00202E51">
        <w:trPr>
          <w:cantSplit/>
          <w:trHeight w:val="20"/>
        </w:trPr>
        <w:tc>
          <w:tcPr>
            <w:tcW w:w="3524" w:type="dxa"/>
            <w:shd w:val="clear" w:color="auto" w:fill="auto"/>
            <w:tcMar>
              <w:top w:w="15" w:type="dxa"/>
              <w:left w:w="15" w:type="dxa"/>
              <w:bottom w:w="0" w:type="dxa"/>
              <w:right w:w="15" w:type="dxa"/>
            </w:tcMar>
            <w:vAlign w:val="center"/>
            <w:hideMark/>
          </w:tcPr>
          <w:p w14:paraId="1C9382AA" w14:textId="77777777" w:rsidR="00097B3B" w:rsidRPr="00983219" w:rsidRDefault="00097B3B">
            <w:pPr>
              <w:rPr>
                <w:rFonts w:cstheme="minorHAnsi"/>
                <w:color w:val="000000"/>
                <w:sz w:val="20"/>
                <w:szCs w:val="20"/>
              </w:rPr>
            </w:pPr>
            <w:r w:rsidRPr="00983219">
              <w:rPr>
                <w:rFonts w:cstheme="minorHAnsi"/>
                <w:color w:val="000000"/>
                <w:sz w:val="20"/>
                <w:szCs w:val="20"/>
              </w:rPr>
              <w:t>Imaging of Traumatic Brain Injury Metabolism Using Hyperpolarized</w:t>
            </w:r>
            <w:r w:rsidRPr="00983219">
              <w:rPr>
                <w:rFonts w:cstheme="minorHAnsi"/>
                <w:color w:val="1A3D85"/>
                <w:sz w:val="20"/>
                <w:szCs w:val="20"/>
              </w:rPr>
              <w:t> </w:t>
            </w:r>
            <w:r w:rsidRPr="00983219">
              <w:rPr>
                <w:rFonts w:cstheme="minorHAnsi"/>
                <w:color w:val="000000"/>
                <w:sz w:val="20"/>
                <w:szCs w:val="20"/>
              </w:rPr>
              <w:t>Carbon-13</w:t>
            </w:r>
            <w:r w:rsidRPr="00983219">
              <w:rPr>
                <w:rFonts w:cstheme="minorHAnsi"/>
                <w:color w:val="1A3D85"/>
                <w:sz w:val="20"/>
                <w:szCs w:val="20"/>
              </w:rPr>
              <w:t> </w:t>
            </w:r>
            <w:r w:rsidRPr="00983219">
              <w:rPr>
                <w:rFonts w:cstheme="minorHAnsi"/>
                <w:color w:val="000000"/>
                <w:sz w:val="20"/>
                <w:szCs w:val="20"/>
              </w:rPr>
              <w:t>Pyruvate</w:t>
            </w:r>
          </w:p>
        </w:tc>
        <w:tc>
          <w:tcPr>
            <w:tcW w:w="1241" w:type="dxa"/>
            <w:shd w:val="clear" w:color="auto" w:fill="auto"/>
            <w:tcMar>
              <w:top w:w="15" w:type="dxa"/>
              <w:left w:w="15" w:type="dxa"/>
              <w:bottom w:w="0" w:type="dxa"/>
              <w:right w:w="15" w:type="dxa"/>
            </w:tcMar>
            <w:vAlign w:val="center"/>
            <w:hideMark/>
          </w:tcPr>
          <w:p w14:paraId="6208879A" w14:textId="1F3A7E8C" w:rsidR="00097B3B" w:rsidRPr="00983219" w:rsidRDefault="00097B3B">
            <w:pPr>
              <w:rPr>
                <w:rFonts w:cstheme="minorHAnsi"/>
                <w:color w:val="000000"/>
                <w:sz w:val="20"/>
                <w:szCs w:val="20"/>
              </w:rPr>
            </w:pPr>
            <w:r w:rsidRPr="00983219">
              <w:rPr>
                <w:rFonts w:cstheme="minorHAnsi"/>
                <w:color w:val="000000"/>
                <w:sz w:val="20"/>
                <w:szCs w:val="20"/>
              </w:rPr>
              <w:t>Enrolling by invitation</w:t>
            </w:r>
          </w:p>
        </w:tc>
        <w:tc>
          <w:tcPr>
            <w:tcW w:w="2498" w:type="dxa"/>
            <w:shd w:val="clear" w:color="auto" w:fill="auto"/>
            <w:tcMar>
              <w:top w:w="15" w:type="dxa"/>
              <w:left w:w="15" w:type="dxa"/>
              <w:bottom w:w="0" w:type="dxa"/>
              <w:right w:w="15" w:type="dxa"/>
            </w:tcMar>
            <w:vAlign w:val="center"/>
            <w:hideMark/>
          </w:tcPr>
          <w:p w14:paraId="7C470299" w14:textId="77777777" w:rsidR="00097B3B" w:rsidRPr="00983219" w:rsidRDefault="00097B3B">
            <w:pPr>
              <w:rPr>
                <w:rFonts w:cstheme="minorHAnsi"/>
                <w:color w:val="000000"/>
                <w:sz w:val="20"/>
                <w:szCs w:val="20"/>
              </w:rPr>
            </w:pPr>
            <w:r w:rsidRPr="00983219">
              <w:rPr>
                <w:rFonts w:cstheme="minorHAnsi"/>
                <w:color w:val="000000"/>
                <w:sz w:val="20"/>
                <w:szCs w:val="20"/>
              </w:rPr>
              <w:t>Traumatic Brain Injury</w:t>
            </w:r>
          </w:p>
        </w:tc>
        <w:tc>
          <w:tcPr>
            <w:tcW w:w="2264" w:type="dxa"/>
            <w:shd w:val="clear" w:color="auto" w:fill="auto"/>
            <w:tcMar>
              <w:top w:w="15" w:type="dxa"/>
              <w:left w:w="15" w:type="dxa"/>
              <w:bottom w:w="0" w:type="dxa"/>
              <w:right w:w="15" w:type="dxa"/>
            </w:tcMar>
            <w:vAlign w:val="center"/>
            <w:hideMark/>
          </w:tcPr>
          <w:p w14:paraId="4B3B97C0" w14:textId="77777777" w:rsidR="00097B3B" w:rsidRPr="00983219" w:rsidRDefault="00097B3B">
            <w:pPr>
              <w:rPr>
                <w:rFonts w:cstheme="minorHAnsi"/>
                <w:color w:val="000000"/>
                <w:sz w:val="20"/>
                <w:szCs w:val="20"/>
              </w:rPr>
            </w:pPr>
            <w:r w:rsidRPr="00983219">
              <w:rPr>
                <w:rFonts w:cstheme="minorHAnsi"/>
                <w:color w:val="000000"/>
                <w:sz w:val="20"/>
                <w:szCs w:val="20"/>
              </w:rPr>
              <w:t>UT Southwestern – Advanced Imaging Research Center, Dallas, Texas, United States</w:t>
            </w:r>
          </w:p>
        </w:tc>
        <w:tc>
          <w:tcPr>
            <w:tcW w:w="4417" w:type="dxa"/>
            <w:shd w:val="clear" w:color="auto" w:fill="auto"/>
            <w:tcMar>
              <w:top w:w="15" w:type="dxa"/>
              <w:left w:w="15" w:type="dxa"/>
              <w:bottom w:w="0" w:type="dxa"/>
              <w:right w:w="15" w:type="dxa"/>
            </w:tcMar>
            <w:vAlign w:val="center"/>
            <w:hideMark/>
          </w:tcPr>
          <w:p w14:paraId="48397771" w14:textId="77777777" w:rsidR="00097B3B" w:rsidRPr="00983219" w:rsidRDefault="00955B21">
            <w:pPr>
              <w:rPr>
                <w:rFonts w:cstheme="minorHAnsi"/>
                <w:color w:val="0563C1"/>
                <w:sz w:val="20"/>
                <w:szCs w:val="20"/>
                <w:u w:val="single"/>
              </w:rPr>
            </w:pPr>
            <w:hyperlink r:id="rId65" w:history="1">
              <w:r w:rsidR="00097B3B" w:rsidRPr="00983219">
                <w:rPr>
                  <w:rStyle w:val="Hyperlink"/>
                  <w:rFonts w:cstheme="minorHAnsi"/>
                  <w:sz w:val="20"/>
                  <w:szCs w:val="20"/>
                </w:rPr>
                <w:t>https://clinicaltrials.gov/ct2/show/NCT03502967</w:t>
              </w:r>
            </w:hyperlink>
          </w:p>
        </w:tc>
      </w:tr>
      <w:tr w:rsidR="00097B3B" w:rsidRPr="00983219" w14:paraId="2D697606" w14:textId="77777777" w:rsidTr="00202E51">
        <w:trPr>
          <w:cantSplit/>
          <w:trHeight w:val="20"/>
        </w:trPr>
        <w:tc>
          <w:tcPr>
            <w:tcW w:w="3524" w:type="dxa"/>
            <w:shd w:val="clear" w:color="auto" w:fill="auto"/>
            <w:tcMar>
              <w:top w:w="15" w:type="dxa"/>
              <w:left w:w="15" w:type="dxa"/>
              <w:bottom w:w="0" w:type="dxa"/>
              <w:right w:w="15" w:type="dxa"/>
            </w:tcMar>
            <w:vAlign w:val="center"/>
            <w:hideMark/>
          </w:tcPr>
          <w:p w14:paraId="4C92E906" w14:textId="5793FC7D" w:rsidR="00097B3B" w:rsidRPr="00983219" w:rsidRDefault="00DD48C0">
            <w:pPr>
              <w:rPr>
                <w:rFonts w:cstheme="minorHAnsi"/>
                <w:color w:val="000000"/>
                <w:sz w:val="20"/>
                <w:szCs w:val="20"/>
              </w:rPr>
            </w:pPr>
            <w:r w:rsidRPr="00983219">
              <w:rPr>
                <w:rFonts w:cstheme="minorHAnsi"/>
                <w:color w:val="000000"/>
                <w:sz w:val="20"/>
                <w:szCs w:val="20"/>
              </w:rPr>
              <w:t>Using Hyperpolarized [1-13</w:t>
            </w:r>
            <w:proofErr w:type="gramStart"/>
            <w:r w:rsidRPr="00983219">
              <w:rPr>
                <w:rFonts w:cstheme="minorHAnsi"/>
                <w:color w:val="000000"/>
                <w:sz w:val="20"/>
                <w:szCs w:val="20"/>
              </w:rPr>
              <w:t>C]Pyruvate</w:t>
            </w:r>
            <w:proofErr w:type="gramEnd"/>
            <w:r w:rsidRPr="00983219">
              <w:rPr>
                <w:rFonts w:cstheme="minorHAnsi"/>
                <w:color w:val="000000"/>
                <w:sz w:val="20"/>
                <w:szCs w:val="20"/>
              </w:rPr>
              <w:t xml:space="preserve"> to Detect Cardiotoxicity (</w:t>
            </w:r>
            <w:proofErr w:type="spellStart"/>
            <w:r w:rsidRPr="00983219">
              <w:rPr>
                <w:rFonts w:cstheme="minorHAnsi"/>
                <w:color w:val="000000"/>
                <w:sz w:val="20"/>
                <w:szCs w:val="20"/>
              </w:rPr>
              <w:t>HPCardiotox</w:t>
            </w:r>
            <w:proofErr w:type="spellEnd"/>
            <w:r w:rsidRPr="00983219">
              <w:rPr>
                <w:rFonts w:cstheme="minorHAnsi"/>
                <w:color w:val="000000"/>
                <w:sz w:val="20"/>
                <w:szCs w:val="20"/>
              </w:rPr>
              <w:t>)</w:t>
            </w:r>
          </w:p>
        </w:tc>
        <w:tc>
          <w:tcPr>
            <w:tcW w:w="1241" w:type="dxa"/>
            <w:shd w:val="clear" w:color="auto" w:fill="auto"/>
            <w:tcMar>
              <w:top w:w="15" w:type="dxa"/>
              <w:left w:w="15" w:type="dxa"/>
              <w:bottom w:w="0" w:type="dxa"/>
              <w:right w:w="15" w:type="dxa"/>
            </w:tcMar>
            <w:vAlign w:val="center"/>
            <w:hideMark/>
          </w:tcPr>
          <w:p w14:paraId="3B027009" w14:textId="634A3E05" w:rsidR="00097B3B" w:rsidRPr="00983219" w:rsidRDefault="00DD48C0">
            <w:pPr>
              <w:rPr>
                <w:rFonts w:cstheme="minorHAnsi"/>
                <w:color w:val="000000"/>
                <w:sz w:val="20"/>
                <w:szCs w:val="20"/>
              </w:rPr>
            </w:pPr>
            <w:r w:rsidRPr="00983219">
              <w:rPr>
                <w:rFonts w:cstheme="minorHAnsi"/>
                <w:color w:val="000000"/>
                <w:sz w:val="20"/>
                <w:szCs w:val="20"/>
              </w:rPr>
              <w:t>Enrolling by invitation</w:t>
            </w:r>
          </w:p>
        </w:tc>
        <w:tc>
          <w:tcPr>
            <w:tcW w:w="2498" w:type="dxa"/>
            <w:shd w:val="clear" w:color="auto" w:fill="auto"/>
            <w:tcMar>
              <w:top w:w="15" w:type="dxa"/>
              <w:left w:w="15" w:type="dxa"/>
              <w:bottom w:w="0" w:type="dxa"/>
              <w:right w:w="15" w:type="dxa"/>
            </w:tcMar>
            <w:vAlign w:val="center"/>
            <w:hideMark/>
          </w:tcPr>
          <w:p w14:paraId="6790CF7A" w14:textId="77777777" w:rsidR="00097B3B" w:rsidRPr="00983219" w:rsidRDefault="00097B3B">
            <w:pPr>
              <w:rPr>
                <w:rFonts w:cstheme="minorHAnsi"/>
                <w:color w:val="000000"/>
                <w:sz w:val="20"/>
                <w:szCs w:val="20"/>
              </w:rPr>
            </w:pPr>
            <w:r w:rsidRPr="00983219">
              <w:rPr>
                <w:rFonts w:cstheme="minorHAnsi"/>
                <w:color w:val="000000"/>
                <w:sz w:val="20"/>
                <w:szCs w:val="20"/>
              </w:rPr>
              <w:t>Breast Neoplasms</w:t>
            </w:r>
          </w:p>
        </w:tc>
        <w:tc>
          <w:tcPr>
            <w:tcW w:w="2264" w:type="dxa"/>
            <w:shd w:val="clear" w:color="auto" w:fill="auto"/>
            <w:tcMar>
              <w:top w:w="15" w:type="dxa"/>
              <w:left w:w="15" w:type="dxa"/>
              <w:bottom w:w="0" w:type="dxa"/>
              <w:right w:w="15" w:type="dxa"/>
            </w:tcMar>
            <w:vAlign w:val="center"/>
            <w:hideMark/>
          </w:tcPr>
          <w:p w14:paraId="39745CBA" w14:textId="77777777" w:rsidR="00097B3B" w:rsidRPr="00983219" w:rsidRDefault="00097B3B">
            <w:pPr>
              <w:rPr>
                <w:rFonts w:cstheme="minorHAnsi"/>
                <w:color w:val="000000"/>
                <w:sz w:val="20"/>
                <w:szCs w:val="20"/>
              </w:rPr>
            </w:pPr>
            <w:r w:rsidRPr="00983219">
              <w:rPr>
                <w:rFonts w:cstheme="minorHAnsi"/>
                <w:color w:val="000000"/>
                <w:sz w:val="20"/>
                <w:szCs w:val="20"/>
              </w:rPr>
              <w:t>UT Southwestern – Advanced Imaging Research Center, Dallas, Texas, United States</w:t>
            </w:r>
          </w:p>
        </w:tc>
        <w:tc>
          <w:tcPr>
            <w:tcW w:w="4417" w:type="dxa"/>
            <w:shd w:val="clear" w:color="auto" w:fill="auto"/>
            <w:tcMar>
              <w:top w:w="15" w:type="dxa"/>
              <w:left w:w="15" w:type="dxa"/>
              <w:bottom w:w="0" w:type="dxa"/>
              <w:right w:w="15" w:type="dxa"/>
            </w:tcMar>
            <w:vAlign w:val="center"/>
            <w:hideMark/>
          </w:tcPr>
          <w:p w14:paraId="40162A81" w14:textId="77777777" w:rsidR="00097B3B" w:rsidRPr="00983219" w:rsidRDefault="00955B21">
            <w:pPr>
              <w:rPr>
                <w:rFonts w:cstheme="minorHAnsi"/>
                <w:color w:val="0563C1"/>
                <w:sz w:val="20"/>
                <w:szCs w:val="20"/>
                <w:u w:val="single"/>
              </w:rPr>
            </w:pPr>
            <w:hyperlink r:id="rId66" w:history="1">
              <w:r w:rsidR="00097B3B" w:rsidRPr="00983219">
                <w:rPr>
                  <w:rStyle w:val="Hyperlink"/>
                  <w:rFonts w:cstheme="minorHAnsi"/>
                  <w:sz w:val="20"/>
                  <w:szCs w:val="20"/>
                </w:rPr>
                <w:t>https://clinicaltrials.gov/ct2/show/NCT03685175</w:t>
              </w:r>
            </w:hyperlink>
          </w:p>
        </w:tc>
      </w:tr>
      <w:tr w:rsidR="00097B3B" w:rsidRPr="00983219" w14:paraId="66F694CA" w14:textId="77777777" w:rsidTr="00202E51">
        <w:trPr>
          <w:cantSplit/>
          <w:trHeight w:val="20"/>
        </w:trPr>
        <w:tc>
          <w:tcPr>
            <w:tcW w:w="3524" w:type="dxa"/>
            <w:shd w:val="clear" w:color="auto" w:fill="auto"/>
            <w:tcMar>
              <w:top w:w="15" w:type="dxa"/>
              <w:left w:w="15" w:type="dxa"/>
              <w:bottom w:w="0" w:type="dxa"/>
              <w:right w:w="15" w:type="dxa"/>
            </w:tcMar>
            <w:vAlign w:val="center"/>
            <w:hideMark/>
          </w:tcPr>
          <w:p w14:paraId="41E191E1" w14:textId="77777777" w:rsidR="00097B3B" w:rsidRPr="00983219" w:rsidRDefault="00097B3B">
            <w:pPr>
              <w:rPr>
                <w:rFonts w:cstheme="minorHAnsi"/>
                <w:sz w:val="20"/>
                <w:szCs w:val="20"/>
              </w:rPr>
            </w:pPr>
            <w:r w:rsidRPr="00983219">
              <w:rPr>
                <w:rFonts w:cstheme="minorHAnsi"/>
                <w:sz w:val="20"/>
                <w:szCs w:val="20"/>
              </w:rPr>
              <w:t>Metabolic Characteristics of Sarcoma In Vivo Using HP 13-C Magnetic Resonance Spectroscopic Imaging (MRSI)</w:t>
            </w:r>
          </w:p>
        </w:tc>
        <w:tc>
          <w:tcPr>
            <w:tcW w:w="1241" w:type="dxa"/>
            <w:shd w:val="clear" w:color="auto" w:fill="auto"/>
            <w:tcMar>
              <w:top w:w="15" w:type="dxa"/>
              <w:left w:w="15" w:type="dxa"/>
              <w:bottom w:w="0" w:type="dxa"/>
              <w:right w:w="15" w:type="dxa"/>
            </w:tcMar>
            <w:vAlign w:val="center"/>
            <w:hideMark/>
          </w:tcPr>
          <w:p w14:paraId="05A64C71" w14:textId="323A3443" w:rsidR="00097B3B" w:rsidRPr="00983219" w:rsidRDefault="00DD48C0">
            <w:pPr>
              <w:rPr>
                <w:rFonts w:cstheme="minorHAnsi"/>
                <w:color w:val="000000"/>
                <w:sz w:val="20"/>
                <w:szCs w:val="20"/>
              </w:rPr>
            </w:pPr>
            <w:r w:rsidRPr="00983219">
              <w:rPr>
                <w:rFonts w:cstheme="minorHAnsi"/>
                <w:color w:val="000000"/>
                <w:sz w:val="20"/>
                <w:szCs w:val="20"/>
              </w:rPr>
              <w:t>Withdrawn</w:t>
            </w:r>
          </w:p>
        </w:tc>
        <w:tc>
          <w:tcPr>
            <w:tcW w:w="2498" w:type="dxa"/>
            <w:shd w:val="clear" w:color="auto" w:fill="auto"/>
            <w:tcMar>
              <w:top w:w="15" w:type="dxa"/>
              <w:left w:w="15" w:type="dxa"/>
              <w:bottom w:w="0" w:type="dxa"/>
              <w:right w:w="15" w:type="dxa"/>
            </w:tcMar>
            <w:vAlign w:val="center"/>
            <w:hideMark/>
          </w:tcPr>
          <w:p w14:paraId="57CF4D83" w14:textId="77777777" w:rsidR="00097B3B" w:rsidRPr="00983219" w:rsidRDefault="00097B3B">
            <w:pPr>
              <w:rPr>
                <w:rFonts w:cstheme="minorHAnsi"/>
                <w:color w:val="000000"/>
                <w:sz w:val="20"/>
                <w:szCs w:val="20"/>
              </w:rPr>
            </w:pPr>
            <w:r w:rsidRPr="00983219">
              <w:rPr>
                <w:rFonts w:cstheme="minorHAnsi"/>
                <w:color w:val="000000"/>
                <w:sz w:val="20"/>
                <w:szCs w:val="20"/>
              </w:rPr>
              <w:t>Sarcoma, Soft Tissue</w:t>
            </w:r>
          </w:p>
        </w:tc>
        <w:tc>
          <w:tcPr>
            <w:tcW w:w="2264" w:type="dxa"/>
            <w:shd w:val="clear" w:color="auto" w:fill="auto"/>
            <w:tcMar>
              <w:top w:w="15" w:type="dxa"/>
              <w:left w:w="15" w:type="dxa"/>
              <w:bottom w:w="0" w:type="dxa"/>
              <w:right w:w="15" w:type="dxa"/>
            </w:tcMar>
            <w:vAlign w:val="center"/>
            <w:hideMark/>
          </w:tcPr>
          <w:p w14:paraId="46DD78D9" w14:textId="77777777" w:rsidR="00097B3B" w:rsidRPr="00983219" w:rsidRDefault="00097B3B">
            <w:pPr>
              <w:rPr>
                <w:rFonts w:cstheme="minorHAnsi"/>
                <w:color w:val="000000"/>
                <w:sz w:val="20"/>
                <w:szCs w:val="20"/>
              </w:rPr>
            </w:pPr>
            <w:r w:rsidRPr="00983219">
              <w:rPr>
                <w:rFonts w:cstheme="minorHAnsi"/>
                <w:color w:val="000000"/>
                <w:sz w:val="20"/>
                <w:szCs w:val="20"/>
              </w:rPr>
              <w:t>UT Southwestern – Advanced</w:t>
            </w:r>
            <w:r w:rsidRPr="00983219">
              <w:rPr>
                <w:rFonts w:cstheme="minorHAnsi"/>
                <w:color w:val="FFFFFF"/>
                <w:sz w:val="20"/>
                <w:szCs w:val="20"/>
              </w:rPr>
              <w:t xml:space="preserve"> </w:t>
            </w:r>
            <w:r w:rsidRPr="00983219">
              <w:rPr>
                <w:rFonts w:cstheme="minorHAnsi"/>
                <w:color w:val="000000"/>
                <w:sz w:val="20"/>
                <w:szCs w:val="20"/>
              </w:rPr>
              <w:t>Research Center, Dallas, Texas, United States</w:t>
            </w:r>
          </w:p>
        </w:tc>
        <w:tc>
          <w:tcPr>
            <w:tcW w:w="4417" w:type="dxa"/>
            <w:shd w:val="clear" w:color="auto" w:fill="auto"/>
            <w:tcMar>
              <w:top w:w="15" w:type="dxa"/>
              <w:left w:w="15" w:type="dxa"/>
              <w:bottom w:w="0" w:type="dxa"/>
              <w:right w:w="15" w:type="dxa"/>
            </w:tcMar>
            <w:vAlign w:val="center"/>
            <w:hideMark/>
          </w:tcPr>
          <w:p w14:paraId="39720A01" w14:textId="77777777" w:rsidR="00097B3B" w:rsidRPr="00983219" w:rsidRDefault="00955B21">
            <w:pPr>
              <w:rPr>
                <w:rFonts w:cstheme="minorHAnsi"/>
                <w:color w:val="0563C1"/>
                <w:sz w:val="20"/>
                <w:szCs w:val="20"/>
                <w:u w:val="single"/>
              </w:rPr>
            </w:pPr>
            <w:hyperlink r:id="rId67" w:history="1">
              <w:r w:rsidR="00097B3B" w:rsidRPr="00983219">
                <w:rPr>
                  <w:rStyle w:val="Hyperlink"/>
                  <w:rFonts w:cstheme="minorHAnsi"/>
                  <w:sz w:val="20"/>
                  <w:szCs w:val="20"/>
                </w:rPr>
                <w:t>https://clinicaltrials.gov/ct2/show/NCT03759704</w:t>
              </w:r>
            </w:hyperlink>
          </w:p>
        </w:tc>
      </w:tr>
      <w:tr w:rsidR="00097B3B" w:rsidRPr="00983219" w14:paraId="4334C3AD" w14:textId="77777777" w:rsidTr="00202E51">
        <w:trPr>
          <w:cantSplit/>
          <w:trHeight w:val="20"/>
        </w:trPr>
        <w:tc>
          <w:tcPr>
            <w:tcW w:w="3524" w:type="dxa"/>
            <w:shd w:val="clear" w:color="auto" w:fill="auto"/>
            <w:tcMar>
              <w:top w:w="15" w:type="dxa"/>
              <w:left w:w="15" w:type="dxa"/>
              <w:bottom w:w="0" w:type="dxa"/>
              <w:right w:w="15" w:type="dxa"/>
            </w:tcMar>
            <w:vAlign w:val="center"/>
            <w:hideMark/>
          </w:tcPr>
          <w:p w14:paraId="1CB6EDB7" w14:textId="77777777" w:rsidR="00097B3B" w:rsidRPr="00983219" w:rsidRDefault="00097B3B">
            <w:pPr>
              <w:rPr>
                <w:rFonts w:cstheme="minorHAnsi"/>
                <w:color w:val="000000"/>
                <w:sz w:val="20"/>
                <w:szCs w:val="20"/>
              </w:rPr>
            </w:pPr>
            <w:r w:rsidRPr="00983219">
              <w:rPr>
                <w:rFonts w:cstheme="minorHAnsi"/>
                <w:color w:val="000000"/>
                <w:sz w:val="20"/>
                <w:szCs w:val="20"/>
              </w:rPr>
              <w:t>Metabolic Characteristics of Brain Tumors Using Hyperpolarized Carbon-13 Magnetic Resonance Spectroscopic Imaging (MRSI)</w:t>
            </w:r>
          </w:p>
        </w:tc>
        <w:tc>
          <w:tcPr>
            <w:tcW w:w="1241" w:type="dxa"/>
            <w:shd w:val="clear" w:color="auto" w:fill="auto"/>
            <w:tcMar>
              <w:top w:w="15" w:type="dxa"/>
              <w:left w:w="15" w:type="dxa"/>
              <w:bottom w:w="0" w:type="dxa"/>
              <w:right w:w="15" w:type="dxa"/>
            </w:tcMar>
            <w:vAlign w:val="center"/>
            <w:hideMark/>
          </w:tcPr>
          <w:p w14:paraId="30CA4146" w14:textId="7DF3BE23" w:rsidR="00097B3B" w:rsidRPr="00983219" w:rsidRDefault="00DD48C0">
            <w:pPr>
              <w:rPr>
                <w:rFonts w:cstheme="minorHAnsi"/>
                <w:color w:val="000000"/>
                <w:sz w:val="20"/>
                <w:szCs w:val="20"/>
              </w:rPr>
            </w:pPr>
            <w:r w:rsidRPr="00983219">
              <w:rPr>
                <w:rFonts w:cstheme="minorHAnsi"/>
                <w:color w:val="000000"/>
                <w:sz w:val="20"/>
                <w:szCs w:val="20"/>
              </w:rPr>
              <w:t>R</w:t>
            </w:r>
            <w:r w:rsidR="00097B3B" w:rsidRPr="00983219">
              <w:rPr>
                <w:rFonts w:cstheme="minorHAnsi"/>
                <w:color w:val="000000"/>
                <w:sz w:val="20"/>
                <w:szCs w:val="20"/>
              </w:rPr>
              <w:t>ecruiting</w:t>
            </w:r>
          </w:p>
        </w:tc>
        <w:tc>
          <w:tcPr>
            <w:tcW w:w="2498" w:type="dxa"/>
            <w:shd w:val="clear" w:color="auto" w:fill="auto"/>
            <w:tcMar>
              <w:top w:w="15" w:type="dxa"/>
              <w:left w:w="15" w:type="dxa"/>
              <w:bottom w:w="0" w:type="dxa"/>
              <w:right w:w="15" w:type="dxa"/>
            </w:tcMar>
            <w:vAlign w:val="center"/>
            <w:hideMark/>
          </w:tcPr>
          <w:p w14:paraId="5A36F252" w14:textId="77777777" w:rsidR="00097B3B" w:rsidRPr="00983219" w:rsidRDefault="00097B3B">
            <w:pPr>
              <w:rPr>
                <w:rFonts w:cstheme="minorHAnsi"/>
                <w:color w:val="000000"/>
                <w:sz w:val="20"/>
                <w:szCs w:val="20"/>
              </w:rPr>
            </w:pPr>
            <w:r w:rsidRPr="00983219">
              <w:rPr>
                <w:rFonts w:cstheme="minorHAnsi"/>
                <w:color w:val="000000"/>
                <w:sz w:val="20"/>
                <w:szCs w:val="20"/>
              </w:rPr>
              <w:t>Brain Tumor Adult</w:t>
            </w:r>
          </w:p>
        </w:tc>
        <w:tc>
          <w:tcPr>
            <w:tcW w:w="2264" w:type="dxa"/>
            <w:shd w:val="clear" w:color="auto" w:fill="auto"/>
            <w:tcMar>
              <w:top w:w="15" w:type="dxa"/>
              <w:left w:w="15" w:type="dxa"/>
              <w:bottom w:w="0" w:type="dxa"/>
              <w:right w:w="15" w:type="dxa"/>
            </w:tcMar>
            <w:vAlign w:val="center"/>
            <w:hideMark/>
          </w:tcPr>
          <w:p w14:paraId="08FB101B" w14:textId="77777777" w:rsidR="00097B3B" w:rsidRPr="00983219" w:rsidRDefault="00097B3B">
            <w:pPr>
              <w:rPr>
                <w:rFonts w:cstheme="minorHAnsi"/>
                <w:color w:val="000000"/>
                <w:sz w:val="20"/>
                <w:szCs w:val="20"/>
              </w:rPr>
            </w:pPr>
            <w:r w:rsidRPr="00983219">
              <w:rPr>
                <w:rFonts w:cstheme="minorHAnsi"/>
                <w:color w:val="000000"/>
                <w:sz w:val="20"/>
                <w:szCs w:val="20"/>
                <w:lang w:val="en"/>
              </w:rPr>
              <w:t>UT Southwestern Medical Center, Dallas, Texas, United States</w:t>
            </w:r>
          </w:p>
        </w:tc>
        <w:tc>
          <w:tcPr>
            <w:tcW w:w="4417" w:type="dxa"/>
            <w:shd w:val="clear" w:color="auto" w:fill="auto"/>
            <w:tcMar>
              <w:top w:w="15" w:type="dxa"/>
              <w:left w:w="15" w:type="dxa"/>
              <w:bottom w:w="0" w:type="dxa"/>
              <w:right w:w="15" w:type="dxa"/>
            </w:tcMar>
            <w:vAlign w:val="center"/>
            <w:hideMark/>
          </w:tcPr>
          <w:p w14:paraId="22A586E5" w14:textId="77777777" w:rsidR="00097B3B" w:rsidRPr="00983219" w:rsidRDefault="00955B21">
            <w:pPr>
              <w:rPr>
                <w:rFonts w:cstheme="minorHAnsi"/>
                <w:color w:val="0563C1"/>
                <w:sz w:val="20"/>
                <w:szCs w:val="20"/>
                <w:u w:val="single"/>
              </w:rPr>
            </w:pPr>
            <w:hyperlink r:id="rId68" w:history="1">
              <w:r w:rsidR="00097B3B" w:rsidRPr="00983219">
                <w:rPr>
                  <w:rStyle w:val="Hyperlink"/>
                  <w:rFonts w:cstheme="minorHAnsi"/>
                  <w:sz w:val="20"/>
                  <w:szCs w:val="20"/>
                </w:rPr>
                <w:t xml:space="preserve">https://ClinicalTrials.gov/show/NCT03067467 </w:t>
              </w:r>
            </w:hyperlink>
          </w:p>
        </w:tc>
      </w:tr>
      <w:tr w:rsidR="00097B3B" w:rsidRPr="00983219" w14:paraId="35A737E6" w14:textId="77777777" w:rsidTr="00202E51">
        <w:trPr>
          <w:cantSplit/>
          <w:trHeight w:val="20"/>
        </w:trPr>
        <w:tc>
          <w:tcPr>
            <w:tcW w:w="3524" w:type="dxa"/>
            <w:shd w:val="clear" w:color="auto" w:fill="auto"/>
            <w:tcMar>
              <w:top w:w="15" w:type="dxa"/>
              <w:left w:w="15" w:type="dxa"/>
              <w:bottom w:w="0" w:type="dxa"/>
              <w:right w:w="15" w:type="dxa"/>
            </w:tcMar>
            <w:vAlign w:val="center"/>
            <w:hideMark/>
          </w:tcPr>
          <w:p w14:paraId="5A439E6F" w14:textId="77777777" w:rsidR="00097B3B" w:rsidRPr="00983219" w:rsidRDefault="00097B3B">
            <w:pPr>
              <w:rPr>
                <w:rFonts w:cstheme="minorHAnsi"/>
                <w:color w:val="000000"/>
                <w:sz w:val="20"/>
                <w:szCs w:val="20"/>
              </w:rPr>
            </w:pPr>
            <w:r w:rsidRPr="00983219">
              <w:rPr>
                <w:rFonts w:cstheme="minorHAnsi"/>
                <w:color w:val="000000"/>
                <w:sz w:val="20"/>
                <w:szCs w:val="20"/>
              </w:rPr>
              <w:t>UTSW HP [13-C] Pyruvate Injection in HCM</w:t>
            </w:r>
          </w:p>
        </w:tc>
        <w:tc>
          <w:tcPr>
            <w:tcW w:w="1241" w:type="dxa"/>
            <w:shd w:val="clear" w:color="auto" w:fill="auto"/>
            <w:tcMar>
              <w:top w:w="15" w:type="dxa"/>
              <w:left w:w="15" w:type="dxa"/>
              <w:bottom w:w="0" w:type="dxa"/>
              <w:right w:w="15" w:type="dxa"/>
            </w:tcMar>
            <w:vAlign w:val="center"/>
            <w:hideMark/>
          </w:tcPr>
          <w:p w14:paraId="6F21F950" w14:textId="0AD22FB7" w:rsidR="00097B3B" w:rsidRPr="00983219" w:rsidRDefault="00DD48C0">
            <w:pPr>
              <w:rPr>
                <w:rFonts w:cstheme="minorHAnsi"/>
                <w:color w:val="000000"/>
                <w:sz w:val="20"/>
                <w:szCs w:val="20"/>
              </w:rPr>
            </w:pPr>
            <w:r w:rsidRPr="00983219">
              <w:rPr>
                <w:rFonts w:cstheme="minorHAnsi"/>
                <w:color w:val="000000"/>
                <w:sz w:val="20"/>
                <w:szCs w:val="20"/>
              </w:rPr>
              <w:t>Recruiting</w:t>
            </w:r>
          </w:p>
        </w:tc>
        <w:tc>
          <w:tcPr>
            <w:tcW w:w="2498" w:type="dxa"/>
            <w:shd w:val="clear" w:color="auto" w:fill="auto"/>
            <w:tcMar>
              <w:top w:w="15" w:type="dxa"/>
              <w:left w:w="15" w:type="dxa"/>
              <w:bottom w:w="0" w:type="dxa"/>
              <w:right w:w="15" w:type="dxa"/>
            </w:tcMar>
            <w:vAlign w:val="center"/>
            <w:hideMark/>
          </w:tcPr>
          <w:p w14:paraId="05666EF9" w14:textId="77777777" w:rsidR="00097B3B" w:rsidRPr="00983219" w:rsidRDefault="00097B3B">
            <w:pPr>
              <w:rPr>
                <w:rFonts w:cstheme="minorHAnsi"/>
                <w:color w:val="000000"/>
                <w:sz w:val="20"/>
                <w:szCs w:val="20"/>
              </w:rPr>
            </w:pPr>
            <w:r w:rsidRPr="00983219">
              <w:rPr>
                <w:rFonts w:cstheme="minorHAnsi"/>
                <w:color w:val="000000"/>
                <w:sz w:val="20"/>
                <w:szCs w:val="20"/>
              </w:rPr>
              <w:t>Cardiomyopathy, Hypertrophic</w:t>
            </w:r>
          </w:p>
        </w:tc>
        <w:tc>
          <w:tcPr>
            <w:tcW w:w="2264" w:type="dxa"/>
            <w:shd w:val="clear" w:color="auto" w:fill="auto"/>
            <w:tcMar>
              <w:top w:w="15" w:type="dxa"/>
              <w:left w:w="15" w:type="dxa"/>
              <w:bottom w:w="0" w:type="dxa"/>
              <w:right w:w="15" w:type="dxa"/>
            </w:tcMar>
            <w:vAlign w:val="center"/>
            <w:hideMark/>
          </w:tcPr>
          <w:p w14:paraId="45BBF224" w14:textId="77777777" w:rsidR="00097B3B" w:rsidRPr="00983219" w:rsidRDefault="00097B3B">
            <w:pPr>
              <w:rPr>
                <w:rFonts w:cstheme="minorHAnsi"/>
                <w:color w:val="000000"/>
                <w:sz w:val="20"/>
                <w:szCs w:val="20"/>
              </w:rPr>
            </w:pPr>
            <w:r w:rsidRPr="00983219">
              <w:rPr>
                <w:rFonts w:cstheme="minorHAnsi"/>
                <w:color w:val="000000"/>
                <w:sz w:val="20"/>
                <w:szCs w:val="20"/>
              </w:rPr>
              <w:t>UT Southwestern Medical Center - Advanced Imaging Research Center, Dallas, Texas, United States</w:t>
            </w:r>
          </w:p>
        </w:tc>
        <w:tc>
          <w:tcPr>
            <w:tcW w:w="4417" w:type="dxa"/>
            <w:shd w:val="clear" w:color="auto" w:fill="auto"/>
            <w:tcMar>
              <w:top w:w="15" w:type="dxa"/>
              <w:left w:w="15" w:type="dxa"/>
              <w:bottom w:w="0" w:type="dxa"/>
              <w:right w:w="15" w:type="dxa"/>
            </w:tcMar>
            <w:vAlign w:val="center"/>
            <w:hideMark/>
          </w:tcPr>
          <w:p w14:paraId="564524F2" w14:textId="77777777" w:rsidR="00097B3B" w:rsidRPr="00983219" w:rsidRDefault="00955B21">
            <w:pPr>
              <w:rPr>
                <w:rFonts w:cstheme="minorHAnsi"/>
                <w:color w:val="0563C1"/>
                <w:sz w:val="20"/>
                <w:szCs w:val="20"/>
                <w:u w:val="single"/>
              </w:rPr>
            </w:pPr>
            <w:hyperlink r:id="rId69" w:history="1">
              <w:r w:rsidR="00097B3B" w:rsidRPr="00983219">
                <w:rPr>
                  <w:rStyle w:val="Hyperlink"/>
                  <w:rFonts w:cstheme="minorHAnsi"/>
                  <w:sz w:val="20"/>
                  <w:szCs w:val="20"/>
                </w:rPr>
                <w:t xml:space="preserve">https://ClinicalTrials.gov/show/NCT03057002 </w:t>
              </w:r>
            </w:hyperlink>
          </w:p>
        </w:tc>
      </w:tr>
      <w:tr w:rsidR="00097B3B" w:rsidRPr="00983219" w14:paraId="56CA90F6" w14:textId="77777777" w:rsidTr="00202E51">
        <w:trPr>
          <w:cantSplit/>
          <w:trHeight w:val="20"/>
        </w:trPr>
        <w:tc>
          <w:tcPr>
            <w:tcW w:w="3524" w:type="dxa"/>
            <w:shd w:val="clear" w:color="auto" w:fill="auto"/>
            <w:tcMar>
              <w:top w:w="15" w:type="dxa"/>
              <w:left w:w="15" w:type="dxa"/>
              <w:bottom w:w="0" w:type="dxa"/>
              <w:right w:w="15" w:type="dxa"/>
            </w:tcMar>
            <w:vAlign w:val="center"/>
            <w:hideMark/>
          </w:tcPr>
          <w:p w14:paraId="6B18402E" w14:textId="77777777" w:rsidR="00097B3B" w:rsidRPr="00983219" w:rsidRDefault="00097B3B">
            <w:pPr>
              <w:rPr>
                <w:rFonts w:cstheme="minorHAnsi"/>
                <w:color w:val="000000"/>
                <w:sz w:val="20"/>
                <w:szCs w:val="20"/>
              </w:rPr>
            </w:pPr>
            <w:r w:rsidRPr="00983219">
              <w:rPr>
                <w:rFonts w:cstheme="minorHAnsi"/>
                <w:color w:val="000000"/>
                <w:sz w:val="20"/>
                <w:szCs w:val="20"/>
              </w:rPr>
              <w:t>Imaging</w:t>
            </w:r>
            <w:r w:rsidRPr="00983219">
              <w:rPr>
                <w:rFonts w:cstheme="minorHAnsi"/>
                <w:color w:val="1A3D85"/>
                <w:sz w:val="20"/>
                <w:szCs w:val="20"/>
              </w:rPr>
              <w:t> </w:t>
            </w:r>
            <w:r w:rsidRPr="00983219">
              <w:rPr>
                <w:rFonts w:cstheme="minorHAnsi"/>
                <w:color w:val="000000"/>
                <w:sz w:val="20"/>
                <w:szCs w:val="20"/>
              </w:rPr>
              <w:t>Oxidative Metabolism and Neurotransmitter Synthesis in the Human Brain</w:t>
            </w:r>
          </w:p>
        </w:tc>
        <w:tc>
          <w:tcPr>
            <w:tcW w:w="1241" w:type="dxa"/>
            <w:shd w:val="clear" w:color="auto" w:fill="auto"/>
            <w:tcMar>
              <w:top w:w="15" w:type="dxa"/>
              <w:left w:w="15" w:type="dxa"/>
              <w:bottom w:w="0" w:type="dxa"/>
              <w:right w:w="15" w:type="dxa"/>
            </w:tcMar>
            <w:vAlign w:val="center"/>
            <w:hideMark/>
          </w:tcPr>
          <w:p w14:paraId="1C630572" w14:textId="3C7D41A5" w:rsidR="00097B3B" w:rsidRPr="00983219" w:rsidRDefault="00DD48C0">
            <w:pPr>
              <w:rPr>
                <w:rFonts w:cstheme="minorHAnsi"/>
                <w:color w:val="000000"/>
                <w:sz w:val="20"/>
                <w:szCs w:val="20"/>
              </w:rPr>
            </w:pPr>
            <w:r w:rsidRPr="00983219">
              <w:rPr>
                <w:rFonts w:cstheme="minorHAnsi"/>
                <w:color w:val="000000"/>
                <w:sz w:val="20"/>
                <w:szCs w:val="20"/>
              </w:rPr>
              <w:t>Enrolling by invitation</w:t>
            </w:r>
          </w:p>
        </w:tc>
        <w:tc>
          <w:tcPr>
            <w:tcW w:w="2498" w:type="dxa"/>
            <w:shd w:val="clear" w:color="auto" w:fill="auto"/>
            <w:tcMar>
              <w:top w:w="15" w:type="dxa"/>
              <w:left w:w="15" w:type="dxa"/>
              <w:bottom w:w="0" w:type="dxa"/>
              <w:right w:w="15" w:type="dxa"/>
            </w:tcMar>
            <w:vAlign w:val="center"/>
            <w:hideMark/>
          </w:tcPr>
          <w:p w14:paraId="1DD4AD13" w14:textId="77777777" w:rsidR="00097B3B" w:rsidRPr="00983219" w:rsidRDefault="00097B3B">
            <w:pPr>
              <w:rPr>
                <w:rFonts w:cstheme="minorHAnsi"/>
                <w:color w:val="000000"/>
                <w:sz w:val="20"/>
                <w:szCs w:val="20"/>
              </w:rPr>
            </w:pPr>
            <w:r w:rsidRPr="00983219">
              <w:rPr>
                <w:rFonts w:cstheme="minorHAnsi"/>
                <w:color w:val="000000"/>
                <w:sz w:val="20"/>
                <w:szCs w:val="20"/>
              </w:rPr>
              <w:t>Brain Cancer</w:t>
            </w:r>
          </w:p>
        </w:tc>
        <w:tc>
          <w:tcPr>
            <w:tcW w:w="2264" w:type="dxa"/>
            <w:shd w:val="clear" w:color="auto" w:fill="auto"/>
            <w:tcMar>
              <w:top w:w="15" w:type="dxa"/>
              <w:left w:w="15" w:type="dxa"/>
              <w:bottom w:w="0" w:type="dxa"/>
              <w:right w:w="15" w:type="dxa"/>
            </w:tcMar>
            <w:vAlign w:val="center"/>
            <w:hideMark/>
          </w:tcPr>
          <w:p w14:paraId="03007066" w14:textId="77777777" w:rsidR="00097B3B" w:rsidRPr="00983219" w:rsidRDefault="00097B3B">
            <w:pPr>
              <w:rPr>
                <w:rFonts w:cstheme="minorHAnsi"/>
                <w:color w:val="000000"/>
                <w:sz w:val="20"/>
                <w:szCs w:val="20"/>
              </w:rPr>
            </w:pPr>
            <w:r w:rsidRPr="00983219">
              <w:rPr>
                <w:rFonts w:cstheme="minorHAnsi"/>
                <w:color w:val="000000"/>
                <w:sz w:val="20"/>
                <w:szCs w:val="20"/>
              </w:rPr>
              <w:t>UT Southwestern Medical Center - Advanced Imaging Research Center, Dallas, Texas, United States</w:t>
            </w:r>
          </w:p>
        </w:tc>
        <w:tc>
          <w:tcPr>
            <w:tcW w:w="4417" w:type="dxa"/>
            <w:shd w:val="clear" w:color="auto" w:fill="auto"/>
            <w:tcMar>
              <w:top w:w="15" w:type="dxa"/>
              <w:left w:w="15" w:type="dxa"/>
              <w:bottom w:w="0" w:type="dxa"/>
              <w:right w:w="15" w:type="dxa"/>
            </w:tcMar>
            <w:vAlign w:val="center"/>
            <w:hideMark/>
          </w:tcPr>
          <w:p w14:paraId="42E498E6" w14:textId="77777777" w:rsidR="00097B3B" w:rsidRPr="00983219" w:rsidRDefault="00955B21">
            <w:pPr>
              <w:rPr>
                <w:rFonts w:cstheme="minorHAnsi"/>
                <w:color w:val="0563C1"/>
                <w:sz w:val="20"/>
                <w:szCs w:val="20"/>
                <w:u w:val="single"/>
              </w:rPr>
            </w:pPr>
            <w:hyperlink r:id="rId70" w:history="1">
              <w:r w:rsidR="00097B3B" w:rsidRPr="00983219">
                <w:rPr>
                  <w:rStyle w:val="Hyperlink"/>
                  <w:rFonts w:cstheme="minorHAnsi"/>
                  <w:sz w:val="20"/>
                  <w:szCs w:val="20"/>
                </w:rPr>
                <w:t>https://clinicaltrials.gov/ct2/show/NCT03849963</w:t>
              </w:r>
            </w:hyperlink>
          </w:p>
        </w:tc>
      </w:tr>
      <w:tr w:rsidR="00097B3B" w:rsidRPr="00983219" w14:paraId="77FA0748" w14:textId="77777777" w:rsidTr="00202E51">
        <w:trPr>
          <w:cantSplit/>
          <w:trHeight w:val="20"/>
        </w:trPr>
        <w:tc>
          <w:tcPr>
            <w:tcW w:w="3524" w:type="dxa"/>
            <w:shd w:val="clear" w:color="auto" w:fill="auto"/>
            <w:tcMar>
              <w:top w:w="15" w:type="dxa"/>
              <w:left w:w="15" w:type="dxa"/>
              <w:bottom w:w="0" w:type="dxa"/>
              <w:right w:w="15" w:type="dxa"/>
            </w:tcMar>
            <w:vAlign w:val="center"/>
            <w:hideMark/>
          </w:tcPr>
          <w:p w14:paraId="3428234E" w14:textId="77777777" w:rsidR="00097B3B" w:rsidRPr="00983219" w:rsidRDefault="00097B3B">
            <w:pPr>
              <w:rPr>
                <w:rFonts w:cstheme="minorHAnsi"/>
                <w:color w:val="000000"/>
                <w:sz w:val="20"/>
                <w:szCs w:val="20"/>
              </w:rPr>
            </w:pPr>
            <w:r w:rsidRPr="00983219">
              <w:rPr>
                <w:rFonts w:cstheme="minorHAnsi"/>
                <w:color w:val="000000"/>
                <w:sz w:val="20"/>
                <w:szCs w:val="20"/>
              </w:rPr>
              <w:lastRenderedPageBreak/>
              <w:t>Hyperpolarized</w:t>
            </w:r>
            <w:r w:rsidRPr="00983219">
              <w:rPr>
                <w:rFonts w:cstheme="minorHAnsi"/>
                <w:color w:val="1A3D85"/>
                <w:sz w:val="20"/>
                <w:szCs w:val="20"/>
              </w:rPr>
              <w:t> </w:t>
            </w:r>
            <w:r w:rsidRPr="00983219">
              <w:rPr>
                <w:rFonts w:cstheme="minorHAnsi"/>
                <w:color w:val="000000"/>
                <w:sz w:val="20"/>
                <w:szCs w:val="20"/>
              </w:rPr>
              <w:t>Carbon 13-Based Metabolic</w:t>
            </w:r>
            <w:r w:rsidRPr="00983219">
              <w:rPr>
                <w:rFonts w:cstheme="minorHAnsi"/>
                <w:color w:val="1A3D85"/>
                <w:sz w:val="20"/>
                <w:szCs w:val="20"/>
              </w:rPr>
              <w:t> </w:t>
            </w:r>
            <w:r w:rsidRPr="00983219">
              <w:rPr>
                <w:rFonts w:cstheme="minorHAnsi"/>
                <w:color w:val="000000"/>
                <w:sz w:val="20"/>
                <w:szCs w:val="20"/>
              </w:rPr>
              <w:t>Imaging to Detect Radiation-Induced Cardiotoxicity</w:t>
            </w:r>
          </w:p>
        </w:tc>
        <w:tc>
          <w:tcPr>
            <w:tcW w:w="1241" w:type="dxa"/>
            <w:shd w:val="clear" w:color="auto" w:fill="auto"/>
            <w:tcMar>
              <w:top w:w="15" w:type="dxa"/>
              <w:left w:w="15" w:type="dxa"/>
              <w:bottom w:w="0" w:type="dxa"/>
              <w:right w:w="15" w:type="dxa"/>
            </w:tcMar>
            <w:vAlign w:val="center"/>
            <w:hideMark/>
          </w:tcPr>
          <w:p w14:paraId="02DF3D6F" w14:textId="7E7482CE" w:rsidR="00097B3B" w:rsidRPr="00983219" w:rsidRDefault="00DD48C0">
            <w:pPr>
              <w:rPr>
                <w:rFonts w:cstheme="minorHAnsi"/>
                <w:color w:val="000000"/>
                <w:sz w:val="20"/>
                <w:szCs w:val="20"/>
              </w:rPr>
            </w:pPr>
            <w:r w:rsidRPr="00983219">
              <w:rPr>
                <w:rFonts w:cstheme="minorHAnsi"/>
                <w:color w:val="000000"/>
                <w:sz w:val="20"/>
                <w:szCs w:val="20"/>
              </w:rPr>
              <w:t xml:space="preserve">Active, </w:t>
            </w:r>
            <w:proofErr w:type="gramStart"/>
            <w:r w:rsidRPr="00983219">
              <w:rPr>
                <w:rFonts w:cstheme="minorHAnsi"/>
                <w:color w:val="000000"/>
                <w:sz w:val="20"/>
                <w:szCs w:val="20"/>
              </w:rPr>
              <w:t>n</w:t>
            </w:r>
            <w:r w:rsidR="00097B3B" w:rsidRPr="00983219">
              <w:rPr>
                <w:rFonts w:cstheme="minorHAnsi"/>
                <w:color w:val="000000"/>
                <w:sz w:val="20"/>
                <w:szCs w:val="20"/>
              </w:rPr>
              <w:t>ot  recruiting</w:t>
            </w:r>
            <w:proofErr w:type="gramEnd"/>
          </w:p>
        </w:tc>
        <w:tc>
          <w:tcPr>
            <w:tcW w:w="2498" w:type="dxa"/>
            <w:shd w:val="clear" w:color="auto" w:fill="auto"/>
            <w:tcMar>
              <w:top w:w="15" w:type="dxa"/>
              <w:left w:w="15" w:type="dxa"/>
              <w:bottom w:w="0" w:type="dxa"/>
              <w:right w:w="15" w:type="dxa"/>
            </w:tcMar>
            <w:vAlign w:val="center"/>
            <w:hideMark/>
          </w:tcPr>
          <w:p w14:paraId="4944737C" w14:textId="77777777" w:rsidR="00097B3B" w:rsidRPr="00983219" w:rsidRDefault="00097B3B">
            <w:pPr>
              <w:rPr>
                <w:rFonts w:cstheme="minorHAnsi"/>
                <w:color w:val="000000"/>
                <w:sz w:val="20"/>
                <w:szCs w:val="20"/>
              </w:rPr>
            </w:pPr>
            <w:r w:rsidRPr="00983219">
              <w:rPr>
                <w:rFonts w:cstheme="minorHAnsi"/>
                <w:color w:val="000000"/>
                <w:sz w:val="20"/>
                <w:szCs w:val="20"/>
              </w:rPr>
              <w:t>Left-Sided Breast Cancer</w:t>
            </w:r>
          </w:p>
        </w:tc>
        <w:tc>
          <w:tcPr>
            <w:tcW w:w="2264" w:type="dxa"/>
            <w:shd w:val="clear" w:color="auto" w:fill="auto"/>
            <w:tcMar>
              <w:top w:w="15" w:type="dxa"/>
              <w:left w:w="15" w:type="dxa"/>
              <w:bottom w:w="0" w:type="dxa"/>
              <w:right w:w="15" w:type="dxa"/>
            </w:tcMar>
            <w:vAlign w:val="center"/>
            <w:hideMark/>
          </w:tcPr>
          <w:p w14:paraId="620F43AC" w14:textId="77777777" w:rsidR="00097B3B" w:rsidRPr="00983219" w:rsidRDefault="00097B3B">
            <w:pPr>
              <w:rPr>
                <w:rFonts w:cstheme="minorHAnsi"/>
                <w:color w:val="000000"/>
                <w:sz w:val="20"/>
                <w:szCs w:val="20"/>
              </w:rPr>
            </w:pPr>
            <w:r w:rsidRPr="00983219">
              <w:rPr>
                <w:rFonts w:cstheme="minorHAnsi"/>
                <w:color w:val="000000"/>
                <w:sz w:val="20"/>
                <w:szCs w:val="20"/>
              </w:rPr>
              <w:t>UT Southwestern Medical Center, Department of Radiation Oncology, Dallas, Texas, United States</w:t>
            </w:r>
          </w:p>
        </w:tc>
        <w:tc>
          <w:tcPr>
            <w:tcW w:w="4417" w:type="dxa"/>
            <w:shd w:val="clear" w:color="auto" w:fill="auto"/>
            <w:tcMar>
              <w:top w:w="15" w:type="dxa"/>
              <w:left w:w="15" w:type="dxa"/>
              <w:bottom w:w="0" w:type="dxa"/>
              <w:right w:w="15" w:type="dxa"/>
            </w:tcMar>
            <w:vAlign w:val="center"/>
            <w:hideMark/>
          </w:tcPr>
          <w:p w14:paraId="7EA41657" w14:textId="77777777" w:rsidR="00097B3B" w:rsidRPr="00983219" w:rsidRDefault="00955B21">
            <w:pPr>
              <w:rPr>
                <w:rFonts w:cstheme="minorHAnsi"/>
                <w:color w:val="0563C1"/>
                <w:sz w:val="20"/>
                <w:szCs w:val="20"/>
                <w:u w:val="single"/>
              </w:rPr>
            </w:pPr>
            <w:hyperlink r:id="rId71" w:history="1">
              <w:r w:rsidR="00097B3B" w:rsidRPr="00983219">
                <w:rPr>
                  <w:rStyle w:val="Hyperlink"/>
                  <w:rFonts w:cstheme="minorHAnsi"/>
                  <w:sz w:val="20"/>
                  <w:szCs w:val="20"/>
                </w:rPr>
                <w:t>https://clinicaltrials.gov/ct2/show/NCT04044872</w:t>
              </w:r>
            </w:hyperlink>
          </w:p>
        </w:tc>
      </w:tr>
      <w:tr w:rsidR="00DD48C0" w:rsidRPr="00983219" w14:paraId="735782DD" w14:textId="77777777" w:rsidTr="005F6CE7">
        <w:trPr>
          <w:cantSplit/>
          <w:trHeight w:val="20"/>
        </w:trPr>
        <w:tc>
          <w:tcPr>
            <w:tcW w:w="3524" w:type="dxa"/>
            <w:tcMar>
              <w:top w:w="15" w:type="dxa"/>
              <w:left w:w="15" w:type="dxa"/>
              <w:bottom w:w="0" w:type="dxa"/>
              <w:right w:w="15" w:type="dxa"/>
            </w:tcMar>
            <w:vAlign w:val="center"/>
          </w:tcPr>
          <w:p w14:paraId="5442E0D9" w14:textId="324A09BA" w:rsidR="00DD48C0" w:rsidRPr="00983219" w:rsidRDefault="00DD48C0" w:rsidP="00DD48C0">
            <w:pPr>
              <w:rPr>
                <w:rFonts w:cstheme="minorHAnsi"/>
                <w:color w:val="000000"/>
                <w:sz w:val="20"/>
                <w:szCs w:val="20"/>
              </w:rPr>
            </w:pPr>
            <w:r w:rsidRPr="00983219">
              <w:rPr>
                <w:rFonts w:cstheme="minorHAnsi"/>
                <w:sz w:val="20"/>
                <w:szCs w:val="20"/>
                <w:shd w:val="clear" w:color="auto" w:fill="FFFFFF"/>
              </w:rPr>
              <w:t>Feasibility Study Using Imaging Biomarkers in Lung Cancer</w:t>
            </w:r>
          </w:p>
        </w:tc>
        <w:tc>
          <w:tcPr>
            <w:tcW w:w="1241" w:type="dxa"/>
            <w:tcMar>
              <w:top w:w="15" w:type="dxa"/>
              <w:left w:w="15" w:type="dxa"/>
              <w:bottom w:w="0" w:type="dxa"/>
              <w:right w:w="15" w:type="dxa"/>
            </w:tcMar>
            <w:vAlign w:val="center"/>
          </w:tcPr>
          <w:p w14:paraId="24B8C68A" w14:textId="60B38D59" w:rsidR="00DD48C0" w:rsidRPr="00983219" w:rsidRDefault="00DD48C0" w:rsidP="00DD48C0">
            <w:pPr>
              <w:rPr>
                <w:rFonts w:cstheme="minorHAnsi"/>
                <w:color w:val="000000"/>
                <w:sz w:val="20"/>
                <w:szCs w:val="20"/>
              </w:rPr>
            </w:pPr>
            <w:r w:rsidRPr="00983219">
              <w:rPr>
                <w:rFonts w:cstheme="minorHAnsi"/>
                <w:color w:val="000000"/>
                <w:sz w:val="20"/>
                <w:szCs w:val="20"/>
              </w:rPr>
              <w:t xml:space="preserve">Recruiting </w:t>
            </w:r>
          </w:p>
        </w:tc>
        <w:tc>
          <w:tcPr>
            <w:tcW w:w="2498" w:type="dxa"/>
            <w:tcMar>
              <w:top w:w="15" w:type="dxa"/>
              <w:left w:w="15" w:type="dxa"/>
              <w:bottom w:w="0" w:type="dxa"/>
              <w:right w:w="15" w:type="dxa"/>
            </w:tcMar>
            <w:vAlign w:val="center"/>
          </w:tcPr>
          <w:p w14:paraId="5FA57093" w14:textId="0955E5CB" w:rsidR="00DD48C0" w:rsidRPr="00983219" w:rsidRDefault="00DD48C0" w:rsidP="00DD48C0">
            <w:pPr>
              <w:rPr>
                <w:rFonts w:cstheme="minorHAnsi"/>
                <w:color w:val="000000"/>
                <w:sz w:val="20"/>
                <w:szCs w:val="20"/>
              </w:rPr>
            </w:pPr>
            <w:r w:rsidRPr="00983219">
              <w:rPr>
                <w:rFonts w:cstheme="minorHAnsi"/>
                <w:color w:val="000000"/>
                <w:sz w:val="20"/>
                <w:szCs w:val="20"/>
              </w:rPr>
              <w:t>Lung Cancer</w:t>
            </w:r>
          </w:p>
        </w:tc>
        <w:tc>
          <w:tcPr>
            <w:tcW w:w="2264" w:type="dxa"/>
            <w:tcMar>
              <w:top w:w="15" w:type="dxa"/>
              <w:left w:w="15" w:type="dxa"/>
              <w:bottom w:w="0" w:type="dxa"/>
              <w:right w:w="15" w:type="dxa"/>
            </w:tcMar>
            <w:vAlign w:val="center"/>
          </w:tcPr>
          <w:p w14:paraId="68DCAC70" w14:textId="6BE6B838" w:rsidR="00DD48C0" w:rsidRPr="00983219" w:rsidRDefault="00DD48C0" w:rsidP="00DD48C0">
            <w:pPr>
              <w:rPr>
                <w:rFonts w:cstheme="minorHAnsi"/>
                <w:color w:val="000000"/>
                <w:sz w:val="20"/>
                <w:szCs w:val="20"/>
              </w:rPr>
            </w:pPr>
            <w:r w:rsidRPr="00983219">
              <w:rPr>
                <w:rFonts w:cstheme="minorHAnsi"/>
                <w:color w:val="000000"/>
                <w:sz w:val="20"/>
                <w:szCs w:val="20"/>
              </w:rPr>
              <w:t>UT Southwestern Medical Center - Advanced Imaging Research Center, Dallas, Texas, United States</w:t>
            </w:r>
          </w:p>
        </w:tc>
        <w:tc>
          <w:tcPr>
            <w:tcW w:w="4417" w:type="dxa"/>
            <w:tcMar>
              <w:top w:w="15" w:type="dxa"/>
              <w:left w:w="15" w:type="dxa"/>
              <w:bottom w:w="0" w:type="dxa"/>
              <w:right w:w="15" w:type="dxa"/>
            </w:tcMar>
            <w:vAlign w:val="center"/>
          </w:tcPr>
          <w:p w14:paraId="74D03A3F" w14:textId="743F1E4B" w:rsidR="00DD48C0" w:rsidRPr="00202E51" w:rsidRDefault="00DD48C0" w:rsidP="00DD48C0">
            <w:pPr>
              <w:rPr>
                <w:rFonts w:cstheme="minorHAnsi"/>
                <w:color w:val="0000FF"/>
                <w:sz w:val="20"/>
                <w:szCs w:val="20"/>
              </w:rPr>
            </w:pPr>
            <w:r w:rsidRPr="00202E51">
              <w:rPr>
                <w:rFonts w:cstheme="minorHAnsi"/>
                <w:color w:val="0000FF"/>
                <w:sz w:val="20"/>
                <w:szCs w:val="20"/>
              </w:rPr>
              <w:t>https://clinicaltrials.gov/study/NCT02095808</w:t>
            </w:r>
          </w:p>
        </w:tc>
      </w:tr>
    </w:tbl>
    <w:p w14:paraId="2457A2B8" w14:textId="0D6F06B7" w:rsidR="00252893" w:rsidRDefault="00252893" w:rsidP="00252893">
      <w:bookmarkStart w:id="18" w:name="_Ref33019988"/>
    </w:p>
    <w:p w14:paraId="77615871" w14:textId="77777777" w:rsidR="00252893" w:rsidRDefault="00252893">
      <w:r>
        <w:br w:type="page"/>
      </w:r>
    </w:p>
    <w:p w14:paraId="297BCCDD" w14:textId="77777777" w:rsidR="00252893" w:rsidRDefault="00252893" w:rsidP="00252893"/>
    <w:p w14:paraId="17581E6F" w14:textId="01AB5139" w:rsidR="007668DF" w:rsidRDefault="007668DF">
      <w:pPr>
        <w:pStyle w:val="Caption"/>
      </w:pPr>
      <w:r>
        <w:t xml:space="preserve">Table </w:t>
      </w:r>
      <w:r w:rsidR="005C6BC3">
        <w:fldChar w:fldCharType="begin"/>
      </w:r>
      <w:r w:rsidR="005C6BC3">
        <w:instrText xml:space="preserve"> SEQ Table \* ARABIC </w:instrText>
      </w:r>
      <w:r w:rsidR="005C6BC3">
        <w:fldChar w:fldCharType="separate"/>
      </w:r>
      <w:r w:rsidR="00B263AB">
        <w:rPr>
          <w:noProof/>
        </w:rPr>
        <w:t>3</w:t>
      </w:r>
      <w:r w:rsidR="005C6BC3">
        <w:rPr>
          <w:noProof/>
        </w:rPr>
        <w:fldChar w:fldCharType="end"/>
      </w:r>
      <w:bookmarkEnd w:id="18"/>
      <w:r>
        <w:t xml:space="preserve">. </w:t>
      </w:r>
      <w:r w:rsidRPr="006F570D">
        <w:t>Current Trials listed on clinicaltrialsregister.eu</w:t>
      </w:r>
    </w:p>
    <w:tbl>
      <w:tblPr>
        <w:tblStyle w:val="GridTable4-Accent1"/>
        <w:tblW w:w="13860" w:type="dxa"/>
        <w:tblLayout w:type="fixed"/>
        <w:tblLook w:val="04A0" w:firstRow="1" w:lastRow="0" w:firstColumn="1" w:lastColumn="0" w:noHBand="0" w:noVBand="1"/>
      </w:tblPr>
      <w:tblGrid>
        <w:gridCol w:w="3416"/>
        <w:gridCol w:w="1801"/>
        <w:gridCol w:w="2431"/>
        <w:gridCol w:w="2431"/>
        <w:gridCol w:w="3781"/>
      </w:tblGrid>
      <w:tr w:rsidR="00097B3B" w:rsidRPr="00252893" w14:paraId="4F1C120C" w14:textId="77777777" w:rsidTr="00252893">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3416" w:type="dxa"/>
            <w:shd w:val="clear" w:color="auto" w:fill="00B0F0"/>
            <w:noWrap/>
            <w:hideMark/>
          </w:tcPr>
          <w:p w14:paraId="35D97E27" w14:textId="77777777" w:rsidR="00097B3B" w:rsidRPr="00252893" w:rsidRDefault="00097B3B" w:rsidP="006B5FA0">
            <w:pPr>
              <w:keepNext/>
              <w:widowControl/>
              <w:rPr>
                <w:rFonts w:cstheme="minorHAnsi"/>
                <w:color w:val="000000"/>
                <w:sz w:val="20"/>
                <w:szCs w:val="20"/>
              </w:rPr>
            </w:pPr>
            <w:r w:rsidRPr="00252893">
              <w:rPr>
                <w:rFonts w:cstheme="minorHAnsi"/>
                <w:color w:val="000000"/>
                <w:sz w:val="20"/>
                <w:szCs w:val="20"/>
              </w:rPr>
              <w:t>Title</w:t>
            </w:r>
          </w:p>
        </w:tc>
        <w:tc>
          <w:tcPr>
            <w:tcW w:w="1801" w:type="dxa"/>
            <w:shd w:val="clear" w:color="auto" w:fill="00B0F0"/>
            <w:noWrap/>
            <w:hideMark/>
          </w:tcPr>
          <w:p w14:paraId="73C96F3D" w14:textId="77777777" w:rsidR="00097B3B" w:rsidRPr="00252893" w:rsidRDefault="00097B3B">
            <w:pPr>
              <w:widowControl/>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rPr>
            </w:pPr>
            <w:r w:rsidRPr="00252893">
              <w:rPr>
                <w:rFonts w:cstheme="minorHAnsi"/>
                <w:color w:val="000000"/>
                <w:sz w:val="20"/>
                <w:szCs w:val="20"/>
              </w:rPr>
              <w:t>Status</w:t>
            </w:r>
          </w:p>
        </w:tc>
        <w:tc>
          <w:tcPr>
            <w:tcW w:w="2431" w:type="dxa"/>
            <w:shd w:val="clear" w:color="auto" w:fill="00B0F0"/>
            <w:noWrap/>
            <w:hideMark/>
          </w:tcPr>
          <w:p w14:paraId="11BD6588" w14:textId="77777777" w:rsidR="00097B3B" w:rsidRPr="00252893" w:rsidRDefault="00097B3B">
            <w:pPr>
              <w:widowControl/>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rPr>
            </w:pPr>
            <w:r w:rsidRPr="00252893">
              <w:rPr>
                <w:rFonts w:cstheme="minorHAnsi"/>
                <w:color w:val="000000"/>
                <w:sz w:val="20"/>
                <w:szCs w:val="20"/>
              </w:rPr>
              <w:t>Disease</w:t>
            </w:r>
          </w:p>
        </w:tc>
        <w:tc>
          <w:tcPr>
            <w:tcW w:w="2431" w:type="dxa"/>
            <w:shd w:val="clear" w:color="auto" w:fill="00B0F0"/>
            <w:noWrap/>
            <w:hideMark/>
          </w:tcPr>
          <w:p w14:paraId="29ECDB50" w14:textId="77777777" w:rsidR="00097B3B" w:rsidRPr="00252893" w:rsidRDefault="00097B3B">
            <w:pPr>
              <w:widowControl/>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rPr>
            </w:pPr>
            <w:r w:rsidRPr="00252893">
              <w:rPr>
                <w:rFonts w:cstheme="minorHAnsi"/>
                <w:color w:val="000000"/>
                <w:sz w:val="20"/>
                <w:szCs w:val="20"/>
              </w:rPr>
              <w:t>Institution</w:t>
            </w:r>
          </w:p>
        </w:tc>
        <w:tc>
          <w:tcPr>
            <w:tcW w:w="3781" w:type="dxa"/>
            <w:shd w:val="clear" w:color="auto" w:fill="00B0F0"/>
            <w:noWrap/>
            <w:hideMark/>
          </w:tcPr>
          <w:p w14:paraId="7EA65BC8" w14:textId="77777777" w:rsidR="00097B3B" w:rsidRPr="00252893" w:rsidRDefault="00097B3B">
            <w:pPr>
              <w:widowControl/>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rPr>
            </w:pPr>
            <w:r w:rsidRPr="00252893">
              <w:rPr>
                <w:rFonts w:cstheme="minorHAnsi"/>
                <w:color w:val="000000"/>
                <w:sz w:val="20"/>
                <w:szCs w:val="20"/>
              </w:rPr>
              <w:t>Link</w:t>
            </w:r>
          </w:p>
        </w:tc>
      </w:tr>
      <w:tr w:rsidR="00097B3B" w:rsidRPr="00252893" w14:paraId="7B1BE113" w14:textId="77777777" w:rsidTr="00202E51">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341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hideMark/>
          </w:tcPr>
          <w:p w14:paraId="02ED4316" w14:textId="77777777" w:rsidR="00097B3B" w:rsidRPr="00252893" w:rsidRDefault="00097B3B">
            <w:pPr>
              <w:widowControl/>
              <w:rPr>
                <w:rFonts w:cstheme="minorHAnsi"/>
                <w:b w:val="0"/>
                <w:bCs w:val="0"/>
                <w:sz w:val="20"/>
                <w:szCs w:val="20"/>
              </w:rPr>
            </w:pPr>
            <w:r w:rsidRPr="00252893">
              <w:rPr>
                <w:rFonts w:cstheme="minorHAnsi"/>
                <w:b w:val="0"/>
                <w:bCs w:val="0"/>
                <w:sz w:val="20"/>
                <w:szCs w:val="20"/>
              </w:rPr>
              <w:t>Early detection of effects of chemotherapy in pancreatic cancer patients – a study using MR-hyperpolarization scanning based on hyperpolarized Pyruvate (13C) injection</w:t>
            </w:r>
          </w:p>
        </w:tc>
        <w:tc>
          <w:tcPr>
            <w:tcW w:w="180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hideMark/>
          </w:tcPr>
          <w:p w14:paraId="6333459B" w14:textId="77777777" w:rsidR="00097B3B" w:rsidRPr="00252893" w:rsidRDefault="00097B3B">
            <w:pPr>
              <w:widowControl/>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52893">
              <w:rPr>
                <w:rFonts w:cstheme="minorHAnsi"/>
                <w:color w:val="000000"/>
                <w:sz w:val="20"/>
                <w:szCs w:val="20"/>
              </w:rPr>
              <w:t>Recruiting</w:t>
            </w:r>
          </w:p>
        </w:tc>
        <w:tc>
          <w:tcPr>
            <w:tcW w:w="243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hideMark/>
          </w:tcPr>
          <w:p w14:paraId="4102485E" w14:textId="77777777" w:rsidR="00097B3B" w:rsidRPr="00252893" w:rsidRDefault="00097B3B">
            <w:pPr>
              <w:widowControl/>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52893">
              <w:rPr>
                <w:rFonts w:cstheme="minorHAnsi"/>
                <w:sz w:val="20"/>
                <w:szCs w:val="20"/>
              </w:rPr>
              <w:t>Pancreatic Cancer</w:t>
            </w:r>
          </w:p>
        </w:tc>
        <w:tc>
          <w:tcPr>
            <w:tcW w:w="243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hideMark/>
          </w:tcPr>
          <w:p w14:paraId="0F9F0EB3" w14:textId="77777777" w:rsidR="00097B3B" w:rsidRPr="00252893" w:rsidRDefault="00097B3B">
            <w:pPr>
              <w:widowControl/>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52893">
              <w:rPr>
                <w:rFonts w:cstheme="minorHAnsi"/>
                <w:sz w:val="20"/>
                <w:szCs w:val="20"/>
              </w:rPr>
              <w:t>Aarhus University, Dept. Clinical Medicine, Aarhus, Denmark</w:t>
            </w:r>
          </w:p>
        </w:tc>
        <w:tc>
          <w:tcPr>
            <w:tcW w:w="378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hideMark/>
          </w:tcPr>
          <w:p w14:paraId="6403A69E" w14:textId="77777777" w:rsidR="00097B3B" w:rsidRPr="00252893" w:rsidRDefault="00097B3B">
            <w:pPr>
              <w:widowControl/>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52893">
              <w:rPr>
                <w:rFonts w:cstheme="minorHAnsi"/>
                <w:sz w:val="20"/>
                <w:szCs w:val="20"/>
              </w:rPr>
              <w:t> </w:t>
            </w:r>
            <w:hyperlink r:id="rId72" w:history="1">
              <w:r w:rsidRPr="00252893">
                <w:rPr>
                  <w:rStyle w:val="Hyperlink"/>
                  <w:rFonts w:cstheme="minorHAnsi"/>
                  <w:sz w:val="20"/>
                  <w:szCs w:val="20"/>
                </w:rPr>
                <w:t>https://www.clinicaltrialsregister.eu/ctr-search/trial/2016-004491-22/DK</w:t>
              </w:r>
            </w:hyperlink>
          </w:p>
        </w:tc>
      </w:tr>
      <w:tr w:rsidR="00097B3B" w:rsidRPr="00252893" w14:paraId="47D40FA1" w14:textId="77777777" w:rsidTr="00202E51">
        <w:trPr>
          <w:cantSplit/>
          <w:trHeight w:val="300"/>
        </w:trPr>
        <w:tc>
          <w:tcPr>
            <w:cnfStyle w:val="001000000000" w:firstRow="0" w:lastRow="0" w:firstColumn="1" w:lastColumn="0" w:oddVBand="0" w:evenVBand="0" w:oddHBand="0" w:evenHBand="0" w:firstRowFirstColumn="0" w:firstRowLastColumn="0" w:lastRowFirstColumn="0" w:lastRowLastColumn="0"/>
            <w:tcW w:w="341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hideMark/>
          </w:tcPr>
          <w:p w14:paraId="77968265" w14:textId="77777777" w:rsidR="00097B3B" w:rsidRPr="00252893" w:rsidRDefault="00097B3B">
            <w:pPr>
              <w:widowControl/>
              <w:rPr>
                <w:rFonts w:cstheme="minorHAnsi"/>
                <w:b w:val="0"/>
                <w:bCs w:val="0"/>
                <w:color w:val="000000"/>
                <w:sz w:val="20"/>
                <w:szCs w:val="20"/>
              </w:rPr>
            </w:pPr>
            <w:r w:rsidRPr="00252893">
              <w:rPr>
                <w:rFonts w:cstheme="minorHAnsi"/>
                <w:b w:val="0"/>
                <w:bCs w:val="0"/>
                <w:color w:val="222222"/>
                <w:sz w:val="20"/>
                <w:szCs w:val="20"/>
                <w:shd w:val="clear" w:color="auto" w:fill="FCFDFD"/>
              </w:rPr>
              <w:t>Clinical and pathophysiological aspects of visualization of metabolic flux in the failing human heart using hyperpolarized [1-13C]-pyruvate cardiac magnetic resonance</w:t>
            </w:r>
          </w:p>
        </w:tc>
        <w:tc>
          <w:tcPr>
            <w:tcW w:w="180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hideMark/>
          </w:tcPr>
          <w:p w14:paraId="64155D7E" w14:textId="77777777" w:rsidR="00097B3B" w:rsidRPr="00252893" w:rsidRDefault="00097B3B">
            <w:pPr>
              <w:widowControl/>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252893">
              <w:rPr>
                <w:rFonts w:cstheme="minorHAnsi"/>
                <w:color w:val="000000"/>
                <w:sz w:val="20"/>
                <w:szCs w:val="20"/>
              </w:rPr>
              <w:t>Recruiting</w:t>
            </w:r>
          </w:p>
        </w:tc>
        <w:tc>
          <w:tcPr>
            <w:tcW w:w="243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hideMark/>
          </w:tcPr>
          <w:p w14:paraId="22B08DE8" w14:textId="77777777" w:rsidR="00097B3B" w:rsidRPr="00252893" w:rsidRDefault="00097B3B">
            <w:pPr>
              <w:widowControl/>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252893">
              <w:rPr>
                <w:rFonts w:cstheme="minorHAnsi"/>
                <w:color w:val="000000"/>
                <w:sz w:val="20"/>
                <w:szCs w:val="20"/>
              </w:rPr>
              <w:t>Chronic Heart Failure</w:t>
            </w:r>
          </w:p>
        </w:tc>
        <w:tc>
          <w:tcPr>
            <w:tcW w:w="243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hideMark/>
          </w:tcPr>
          <w:p w14:paraId="6A40BCAB" w14:textId="77777777" w:rsidR="00097B3B" w:rsidRPr="00252893" w:rsidRDefault="00097B3B">
            <w:pPr>
              <w:widowControl/>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252893">
              <w:rPr>
                <w:rFonts w:cstheme="minorHAnsi"/>
                <w:sz w:val="20"/>
                <w:szCs w:val="20"/>
              </w:rPr>
              <w:t>Aarhus University, Dept. Cardiology, Aarhus, Denmark</w:t>
            </w:r>
          </w:p>
        </w:tc>
        <w:tc>
          <w:tcPr>
            <w:tcW w:w="378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tcPr>
          <w:p w14:paraId="5092DF96" w14:textId="77777777" w:rsidR="00097B3B" w:rsidRPr="00252893" w:rsidRDefault="00097B3B">
            <w:pPr>
              <w:widowControl/>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52893">
              <w:rPr>
                <w:rFonts w:cstheme="minorHAnsi"/>
                <w:sz w:val="20"/>
                <w:szCs w:val="20"/>
              </w:rPr>
              <w:t> </w:t>
            </w:r>
            <w:hyperlink r:id="rId73" w:history="1">
              <w:r w:rsidRPr="00252893">
                <w:rPr>
                  <w:rStyle w:val="Hyperlink"/>
                  <w:rFonts w:cstheme="minorHAnsi"/>
                  <w:sz w:val="20"/>
                  <w:szCs w:val="20"/>
                </w:rPr>
                <w:t>https://www.clinicaltrialsregister.eu/ctr-search/trial/2018-003533-15/DK</w:t>
              </w:r>
            </w:hyperlink>
          </w:p>
          <w:p w14:paraId="2D9853D0" w14:textId="77777777" w:rsidR="00097B3B" w:rsidRPr="00252893" w:rsidRDefault="00097B3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097B3B" w:rsidRPr="00252893" w14:paraId="414EA246" w14:textId="77777777" w:rsidTr="00202E51">
        <w:trPr>
          <w:cnfStyle w:val="000000100000" w:firstRow="0" w:lastRow="0" w:firstColumn="0" w:lastColumn="0" w:oddVBand="0" w:evenVBand="0" w:oddHBand="1" w:evenHBand="0" w:firstRowFirstColumn="0" w:firstRowLastColumn="0" w:lastRowFirstColumn="0" w:lastRowLastColumn="0"/>
          <w:cantSplit/>
          <w:trHeight w:val="1376"/>
        </w:trPr>
        <w:tc>
          <w:tcPr>
            <w:cnfStyle w:val="001000000000" w:firstRow="0" w:lastRow="0" w:firstColumn="1" w:lastColumn="0" w:oddVBand="0" w:evenVBand="0" w:oddHBand="0" w:evenHBand="0" w:firstRowFirstColumn="0" w:firstRowLastColumn="0" w:lastRowFirstColumn="0" w:lastRowLastColumn="0"/>
            <w:tcW w:w="341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tcPr>
          <w:p w14:paraId="2D686EC1" w14:textId="3356DDB3" w:rsidR="00097B3B" w:rsidRPr="00202E51" w:rsidRDefault="00202E51">
            <w:pPr>
              <w:widowControl/>
              <w:rPr>
                <w:rFonts w:cstheme="minorHAnsi"/>
                <w:b w:val="0"/>
                <w:bCs w:val="0"/>
                <w:color w:val="FFFFFF" w:themeColor="background1"/>
                <w:sz w:val="20"/>
                <w:szCs w:val="20"/>
              </w:rPr>
            </w:pPr>
            <w:r w:rsidRPr="00202E51">
              <w:rPr>
                <w:rFonts w:cstheme="minorHAnsi"/>
                <w:b w:val="0"/>
                <w:bCs w:val="0"/>
                <w:color w:val="000000"/>
                <w:sz w:val="20"/>
                <w:szCs w:val="20"/>
              </w:rPr>
              <w:t>Metabolic imaging of patients with mycosis fungoides using hyperpolarized 13C-Pyruvate magnetic resonance imaging – A feasibility study</w:t>
            </w:r>
            <w:r w:rsidRPr="00202E51">
              <w:rPr>
                <w:rFonts w:cstheme="minorHAnsi"/>
                <w:b w:val="0"/>
                <w:bCs w:val="0"/>
                <w:color w:val="FFFFFF" w:themeColor="background1"/>
                <w:sz w:val="20"/>
                <w:szCs w:val="20"/>
              </w:rPr>
              <w:t xml:space="preserve"> Metabolic imaging of patients with mycosis fungoides using hyperpolarized 13C-Pyruvate magnetic resonance imaging – A feasibility study</w:t>
            </w:r>
          </w:p>
        </w:tc>
        <w:tc>
          <w:tcPr>
            <w:tcW w:w="180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hideMark/>
          </w:tcPr>
          <w:p w14:paraId="1A6D9EBC" w14:textId="312561E1" w:rsidR="00202E51" w:rsidRPr="00252893" w:rsidRDefault="000033BA" w:rsidP="00202E51">
            <w:pPr>
              <w:widowControl/>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 xml:space="preserve"> </w:t>
            </w:r>
            <w:r w:rsidRPr="000033BA">
              <w:rPr>
                <w:rFonts w:cstheme="minorHAnsi"/>
                <w:color w:val="000000"/>
                <w:sz w:val="20"/>
                <w:szCs w:val="20"/>
              </w:rPr>
              <w:t>Prematurely Ended</w:t>
            </w:r>
          </w:p>
        </w:tc>
        <w:tc>
          <w:tcPr>
            <w:tcW w:w="243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hideMark/>
          </w:tcPr>
          <w:p w14:paraId="7A6F43BF" w14:textId="610E76F3" w:rsidR="00097B3B" w:rsidRPr="00252893" w:rsidRDefault="00097B3B">
            <w:pPr>
              <w:widowControl/>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52893">
              <w:rPr>
                <w:rFonts w:cstheme="minorHAnsi"/>
                <w:color w:val="000000"/>
                <w:sz w:val="20"/>
                <w:szCs w:val="20"/>
              </w:rPr>
              <w:t>Mycosis fungo</w:t>
            </w:r>
            <w:r w:rsidR="005F72EF" w:rsidRPr="00252893">
              <w:rPr>
                <w:rFonts w:cstheme="minorHAnsi"/>
                <w:color w:val="000000"/>
                <w:sz w:val="20"/>
                <w:szCs w:val="20"/>
              </w:rPr>
              <w:t>i</w:t>
            </w:r>
            <w:r w:rsidRPr="00252893">
              <w:rPr>
                <w:rFonts w:cstheme="minorHAnsi"/>
                <w:color w:val="000000"/>
                <w:sz w:val="20"/>
                <w:szCs w:val="20"/>
              </w:rPr>
              <w:t>des</w:t>
            </w:r>
          </w:p>
        </w:tc>
        <w:tc>
          <w:tcPr>
            <w:tcW w:w="243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hideMark/>
          </w:tcPr>
          <w:p w14:paraId="1986F219" w14:textId="77777777" w:rsidR="00097B3B" w:rsidRPr="00252893" w:rsidRDefault="00097B3B">
            <w:pPr>
              <w:widowControl/>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52893">
              <w:rPr>
                <w:rFonts w:cstheme="minorHAnsi"/>
                <w:sz w:val="20"/>
                <w:szCs w:val="20"/>
              </w:rPr>
              <w:t>Aarhus University, Dept. Dermatology, Aarhus, Denmark</w:t>
            </w:r>
          </w:p>
        </w:tc>
        <w:tc>
          <w:tcPr>
            <w:tcW w:w="378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tcPr>
          <w:p w14:paraId="1A04B2DE" w14:textId="62250265" w:rsidR="00097B3B" w:rsidRPr="00252893" w:rsidRDefault="00955B21" w:rsidP="00202E51">
            <w:pPr>
              <w:widowControl/>
              <w:cnfStyle w:val="000000100000" w:firstRow="0" w:lastRow="0" w:firstColumn="0" w:lastColumn="0" w:oddVBand="0" w:evenVBand="0" w:oddHBand="1" w:evenHBand="0" w:firstRowFirstColumn="0" w:firstRowLastColumn="0" w:lastRowFirstColumn="0" w:lastRowLastColumn="0"/>
              <w:rPr>
                <w:rFonts w:cstheme="minorHAnsi"/>
                <w:sz w:val="20"/>
                <w:szCs w:val="20"/>
              </w:rPr>
            </w:pPr>
            <w:hyperlink r:id="rId74" w:history="1">
              <w:r w:rsidR="00097B3B" w:rsidRPr="00252893">
                <w:rPr>
                  <w:rStyle w:val="Hyperlink"/>
                  <w:rFonts w:cstheme="minorHAnsi"/>
                  <w:sz w:val="20"/>
                  <w:szCs w:val="20"/>
                </w:rPr>
                <w:t>https://www.clinicaltrialsregister.eu/ctr-search/trial/2018-001656-35/DK</w:t>
              </w:r>
            </w:hyperlink>
          </w:p>
        </w:tc>
      </w:tr>
      <w:tr w:rsidR="000B6D83" w:rsidRPr="00252893" w14:paraId="279AE61E" w14:textId="77777777" w:rsidTr="00202E51">
        <w:trPr>
          <w:cantSplit/>
          <w:trHeight w:val="300"/>
        </w:trPr>
        <w:tc>
          <w:tcPr>
            <w:cnfStyle w:val="001000000000" w:firstRow="0" w:lastRow="0" w:firstColumn="1" w:lastColumn="0" w:oddVBand="0" w:evenVBand="0" w:oddHBand="0" w:evenHBand="0" w:firstRowFirstColumn="0" w:firstRowLastColumn="0" w:lastRowFirstColumn="0" w:lastRowLastColumn="0"/>
            <w:tcW w:w="341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tcPr>
          <w:p w14:paraId="0845EFDB" w14:textId="3237DCD0" w:rsidR="000B6D83" w:rsidRPr="00252893" w:rsidRDefault="000B6D83" w:rsidP="000B6D83">
            <w:pPr>
              <w:widowControl/>
              <w:rPr>
                <w:rFonts w:cstheme="minorHAnsi"/>
                <w:b w:val="0"/>
                <w:bCs w:val="0"/>
                <w:color w:val="222222"/>
                <w:sz w:val="20"/>
                <w:szCs w:val="20"/>
                <w:shd w:val="clear" w:color="auto" w:fill="DBE5F1" w:themeFill="accent1" w:themeFillTint="33"/>
              </w:rPr>
            </w:pPr>
            <w:r w:rsidRPr="00252893">
              <w:rPr>
                <w:rFonts w:cstheme="minorHAnsi"/>
                <w:b w:val="0"/>
                <w:bCs w:val="0"/>
                <w:color w:val="222222"/>
                <w:sz w:val="20"/>
                <w:szCs w:val="20"/>
                <w:shd w:val="clear" w:color="auto" w:fill="FCFDFD"/>
              </w:rPr>
              <w:t>Metabolic MRI with hyperpolarized pyruvate in long-term COVID19 patients</w:t>
            </w:r>
          </w:p>
        </w:tc>
        <w:tc>
          <w:tcPr>
            <w:tcW w:w="180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tcPr>
          <w:p w14:paraId="7E0F625F" w14:textId="241EF8D2" w:rsidR="000B6D83" w:rsidRPr="00252893" w:rsidRDefault="000B6D83" w:rsidP="000B6D83">
            <w:pPr>
              <w:widowControl/>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252893">
              <w:rPr>
                <w:rFonts w:cstheme="minorHAnsi"/>
                <w:color w:val="000000"/>
                <w:sz w:val="20"/>
                <w:szCs w:val="20"/>
              </w:rPr>
              <w:t>Prematurely ended</w:t>
            </w:r>
          </w:p>
        </w:tc>
        <w:tc>
          <w:tcPr>
            <w:tcW w:w="243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tcPr>
          <w:p w14:paraId="2F3DD119" w14:textId="533C6149" w:rsidR="000B6D83" w:rsidRPr="00252893" w:rsidRDefault="000B6D83" w:rsidP="000B6D83">
            <w:pPr>
              <w:widowControl/>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252893">
              <w:rPr>
                <w:rFonts w:cstheme="minorHAnsi"/>
                <w:color w:val="000000"/>
                <w:sz w:val="20"/>
                <w:szCs w:val="20"/>
              </w:rPr>
              <w:t>COVID-19</w:t>
            </w:r>
          </w:p>
        </w:tc>
        <w:tc>
          <w:tcPr>
            <w:tcW w:w="243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tcPr>
          <w:p w14:paraId="718B65D9" w14:textId="4E6D14EC" w:rsidR="000B6D83" w:rsidRPr="00252893" w:rsidRDefault="000B6D83" w:rsidP="000B6D83">
            <w:pPr>
              <w:widowControl/>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52893">
              <w:rPr>
                <w:rFonts w:cstheme="minorHAnsi"/>
                <w:sz w:val="20"/>
                <w:szCs w:val="20"/>
              </w:rPr>
              <w:t>Aarhus University, Dept. Dermatology, Aarhus, Denmark</w:t>
            </w:r>
          </w:p>
        </w:tc>
        <w:tc>
          <w:tcPr>
            <w:tcW w:w="378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tcPr>
          <w:p w14:paraId="0BCF37C3" w14:textId="49C86EAF" w:rsidR="000B6D83" w:rsidRPr="00202E51" w:rsidRDefault="000B6D83" w:rsidP="000B6D83">
            <w:pPr>
              <w:widowControl/>
              <w:cnfStyle w:val="000000000000" w:firstRow="0" w:lastRow="0" w:firstColumn="0" w:lastColumn="0" w:oddVBand="0" w:evenVBand="0" w:oddHBand="0" w:evenHBand="0" w:firstRowFirstColumn="0" w:firstRowLastColumn="0" w:lastRowFirstColumn="0" w:lastRowLastColumn="0"/>
              <w:rPr>
                <w:rFonts w:cstheme="minorHAnsi"/>
                <w:color w:val="0000FF"/>
                <w:sz w:val="20"/>
                <w:szCs w:val="20"/>
              </w:rPr>
            </w:pPr>
            <w:r w:rsidRPr="00202E51">
              <w:rPr>
                <w:rFonts w:cstheme="minorHAnsi"/>
                <w:color w:val="0000FF"/>
                <w:sz w:val="20"/>
                <w:szCs w:val="20"/>
              </w:rPr>
              <w:t>https://www.clinicaltrialsregister.eu/ctr-search/trial/2021-001031-72/DK</w:t>
            </w:r>
          </w:p>
        </w:tc>
      </w:tr>
      <w:tr w:rsidR="000B6D83" w:rsidRPr="00252893" w14:paraId="03EF66BB" w14:textId="77777777" w:rsidTr="00202E51">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341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tcPr>
          <w:p w14:paraId="00932C36" w14:textId="294B1E52" w:rsidR="000B6D83" w:rsidRPr="00252893" w:rsidRDefault="000B6D83" w:rsidP="000B6D83">
            <w:pPr>
              <w:widowControl/>
              <w:rPr>
                <w:rFonts w:cstheme="minorHAnsi"/>
                <w:b w:val="0"/>
                <w:bCs w:val="0"/>
                <w:color w:val="222222"/>
                <w:sz w:val="20"/>
                <w:szCs w:val="20"/>
                <w:shd w:val="clear" w:color="auto" w:fill="DBE5F1" w:themeFill="accent1" w:themeFillTint="33"/>
              </w:rPr>
            </w:pPr>
            <w:r w:rsidRPr="00252893">
              <w:rPr>
                <w:rFonts w:cstheme="minorHAnsi"/>
                <w:b w:val="0"/>
                <w:bCs w:val="0"/>
                <w:color w:val="222222"/>
                <w:sz w:val="20"/>
                <w:szCs w:val="20"/>
                <w:shd w:val="clear" w:color="auto" w:fill="FCFDFD"/>
              </w:rPr>
              <w:t>MRI with Hyperpolarized Pyruvate in Glioblastoma – a Phase II Study</w:t>
            </w:r>
          </w:p>
        </w:tc>
        <w:tc>
          <w:tcPr>
            <w:tcW w:w="180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tcPr>
          <w:p w14:paraId="2913BBC8" w14:textId="0228BBB3" w:rsidR="000B6D83" w:rsidRPr="00252893" w:rsidRDefault="000B7C48" w:rsidP="000B6D83">
            <w:pPr>
              <w:widowControl/>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 xml:space="preserve"> </w:t>
            </w:r>
            <w:r w:rsidRPr="000B7C48">
              <w:rPr>
                <w:rFonts w:cstheme="minorHAnsi"/>
                <w:color w:val="000000"/>
                <w:sz w:val="20"/>
                <w:szCs w:val="20"/>
              </w:rPr>
              <w:t>Trial now transitioned</w:t>
            </w:r>
          </w:p>
        </w:tc>
        <w:tc>
          <w:tcPr>
            <w:tcW w:w="243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tcPr>
          <w:p w14:paraId="7517A8EB" w14:textId="6E859A98" w:rsidR="000B6D83" w:rsidRPr="00252893" w:rsidRDefault="000B6D83" w:rsidP="000B6D83">
            <w:pPr>
              <w:widowControl/>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52893">
              <w:rPr>
                <w:rFonts w:cstheme="minorHAnsi"/>
                <w:color w:val="000000"/>
                <w:sz w:val="20"/>
                <w:szCs w:val="20"/>
              </w:rPr>
              <w:t>Glioblastoma</w:t>
            </w:r>
          </w:p>
        </w:tc>
        <w:tc>
          <w:tcPr>
            <w:tcW w:w="243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tcPr>
          <w:p w14:paraId="27B82CBB" w14:textId="1688A33F" w:rsidR="000B6D83" w:rsidRPr="00252893" w:rsidRDefault="000B6D83" w:rsidP="000B6D83">
            <w:pPr>
              <w:widowControl/>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52893">
              <w:rPr>
                <w:rFonts w:cstheme="minorHAnsi"/>
                <w:sz w:val="20"/>
                <w:szCs w:val="20"/>
              </w:rPr>
              <w:t>Aarhus University, Dept. Dermatology, Aarhus, Denmark</w:t>
            </w:r>
          </w:p>
        </w:tc>
        <w:tc>
          <w:tcPr>
            <w:tcW w:w="378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tcPr>
          <w:p w14:paraId="5F98CCA3" w14:textId="12EB5C44" w:rsidR="000B6D83" w:rsidRPr="00202E51" w:rsidRDefault="000B6D83" w:rsidP="000B6D83">
            <w:pPr>
              <w:widowControl/>
              <w:cnfStyle w:val="000000100000" w:firstRow="0" w:lastRow="0" w:firstColumn="0" w:lastColumn="0" w:oddVBand="0" w:evenVBand="0" w:oddHBand="1" w:evenHBand="0" w:firstRowFirstColumn="0" w:firstRowLastColumn="0" w:lastRowFirstColumn="0" w:lastRowLastColumn="0"/>
              <w:rPr>
                <w:rFonts w:cstheme="minorHAnsi"/>
                <w:color w:val="0000FF"/>
                <w:sz w:val="20"/>
                <w:szCs w:val="20"/>
              </w:rPr>
            </w:pPr>
            <w:r w:rsidRPr="00202E51">
              <w:rPr>
                <w:rFonts w:cstheme="minorHAnsi"/>
                <w:color w:val="0000FF"/>
                <w:sz w:val="20"/>
                <w:szCs w:val="20"/>
              </w:rPr>
              <w:t>https://www.clinicaltrialsregister.eu/ctr-search/trial/2020-000310-15/DK</w:t>
            </w:r>
          </w:p>
        </w:tc>
      </w:tr>
      <w:tr w:rsidR="000B6D83" w:rsidRPr="00252893" w14:paraId="181B9CE4" w14:textId="77777777" w:rsidTr="00202E51">
        <w:trPr>
          <w:cantSplit/>
          <w:trHeight w:val="300"/>
        </w:trPr>
        <w:tc>
          <w:tcPr>
            <w:cnfStyle w:val="001000000000" w:firstRow="0" w:lastRow="0" w:firstColumn="1" w:lastColumn="0" w:oddVBand="0" w:evenVBand="0" w:oddHBand="0" w:evenHBand="0" w:firstRowFirstColumn="0" w:firstRowLastColumn="0" w:lastRowFirstColumn="0" w:lastRowLastColumn="0"/>
            <w:tcW w:w="341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tcPr>
          <w:p w14:paraId="6C32E4EB" w14:textId="6A3F4EE7" w:rsidR="000B6D83" w:rsidRPr="00252893" w:rsidRDefault="000B6D83" w:rsidP="000B6D83">
            <w:pPr>
              <w:widowControl/>
              <w:rPr>
                <w:rFonts w:cstheme="minorHAnsi"/>
                <w:b w:val="0"/>
                <w:bCs w:val="0"/>
                <w:color w:val="222222"/>
                <w:sz w:val="20"/>
                <w:szCs w:val="20"/>
                <w:shd w:val="clear" w:color="auto" w:fill="DBE5F1" w:themeFill="accent1" w:themeFillTint="33"/>
              </w:rPr>
            </w:pPr>
            <w:r w:rsidRPr="00252893">
              <w:rPr>
                <w:rFonts w:cstheme="minorHAnsi"/>
                <w:b w:val="0"/>
                <w:bCs w:val="0"/>
                <w:color w:val="222222"/>
                <w:sz w:val="20"/>
                <w:szCs w:val="20"/>
                <w:shd w:val="clear" w:color="auto" w:fill="FCFDFD"/>
              </w:rPr>
              <w:t>Early detection of hepatocellular carcinoma by Hyperpolarized [1-13</w:t>
            </w:r>
            <w:proofErr w:type="gramStart"/>
            <w:r w:rsidRPr="00252893">
              <w:rPr>
                <w:rFonts w:cstheme="minorHAnsi"/>
                <w:b w:val="0"/>
                <w:bCs w:val="0"/>
                <w:color w:val="222222"/>
                <w:sz w:val="20"/>
                <w:szCs w:val="20"/>
                <w:shd w:val="clear" w:color="auto" w:fill="FCFDFD"/>
              </w:rPr>
              <w:t>C]pyruvate</w:t>
            </w:r>
            <w:proofErr w:type="gramEnd"/>
            <w:r w:rsidRPr="00252893">
              <w:rPr>
                <w:rFonts w:cstheme="minorHAnsi"/>
                <w:b w:val="0"/>
                <w:bCs w:val="0"/>
                <w:color w:val="222222"/>
                <w:sz w:val="20"/>
                <w:szCs w:val="20"/>
                <w:shd w:val="clear" w:color="auto" w:fill="FCFDFD"/>
              </w:rPr>
              <w:t xml:space="preserve"> MRI</w:t>
            </w:r>
          </w:p>
        </w:tc>
        <w:tc>
          <w:tcPr>
            <w:tcW w:w="180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tcPr>
          <w:p w14:paraId="7784F9F6" w14:textId="6FB57606" w:rsidR="000B6D83" w:rsidRPr="00252893" w:rsidRDefault="000B7C48" w:rsidP="000B6D83">
            <w:pPr>
              <w:widowControl/>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 xml:space="preserve"> </w:t>
            </w:r>
            <w:r w:rsidRPr="000B7C48">
              <w:rPr>
                <w:rFonts w:cstheme="minorHAnsi"/>
                <w:color w:val="000000"/>
                <w:sz w:val="20"/>
                <w:szCs w:val="20"/>
              </w:rPr>
              <w:t>Trial now transitioned</w:t>
            </w:r>
          </w:p>
        </w:tc>
        <w:tc>
          <w:tcPr>
            <w:tcW w:w="243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tcPr>
          <w:p w14:paraId="43765677" w14:textId="65616ED9" w:rsidR="000B6D83" w:rsidRPr="00252893" w:rsidRDefault="000B6D83" w:rsidP="000B6D83">
            <w:pPr>
              <w:widowControl/>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252893">
              <w:rPr>
                <w:rFonts w:cstheme="minorHAnsi"/>
                <w:color w:val="333333"/>
                <w:sz w:val="20"/>
                <w:szCs w:val="20"/>
                <w:shd w:val="clear" w:color="auto" w:fill="F5F5F5"/>
              </w:rPr>
              <w:t>Primary liver cancer</w:t>
            </w:r>
            <w:r w:rsidRPr="00252893">
              <w:rPr>
                <w:rStyle w:val="apple-converted-space"/>
                <w:rFonts w:cstheme="minorHAnsi"/>
                <w:color w:val="333333"/>
                <w:sz w:val="20"/>
                <w:szCs w:val="20"/>
                <w:shd w:val="clear" w:color="auto" w:fill="F5F5F5"/>
              </w:rPr>
              <w:t> </w:t>
            </w:r>
          </w:p>
        </w:tc>
        <w:tc>
          <w:tcPr>
            <w:tcW w:w="243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tcPr>
          <w:p w14:paraId="2DDFF610" w14:textId="65E6690D" w:rsidR="000B6D83" w:rsidRPr="00252893" w:rsidRDefault="000B6D83" w:rsidP="000B6D83">
            <w:pPr>
              <w:widowControl/>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52893">
              <w:rPr>
                <w:rFonts w:cstheme="minorHAnsi"/>
                <w:sz w:val="20"/>
                <w:szCs w:val="20"/>
              </w:rPr>
              <w:t>Aarhus University, Dept. Dermatology, Aarhus, Denmark</w:t>
            </w:r>
          </w:p>
        </w:tc>
        <w:tc>
          <w:tcPr>
            <w:tcW w:w="378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tcPr>
          <w:p w14:paraId="03EF8DB2" w14:textId="5358F8FB" w:rsidR="000B6D83" w:rsidRPr="00202E51" w:rsidRDefault="000B6D83" w:rsidP="000B6D83">
            <w:pPr>
              <w:widowControl/>
              <w:cnfStyle w:val="000000000000" w:firstRow="0" w:lastRow="0" w:firstColumn="0" w:lastColumn="0" w:oddVBand="0" w:evenVBand="0" w:oddHBand="0" w:evenHBand="0" w:firstRowFirstColumn="0" w:firstRowLastColumn="0" w:lastRowFirstColumn="0" w:lastRowLastColumn="0"/>
              <w:rPr>
                <w:rFonts w:cstheme="minorHAnsi"/>
                <w:color w:val="0000FF"/>
                <w:sz w:val="20"/>
                <w:szCs w:val="20"/>
              </w:rPr>
            </w:pPr>
            <w:r w:rsidRPr="00202E51">
              <w:rPr>
                <w:rFonts w:cstheme="minorHAnsi"/>
                <w:color w:val="0000FF"/>
                <w:sz w:val="20"/>
                <w:szCs w:val="20"/>
              </w:rPr>
              <w:t>https://www.clinicaltrialsregister.eu/ctr-search/trial/2021-000863-56/DK</w:t>
            </w:r>
          </w:p>
        </w:tc>
      </w:tr>
      <w:tr w:rsidR="000B6D83" w:rsidRPr="00252893" w14:paraId="28A0CA78" w14:textId="77777777" w:rsidTr="00202E51">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341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tcPr>
          <w:p w14:paraId="291EA80A" w14:textId="1754862F" w:rsidR="000B6D83" w:rsidRPr="00252893" w:rsidRDefault="000B6D83" w:rsidP="000B6D83">
            <w:pPr>
              <w:widowControl/>
              <w:rPr>
                <w:rFonts w:cstheme="minorHAnsi"/>
                <w:b w:val="0"/>
                <w:bCs w:val="0"/>
                <w:color w:val="222222"/>
                <w:sz w:val="20"/>
                <w:szCs w:val="20"/>
                <w:shd w:val="clear" w:color="auto" w:fill="DBE5F1" w:themeFill="accent1" w:themeFillTint="33"/>
              </w:rPr>
            </w:pPr>
            <w:r w:rsidRPr="00252893">
              <w:rPr>
                <w:rFonts w:cstheme="minorHAnsi"/>
                <w:b w:val="0"/>
                <w:bCs w:val="0"/>
                <w:color w:val="222222"/>
                <w:sz w:val="20"/>
                <w:szCs w:val="20"/>
                <w:shd w:val="clear" w:color="auto" w:fill="FCFDFD"/>
              </w:rPr>
              <w:lastRenderedPageBreak/>
              <w:t>MRI of neurometabolic impairment in ALS and TIA using hyperpolarized pyruvate</w:t>
            </w:r>
          </w:p>
        </w:tc>
        <w:tc>
          <w:tcPr>
            <w:tcW w:w="180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tcPr>
          <w:p w14:paraId="1821606D" w14:textId="20AC7A1D" w:rsidR="000B6D83" w:rsidRPr="00252893" w:rsidRDefault="000B6D83" w:rsidP="000B6D83">
            <w:pPr>
              <w:widowControl/>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52893">
              <w:rPr>
                <w:rFonts w:cstheme="minorHAnsi"/>
                <w:color w:val="000000"/>
                <w:sz w:val="20"/>
                <w:szCs w:val="20"/>
              </w:rPr>
              <w:t>Recruiting</w:t>
            </w:r>
          </w:p>
        </w:tc>
        <w:tc>
          <w:tcPr>
            <w:tcW w:w="243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tcPr>
          <w:p w14:paraId="537CF270" w14:textId="13D5777D" w:rsidR="000B6D83" w:rsidRPr="00252893" w:rsidRDefault="000B6D83" w:rsidP="000B6D83">
            <w:pPr>
              <w:widowControl/>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52893">
              <w:rPr>
                <w:rFonts w:cstheme="minorHAnsi"/>
                <w:color w:val="333333"/>
                <w:sz w:val="20"/>
                <w:szCs w:val="20"/>
                <w:shd w:val="clear" w:color="auto" w:fill="F5F5F5"/>
              </w:rPr>
              <w:t>TIA, Stroke, ALS</w:t>
            </w:r>
          </w:p>
        </w:tc>
        <w:tc>
          <w:tcPr>
            <w:tcW w:w="243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tcPr>
          <w:p w14:paraId="7B6D9F68" w14:textId="7F55BECA" w:rsidR="000B6D83" w:rsidRPr="00252893" w:rsidRDefault="000B6D83" w:rsidP="000B6D83">
            <w:pPr>
              <w:widowControl/>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52893">
              <w:rPr>
                <w:rFonts w:cstheme="minorHAnsi"/>
                <w:sz w:val="20"/>
                <w:szCs w:val="20"/>
              </w:rPr>
              <w:t>Aarhus University, Dept. Dermatology, Aarhus, Denmark</w:t>
            </w:r>
          </w:p>
        </w:tc>
        <w:tc>
          <w:tcPr>
            <w:tcW w:w="378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tcPr>
          <w:p w14:paraId="37894820" w14:textId="1785370F" w:rsidR="000B6D83" w:rsidRPr="00202E51" w:rsidRDefault="000B6D83" w:rsidP="000B6D83">
            <w:pPr>
              <w:widowControl/>
              <w:cnfStyle w:val="000000100000" w:firstRow="0" w:lastRow="0" w:firstColumn="0" w:lastColumn="0" w:oddVBand="0" w:evenVBand="0" w:oddHBand="1" w:evenHBand="0" w:firstRowFirstColumn="0" w:firstRowLastColumn="0" w:lastRowFirstColumn="0" w:lastRowLastColumn="0"/>
              <w:rPr>
                <w:rFonts w:cstheme="minorHAnsi"/>
                <w:color w:val="0000FF"/>
                <w:sz w:val="20"/>
                <w:szCs w:val="20"/>
              </w:rPr>
            </w:pPr>
            <w:r w:rsidRPr="00202E51">
              <w:rPr>
                <w:rFonts w:cstheme="minorHAnsi"/>
                <w:color w:val="0000FF"/>
                <w:sz w:val="20"/>
                <w:szCs w:val="20"/>
              </w:rPr>
              <w:t>https://www.clinicaltrialsregister.eu/ctr-search/trial/2020-000352-36/DK</w:t>
            </w:r>
          </w:p>
        </w:tc>
      </w:tr>
      <w:tr w:rsidR="000B6D83" w:rsidRPr="00252893" w14:paraId="13CE6C65" w14:textId="77777777" w:rsidTr="00202E51">
        <w:trPr>
          <w:cantSplit/>
          <w:trHeight w:val="300"/>
        </w:trPr>
        <w:tc>
          <w:tcPr>
            <w:cnfStyle w:val="001000000000" w:firstRow="0" w:lastRow="0" w:firstColumn="1" w:lastColumn="0" w:oddVBand="0" w:evenVBand="0" w:oddHBand="0" w:evenHBand="0" w:firstRowFirstColumn="0" w:firstRowLastColumn="0" w:lastRowFirstColumn="0" w:lastRowLastColumn="0"/>
            <w:tcW w:w="341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tcPr>
          <w:p w14:paraId="748D3B1A" w14:textId="6C9DEEAC" w:rsidR="000B6D83" w:rsidRPr="00252893" w:rsidRDefault="000B6D83" w:rsidP="000B6D83">
            <w:pPr>
              <w:widowControl/>
              <w:rPr>
                <w:rFonts w:cstheme="minorHAnsi"/>
                <w:b w:val="0"/>
                <w:bCs w:val="0"/>
                <w:color w:val="222222"/>
                <w:sz w:val="20"/>
                <w:szCs w:val="20"/>
                <w:shd w:val="clear" w:color="auto" w:fill="DBE5F1" w:themeFill="accent1" w:themeFillTint="33"/>
              </w:rPr>
            </w:pPr>
            <w:r w:rsidRPr="00252893">
              <w:rPr>
                <w:rFonts w:cstheme="minorHAnsi"/>
                <w:b w:val="0"/>
                <w:bCs w:val="0"/>
                <w:color w:val="222222"/>
                <w:sz w:val="20"/>
                <w:szCs w:val="20"/>
                <w:shd w:val="clear" w:color="auto" w:fill="FCFDFD"/>
              </w:rPr>
              <w:t>Chronic kidney disease – imaging the metabolic derangements with ultra-sensitive MRI</w:t>
            </w:r>
          </w:p>
        </w:tc>
        <w:tc>
          <w:tcPr>
            <w:tcW w:w="180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tcPr>
          <w:p w14:paraId="6921456F" w14:textId="1F7DC6A2" w:rsidR="000B6D83" w:rsidRPr="00252893" w:rsidRDefault="000B7C48" w:rsidP="000B6D83">
            <w:pPr>
              <w:widowControl/>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 xml:space="preserve"> </w:t>
            </w:r>
            <w:r w:rsidRPr="000B7C48">
              <w:rPr>
                <w:rFonts w:cstheme="minorHAnsi"/>
                <w:color w:val="000000"/>
                <w:sz w:val="20"/>
                <w:szCs w:val="20"/>
              </w:rPr>
              <w:t>Trial now transitioned</w:t>
            </w:r>
          </w:p>
        </w:tc>
        <w:tc>
          <w:tcPr>
            <w:tcW w:w="243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tcPr>
          <w:p w14:paraId="3C71B03B" w14:textId="2A0F77DD" w:rsidR="000B6D83" w:rsidRPr="00252893" w:rsidRDefault="000B6D83" w:rsidP="000B6D83">
            <w:pPr>
              <w:widowControl/>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252893">
              <w:rPr>
                <w:rFonts w:cstheme="minorHAnsi"/>
                <w:color w:val="333333"/>
                <w:sz w:val="20"/>
                <w:szCs w:val="20"/>
                <w:shd w:val="clear" w:color="auto" w:fill="F5F5F5"/>
              </w:rPr>
              <w:t>Chronic kidney disease</w:t>
            </w:r>
          </w:p>
        </w:tc>
        <w:tc>
          <w:tcPr>
            <w:tcW w:w="243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tcPr>
          <w:p w14:paraId="70829967" w14:textId="2E762B43" w:rsidR="000B6D83" w:rsidRPr="00252893" w:rsidRDefault="000B6D83" w:rsidP="000B6D83">
            <w:pPr>
              <w:widowControl/>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52893">
              <w:rPr>
                <w:rFonts w:cstheme="minorHAnsi"/>
                <w:sz w:val="20"/>
                <w:szCs w:val="20"/>
              </w:rPr>
              <w:t>Aarhus University, Dept. Dermatology, Aarhus, Denmark</w:t>
            </w:r>
          </w:p>
        </w:tc>
        <w:tc>
          <w:tcPr>
            <w:tcW w:w="378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tcPr>
          <w:p w14:paraId="5D43F9AE" w14:textId="066668E2" w:rsidR="000B6D83" w:rsidRPr="00202E51" w:rsidRDefault="000B6D83" w:rsidP="000B6D83">
            <w:pPr>
              <w:widowControl/>
              <w:cnfStyle w:val="000000000000" w:firstRow="0" w:lastRow="0" w:firstColumn="0" w:lastColumn="0" w:oddVBand="0" w:evenVBand="0" w:oddHBand="0" w:evenHBand="0" w:firstRowFirstColumn="0" w:firstRowLastColumn="0" w:lastRowFirstColumn="0" w:lastRowLastColumn="0"/>
              <w:rPr>
                <w:rFonts w:cstheme="minorHAnsi"/>
                <w:color w:val="0000FF"/>
                <w:sz w:val="20"/>
                <w:szCs w:val="20"/>
              </w:rPr>
            </w:pPr>
            <w:r w:rsidRPr="00202E51">
              <w:rPr>
                <w:rFonts w:cstheme="minorHAnsi"/>
                <w:color w:val="0000FF"/>
                <w:sz w:val="20"/>
                <w:szCs w:val="20"/>
              </w:rPr>
              <w:t>https://www.clinicaltrialsregister.eu/ctr-search/trial/2021-002551-11/DK</w:t>
            </w:r>
          </w:p>
        </w:tc>
      </w:tr>
    </w:tbl>
    <w:p w14:paraId="4ABC5F2B" w14:textId="1CFCAF64" w:rsidR="00202E51" w:rsidRDefault="00202E51">
      <w:pPr>
        <w:rPr>
          <w:rFonts w:ascii="Times New Roman" w:eastAsia="Times New Roman" w:hAnsi="Times New Roman" w:cs="Times New Roman"/>
          <w:sz w:val="24"/>
          <w:szCs w:val="24"/>
        </w:rPr>
      </w:pPr>
    </w:p>
    <w:p w14:paraId="24E150F8" w14:textId="77777777" w:rsidR="00202E51" w:rsidRDefault="00202E51">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8BFB12B" w14:textId="77777777" w:rsidR="004812C0" w:rsidRDefault="004812C0">
      <w:pPr>
        <w:rPr>
          <w:rFonts w:ascii="Times New Roman" w:eastAsia="Times New Roman" w:hAnsi="Times New Roman" w:cs="Times New Roman"/>
          <w:sz w:val="24"/>
          <w:szCs w:val="24"/>
        </w:rPr>
      </w:pPr>
    </w:p>
    <w:p w14:paraId="7603450F" w14:textId="48BEF7B0" w:rsidR="00097B3B" w:rsidRPr="006B5FA0" w:rsidRDefault="006B7231">
      <w:pPr>
        <w:pStyle w:val="Caption"/>
        <w:rPr>
          <w:rFonts w:cstheme="minorHAnsi"/>
          <w:iCs w:val="0"/>
          <w:szCs w:val="24"/>
        </w:rPr>
      </w:pPr>
      <w:bookmarkStart w:id="19" w:name="_Ref33020027"/>
      <w:bookmarkStart w:id="20" w:name="_Hlk66354874"/>
      <w:r>
        <w:t xml:space="preserve">Table </w:t>
      </w:r>
      <w:r w:rsidR="005C6BC3">
        <w:fldChar w:fldCharType="begin"/>
      </w:r>
      <w:r w:rsidR="005C6BC3">
        <w:instrText xml:space="preserve"> SEQ Table \* ARABIC </w:instrText>
      </w:r>
      <w:r w:rsidR="005C6BC3">
        <w:fldChar w:fldCharType="separate"/>
      </w:r>
      <w:r w:rsidR="00B263AB">
        <w:rPr>
          <w:noProof/>
        </w:rPr>
        <w:t>4</w:t>
      </w:r>
      <w:r w:rsidR="005C6BC3">
        <w:rPr>
          <w:noProof/>
        </w:rPr>
        <w:fldChar w:fldCharType="end"/>
      </w:r>
      <w:bookmarkEnd w:id="19"/>
      <w:r>
        <w:t xml:space="preserve">. </w:t>
      </w:r>
      <w:r w:rsidRPr="004F465E">
        <w:t>Current Trials listed on WHO and ORCID</w:t>
      </w:r>
    </w:p>
    <w:tbl>
      <w:tblPr>
        <w:tblStyle w:val="GridTable4-Accent1"/>
        <w:tblW w:w="13860" w:type="dxa"/>
        <w:tblLayout w:type="fixed"/>
        <w:tblLook w:val="04A0" w:firstRow="1" w:lastRow="0" w:firstColumn="1" w:lastColumn="0" w:noHBand="0" w:noVBand="1"/>
      </w:tblPr>
      <w:tblGrid>
        <w:gridCol w:w="3396"/>
        <w:gridCol w:w="1791"/>
        <w:gridCol w:w="2416"/>
        <w:gridCol w:w="2416"/>
        <w:gridCol w:w="3841"/>
      </w:tblGrid>
      <w:tr w:rsidR="00097B3B" w14:paraId="0EBCCFA6" w14:textId="487B8EF2" w:rsidTr="00AD0DD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6" w:type="dxa"/>
            <w:shd w:val="clear" w:color="auto" w:fill="00B0F0"/>
            <w:noWrap/>
            <w:hideMark/>
          </w:tcPr>
          <w:p w14:paraId="767D4E97" w14:textId="5B6A1DAE" w:rsidR="00097B3B" w:rsidRDefault="00097B3B">
            <w:pPr>
              <w:widowControl/>
              <w:rPr>
                <w:rFonts w:ascii="Times New Roman" w:hAnsi="Times New Roman" w:cstheme="minorHAnsi"/>
                <w:color w:val="000000"/>
                <w:szCs w:val="24"/>
              </w:rPr>
            </w:pPr>
            <w:r>
              <w:rPr>
                <w:rFonts w:cstheme="minorHAnsi"/>
                <w:color w:val="000000"/>
              </w:rPr>
              <w:t>Title</w:t>
            </w:r>
          </w:p>
        </w:tc>
        <w:tc>
          <w:tcPr>
            <w:tcW w:w="1791" w:type="dxa"/>
            <w:shd w:val="clear" w:color="auto" w:fill="00B0F0"/>
            <w:noWrap/>
            <w:hideMark/>
          </w:tcPr>
          <w:p w14:paraId="403CDBEF" w14:textId="00963CD6" w:rsidR="00097B3B" w:rsidRDefault="00097B3B">
            <w:pPr>
              <w:widowControl/>
              <w:cnfStyle w:val="100000000000" w:firstRow="1"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Status</w:t>
            </w:r>
          </w:p>
        </w:tc>
        <w:tc>
          <w:tcPr>
            <w:tcW w:w="2416" w:type="dxa"/>
            <w:shd w:val="clear" w:color="auto" w:fill="00B0F0"/>
            <w:noWrap/>
            <w:hideMark/>
          </w:tcPr>
          <w:p w14:paraId="79CE3B02" w14:textId="45F72A93" w:rsidR="00097B3B" w:rsidRDefault="00097B3B">
            <w:pPr>
              <w:widowControl/>
              <w:cnfStyle w:val="100000000000" w:firstRow="1"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Disease</w:t>
            </w:r>
          </w:p>
        </w:tc>
        <w:tc>
          <w:tcPr>
            <w:tcW w:w="2416" w:type="dxa"/>
            <w:shd w:val="clear" w:color="auto" w:fill="00B0F0"/>
            <w:noWrap/>
            <w:hideMark/>
          </w:tcPr>
          <w:p w14:paraId="77BABE19" w14:textId="63244420" w:rsidR="00097B3B" w:rsidRDefault="00097B3B">
            <w:pPr>
              <w:widowControl/>
              <w:cnfStyle w:val="100000000000" w:firstRow="1"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Institution</w:t>
            </w:r>
          </w:p>
        </w:tc>
        <w:tc>
          <w:tcPr>
            <w:tcW w:w="3841" w:type="dxa"/>
            <w:shd w:val="clear" w:color="auto" w:fill="00B0F0"/>
            <w:noWrap/>
            <w:hideMark/>
          </w:tcPr>
          <w:p w14:paraId="521BC762" w14:textId="6CBDCD58" w:rsidR="00097B3B" w:rsidRDefault="00097B3B">
            <w:pPr>
              <w:widowControl/>
              <w:cnfStyle w:val="100000000000" w:firstRow="1"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Link</w:t>
            </w:r>
          </w:p>
        </w:tc>
      </w:tr>
      <w:tr w:rsidR="00252893" w:rsidRPr="00252893" w14:paraId="1FF7477E" w14:textId="4444FA5C" w:rsidTr="00202E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hideMark/>
          </w:tcPr>
          <w:p w14:paraId="7C76CCFF" w14:textId="4860F8D6" w:rsidR="00097B3B" w:rsidRPr="00252893" w:rsidRDefault="00097B3B">
            <w:pPr>
              <w:widowControl/>
              <w:rPr>
                <w:rFonts w:cstheme="minorHAnsi"/>
                <w:b w:val="0"/>
                <w:bCs w:val="0"/>
                <w:sz w:val="20"/>
                <w:szCs w:val="20"/>
              </w:rPr>
            </w:pPr>
            <w:r w:rsidRPr="00252893">
              <w:rPr>
                <w:rFonts w:ascii="Calibri" w:hAnsi="Calibri" w:cs="Calibri"/>
                <w:b w:val="0"/>
                <w:bCs w:val="0"/>
                <w:sz w:val="20"/>
                <w:szCs w:val="20"/>
              </w:rPr>
              <w:t xml:space="preserve">Cardiac Magnetic Resonance for the </w:t>
            </w:r>
            <w:r w:rsidR="00AD0DDE" w:rsidRPr="00252893">
              <w:rPr>
                <w:rFonts w:ascii="Calibri" w:hAnsi="Calibri" w:cs="Calibri"/>
                <w:b w:val="0"/>
                <w:bCs w:val="0"/>
                <w:sz w:val="20"/>
                <w:szCs w:val="20"/>
              </w:rPr>
              <w:t>Prediction</w:t>
            </w:r>
            <w:r w:rsidRPr="00252893">
              <w:rPr>
                <w:rFonts w:ascii="Calibri" w:hAnsi="Calibri" w:cs="Calibri"/>
                <w:b w:val="0"/>
                <w:bCs w:val="0"/>
                <w:sz w:val="20"/>
                <w:szCs w:val="20"/>
              </w:rPr>
              <w:t xml:space="preserve"> and </w:t>
            </w:r>
            <w:r w:rsidR="00AD0DDE" w:rsidRPr="00252893">
              <w:rPr>
                <w:rFonts w:ascii="Calibri" w:hAnsi="Calibri" w:cs="Calibri"/>
                <w:b w:val="0"/>
                <w:bCs w:val="0"/>
                <w:sz w:val="20"/>
                <w:szCs w:val="20"/>
              </w:rPr>
              <w:t>Diagnostics</w:t>
            </w:r>
            <w:r w:rsidRPr="00252893">
              <w:rPr>
                <w:rFonts w:ascii="Calibri" w:hAnsi="Calibri" w:cs="Calibri"/>
                <w:b w:val="0"/>
                <w:bCs w:val="0"/>
                <w:sz w:val="20"/>
                <w:szCs w:val="20"/>
              </w:rPr>
              <w:t xml:space="preserve"> of </w:t>
            </w:r>
            <w:r w:rsidR="008C6521">
              <w:rPr>
                <w:rFonts w:ascii="Calibri" w:hAnsi="Calibri" w:cs="Calibri"/>
                <w:b w:val="0"/>
                <w:bCs w:val="0"/>
                <w:sz w:val="20"/>
                <w:szCs w:val="20"/>
              </w:rPr>
              <w:t>Heart Failure</w:t>
            </w:r>
          </w:p>
        </w:tc>
        <w:tc>
          <w:tcPr>
            <w:tcW w:w="179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hideMark/>
          </w:tcPr>
          <w:p w14:paraId="74A34D97" w14:textId="56CB0A20" w:rsidR="00097B3B" w:rsidRPr="00252893" w:rsidRDefault="002D58B1">
            <w:pPr>
              <w:widowControl/>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52893">
              <w:rPr>
                <w:rFonts w:cstheme="minorHAnsi"/>
                <w:sz w:val="20"/>
                <w:szCs w:val="20"/>
              </w:rPr>
              <w:t>R</w:t>
            </w:r>
            <w:r w:rsidR="00097B3B" w:rsidRPr="00252893">
              <w:rPr>
                <w:rFonts w:cstheme="minorHAnsi"/>
                <w:sz w:val="20"/>
                <w:szCs w:val="20"/>
              </w:rPr>
              <w:t>ecruiting</w:t>
            </w:r>
          </w:p>
        </w:tc>
        <w:tc>
          <w:tcPr>
            <w:tcW w:w="241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hideMark/>
          </w:tcPr>
          <w:p w14:paraId="37E49CE8" w14:textId="3CC219FB" w:rsidR="00097B3B" w:rsidRPr="00252893" w:rsidRDefault="00097B3B">
            <w:pPr>
              <w:widowControl/>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52893">
              <w:rPr>
                <w:rFonts w:ascii="Calibri" w:hAnsi="Calibri" w:cs="Calibri"/>
                <w:sz w:val="20"/>
                <w:szCs w:val="20"/>
              </w:rPr>
              <w:t>Heart Failure</w:t>
            </w:r>
          </w:p>
        </w:tc>
        <w:tc>
          <w:tcPr>
            <w:tcW w:w="241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hideMark/>
          </w:tcPr>
          <w:p w14:paraId="58643E48" w14:textId="225A8EAE" w:rsidR="00097B3B" w:rsidRPr="00252893" w:rsidRDefault="00097B3B">
            <w:pPr>
              <w:widowControl/>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52893">
              <w:rPr>
                <w:rFonts w:ascii="Calibri" w:hAnsi="Calibri" w:cs="Calibri"/>
                <w:sz w:val="20"/>
                <w:szCs w:val="20"/>
              </w:rPr>
              <w:t>ETH and University Zurich, Institute for Biomedical Engineering, Zurich, Switzerland</w:t>
            </w:r>
          </w:p>
        </w:tc>
        <w:tc>
          <w:tcPr>
            <w:tcW w:w="38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hideMark/>
          </w:tcPr>
          <w:p w14:paraId="18B62D5F" w14:textId="39992C4B" w:rsidR="00097B3B" w:rsidRPr="00252893" w:rsidRDefault="00097B3B">
            <w:pPr>
              <w:widowControl/>
              <w:cnfStyle w:val="000000100000" w:firstRow="0" w:lastRow="0" w:firstColumn="0" w:lastColumn="0" w:oddVBand="0" w:evenVBand="0" w:oddHBand="1" w:evenHBand="0" w:firstRowFirstColumn="0" w:firstRowLastColumn="0" w:lastRowFirstColumn="0" w:lastRowLastColumn="0"/>
              <w:rPr>
                <w:rFonts w:cstheme="minorHAnsi"/>
                <w:color w:val="0000FF"/>
                <w:sz w:val="20"/>
                <w:szCs w:val="20"/>
              </w:rPr>
            </w:pPr>
            <w:r w:rsidRPr="00252893">
              <w:rPr>
                <w:rFonts w:cstheme="minorHAnsi"/>
                <w:color w:val="0000FF"/>
                <w:sz w:val="20"/>
                <w:szCs w:val="20"/>
              </w:rPr>
              <w:t> </w:t>
            </w:r>
            <w:hyperlink r:id="rId75" w:history="1">
              <w:r w:rsidRPr="00252893">
                <w:rPr>
                  <w:rStyle w:val="Hyperlink"/>
                  <w:rFonts w:ascii="Calibri" w:hAnsi="Calibri" w:cs="Calibri"/>
                  <w:color w:val="0000FF"/>
                  <w:sz w:val="20"/>
                  <w:szCs w:val="20"/>
                </w:rPr>
                <w:t>http://apps.who.int/trialsearch/Trial2.aspx?TrialID=DRKS00016614</w:t>
              </w:r>
            </w:hyperlink>
          </w:p>
        </w:tc>
      </w:tr>
      <w:tr w:rsidR="00252893" w:rsidRPr="00252893" w14:paraId="069B67ED" w14:textId="77777777" w:rsidTr="00202E51">
        <w:trPr>
          <w:trHeight w:val="300"/>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tcPr>
          <w:p w14:paraId="0D5C5BE3" w14:textId="4B370408" w:rsidR="002D58B1" w:rsidRPr="00AD0DDE" w:rsidRDefault="002D58B1" w:rsidP="00AD0DDE">
            <w:pPr>
              <w:widowControl/>
              <w:rPr>
                <w:rFonts w:ascii="Calibri" w:hAnsi="Calibri" w:cs="Calibri"/>
                <w:b w:val="0"/>
                <w:bCs w:val="0"/>
                <w:sz w:val="20"/>
                <w:szCs w:val="20"/>
              </w:rPr>
            </w:pPr>
          </w:p>
        </w:tc>
        <w:tc>
          <w:tcPr>
            <w:tcW w:w="179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tcPr>
          <w:p w14:paraId="2B3DCF12" w14:textId="18A27C07" w:rsidR="002D58B1" w:rsidRPr="00252893" w:rsidDel="002D58B1" w:rsidRDefault="002D58B1" w:rsidP="002D58B1">
            <w:pPr>
              <w:widowControl/>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41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tcPr>
          <w:p w14:paraId="7D3DBF30" w14:textId="2C7CD935" w:rsidR="002D58B1" w:rsidRPr="00252893" w:rsidRDefault="002D58B1" w:rsidP="002D58B1">
            <w:pPr>
              <w:widowControl/>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241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tcPr>
          <w:p w14:paraId="44DC8E3C" w14:textId="07943A8F" w:rsidR="002D58B1" w:rsidRPr="00252893" w:rsidRDefault="002D58B1" w:rsidP="002D58B1">
            <w:pPr>
              <w:widowControl/>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38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tcPr>
          <w:p w14:paraId="5C496458" w14:textId="5C974362" w:rsidR="002D58B1" w:rsidRPr="00252893" w:rsidRDefault="002D58B1" w:rsidP="002D58B1">
            <w:pPr>
              <w:widowControl/>
              <w:cnfStyle w:val="000000000000" w:firstRow="0" w:lastRow="0" w:firstColumn="0" w:lastColumn="0" w:oddVBand="0" w:evenVBand="0" w:oddHBand="0" w:evenHBand="0" w:firstRowFirstColumn="0" w:firstRowLastColumn="0" w:lastRowFirstColumn="0" w:lastRowLastColumn="0"/>
              <w:rPr>
                <w:rFonts w:cstheme="minorHAnsi"/>
                <w:color w:val="0000FF"/>
                <w:sz w:val="20"/>
                <w:szCs w:val="20"/>
              </w:rPr>
            </w:pPr>
          </w:p>
        </w:tc>
      </w:tr>
      <w:bookmarkEnd w:id="20"/>
    </w:tbl>
    <w:p w14:paraId="00BAF6DD" w14:textId="77777777" w:rsidR="00097B3B" w:rsidRPr="00252893" w:rsidRDefault="00097B3B" w:rsidP="00097B3B"/>
    <w:p w14:paraId="22525553" w14:textId="77777777" w:rsidR="00E9284E" w:rsidRDefault="00E9284E" w:rsidP="00097B3B">
      <w:pPr>
        <w:sectPr w:rsidR="00E9284E" w:rsidSect="00E9284E">
          <w:pgSz w:w="16834" w:h="11909" w:orient="landscape" w:code="9"/>
          <w:pgMar w:top="1440" w:right="1440" w:bottom="1440" w:left="1440" w:header="720" w:footer="720" w:gutter="0"/>
          <w:cols w:space="720"/>
          <w:docGrid w:linePitch="299"/>
        </w:sectPr>
      </w:pPr>
    </w:p>
    <w:p w14:paraId="101371B2" w14:textId="77777777" w:rsidR="00957F89" w:rsidRPr="00C73849" w:rsidRDefault="00D92D87" w:rsidP="0058353A">
      <w:pPr>
        <w:pStyle w:val="Heading1"/>
        <w:rPr>
          <w:rFonts w:cs="Times New Roman"/>
          <w:szCs w:val="28"/>
        </w:rPr>
      </w:pPr>
      <w:bookmarkStart w:id="21" w:name="_bookmark4"/>
      <w:bookmarkStart w:id="22" w:name="_Toc34899951"/>
      <w:bookmarkStart w:id="23" w:name="_Toc33702480"/>
      <w:bookmarkStart w:id="24" w:name="_Toc176276914"/>
      <w:bookmarkEnd w:id="16"/>
      <w:bookmarkEnd w:id="21"/>
      <w:r w:rsidRPr="00C73849">
        <w:lastRenderedPageBreak/>
        <w:t>INTRODUCTION</w:t>
      </w:r>
      <w:bookmarkEnd w:id="22"/>
      <w:bookmarkEnd w:id="23"/>
      <w:bookmarkEnd w:id="24"/>
    </w:p>
    <w:p w14:paraId="54FD6C2A" w14:textId="77777777" w:rsidR="00957F89" w:rsidRPr="00C73849" w:rsidRDefault="008C15C2">
      <w:pPr>
        <w:pStyle w:val="Heading2"/>
        <w:rPr>
          <w:rFonts w:eastAsia="Times New Roman" w:hAnsi="Times New Roman" w:cs="Times New Roman"/>
          <w:szCs w:val="28"/>
        </w:rPr>
      </w:pPr>
      <w:bookmarkStart w:id="25" w:name="_Toc34899952"/>
      <w:bookmarkStart w:id="26" w:name="_Toc33702481"/>
      <w:bookmarkStart w:id="27" w:name="_Toc176276915"/>
      <w:r>
        <w:t>3.1</w:t>
      </w:r>
      <w:r>
        <w:tab/>
      </w:r>
      <w:r w:rsidR="00D92D87" w:rsidRPr="00C73849">
        <w:t>Investigational Medicinal Product</w:t>
      </w:r>
      <w:bookmarkEnd w:id="25"/>
      <w:bookmarkEnd w:id="26"/>
      <w:bookmarkEnd w:id="27"/>
    </w:p>
    <w:p w14:paraId="192B716F" w14:textId="77777777" w:rsidR="00957F89" w:rsidRPr="00C73849" w:rsidRDefault="00D92D87">
      <w:pPr>
        <w:pStyle w:val="BodyText"/>
        <w:spacing w:before="237" w:line="276" w:lineRule="exact"/>
        <w:ind w:right="899"/>
      </w:pPr>
      <w:r w:rsidRPr="00C73849">
        <w:t>Pyruvate Injection is a sterile solution for intravenous injection. In addition to the active</w:t>
      </w:r>
      <w:r w:rsidRPr="00C73849">
        <w:rPr>
          <w:w w:val="99"/>
        </w:rPr>
        <w:t xml:space="preserve"> </w:t>
      </w:r>
      <w:r w:rsidRPr="00C73849">
        <w:t>pharmaceutical ingredient, pyruvate, the solution for injection will contain AH111501 (Electron Paramagnetic Agent; EPA), TRIS and Na</w:t>
      </w:r>
      <w:r w:rsidRPr="00C73849">
        <w:rPr>
          <w:position w:val="-2"/>
          <w:sz w:val="16"/>
        </w:rPr>
        <w:t>2</w:t>
      </w:r>
      <w:r w:rsidRPr="00C73849">
        <w:t>EDTA and have a pH within the</w:t>
      </w:r>
      <w:r w:rsidRPr="00C73849">
        <w:rPr>
          <w:w w:val="99"/>
        </w:rPr>
        <w:t xml:space="preserve"> </w:t>
      </w:r>
      <w:r w:rsidRPr="00C73849">
        <w:t>physiological range.</w:t>
      </w:r>
    </w:p>
    <w:p w14:paraId="32AB7190" w14:textId="77777777" w:rsidR="00957F89" w:rsidRPr="00C73849" w:rsidRDefault="00957F89">
      <w:pPr>
        <w:spacing w:before="7"/>
        <w:rPr>
          <w:rFonts w:ascii="Times New Roman" w:eastAsia="Times New Roman" w:hAnsi="Times New Roman" w:cs="Times New Roman"/>
          <w:sz w:val="21"/>
          <w:szCs w:val="21"/>
        </w:rPr>
      </w:pPr>
    </w:p>
    <w:p w14:paraId="76306AAA" w14:textId="4CE73486" w:rsidR="00F24BF9" w:rsidRDefault="00D92D87" w:rsidP="00C73849">
      <w:pPr>
        <w:pStyle w:val="BodyText"/>
        <w:spacing w:line="229" w:lineRule="auto"/>
        <w:ind w:right="248"/>
      </w:pPr>
      <w:r w:rsidRPr="00C73849">
        <w:t xml:space="preserve">In </w:t>
      </w:r>
      <w:r w:rsidRPr="00C73849">
        <w:rPr>
          <w:position w:val="11"/>
          <w:sz w:val="16"/>
          <w:szCs w:val="16"/>
        </w:rPr>
        <w:t>13</w:t>
      </w:r>
      <w:r w:rsidRPr="00C73849">
        <w:t xml:space="preserve">C MR imaging </w:t>
      </w:r>
      <w:r w:rsidR="00A52177" w:rsidRPr="00C73849">
        <w:t xml:space="preserve">studies </w:t>
      </w:r>
      <w:r w:rsidRPr="00C73849">
        <w:t>that follow the previous (GE-101-001 and GE-101-003) safety and tolerability studies in</w:t>
      </w:r>
      <w:r w:rsidRPr="00C73849">
        <w:rPr>
          <w:w w:val="99"/>
        </w:rPr>
        <w:t xml:space="preserve"> </w:t>
      </w:r>
      <w:r w:rsidRPr="00C73849">
        <w:t xml:space="preserve">young and elderly volunteers, the investigational medicinal product </w:t>
      </w:r>
      <w:r w:rsidR="00F24BF9">
        <w:t>is</w:t>
      </w:r>
      <w:r w:rsidR="00F24BF9" w:rsidRPr="00C73849">
        <w:t xml:space="preserve"> </w:t>
      </w:r>
      <w:r w:rsidR="004A7A84" w:rsidRPr="00C73849">
        <w:t>Hyperpolarized</w:t>
      </w:r>
      <w:r w:rsidRPr="00C73849">
        <w:rPr>
          <w:w w:val="99"/>
        </w:rPr>
        <w:t xml:space="preserve"> </w:t>
      </w:r>
      <w:r w:rsidRPr="00C73849">
        <w:t>Pyruvate (</w:t>
      </w:r>
      <w:r w:rsidRPr="00C73849">
        <w:rPr>
          <w:position w:val="11"/>
          <w:sz w:val="16"/>
          <w:szCs w:val="16"/>
        </w:rPr>
        <w:t>13</w:t>
      </w:r>
      <w:r w:rsidRPr="00C73849">
        <w:t xml:space="preserve">C) Injection, containing spin-polarized (“hyperpolarized”) </w:t>
      </w:r>
      <w:r w:rsidRPr="00C73849">
        <w:rPr>
          <w:rFonts w:ascii="Symbol" w:eastAsia="Symbol" w:hAnsi="Symbol" w:cs="Symbol"/>
        </w:rPr>
        <w:t></w:t>
      </w:r>
      <w:r w:rsidRPr="00C73849">
        <w:t>1-</w:t>
      </w:r>
      <w:r w:rsidRPr="00C73849">
        <w:rPr>
          <w:position w:val="11"/>
          <w:sz w:val="16"/>
          <w:szCs w:val="16"/>
        </w:rPr>
        <w:t>13</w:t>
      </w:r>
      <w:proofErr w:type="spellStart"/>
      <w:r w:rsidRPr="00C73849">
        <w:t>C</w:t>
      </w:r>
      <w:r w:rsidRPr="00C73849">
        <w:rPr>
          <w:rFonts w:ascii="Symbol" w:eastAsia="Symbol" w:hAnsi="Symbol" w:cs="Symbol"/>
        </w:rPr>
        <w:t></w:t>
      </w:r>
      <w:r w:rsidRPr="00C73849">
        <w:t>pyruvate</w:t>
      </w:r>
      <w:proofErr w:type="spellEnd"/>
      <w:r w:rsidRPr="00C73849">
        <w:t xml:space="preserve">. </w:t>
      </w:r>
      <w:r w:rsidRPr="00C73849">
        <w:rPr>
          <w:position w:val="11"/>
          <w:sz w:val="16"/>
          <w:szCs w:val="16"/>
        </w:rPr>
        <w:t>13</w:t>
      </w:r>
      <w:r w:rsidRPr="00C73849">
        <w:t xml:space="preserve">C is a stable, non-radioactive isotope of carbon. </w:t>
      </w:r>
      <w:r w:rsidRPr="00C73849">
        <w:rPr>
          <w:rFonts w:ascii="Symbol" w:eastAsia="Symbol" w:hAnsi="Symbol" w:cs="Symbol"/>
        </w:rPr>
        <w:t></w:t>
      </w:r>
      <w:r w:rsidRPr="00C73849">
        <w:rPr>
          <w:position w:val="11"/>
          <w:sz w:val="16"/>
          <w:szCs w:val="16"/>
        </w:rPr>
        <w:t>13</w:t>
      </w:r>
      <w:proofErr w:type="spellStart"/>
      <w:r w:rsidRPr="00C73849">
        <w:t>C</w:t>
      </w:r>
      <w:r w:rsidRPr="00C73849">
        <w:rPr>
          <w:rFonts w:ascii="Symbol" w:eastAsia="Symbol" w:hAnsi="Symbol" w:cs="Symbol"/>
        </w:rPr>
        <w:t></w:t>
      </w:r>
      <w:r w:rsidRPr="00C73849">
        <w:t>pyruvate</w:t>
      </w:r>
      <w:proofErr w:type="spellEnd"/>
      <w:r w:rsidR="00B43F9A">
        <w:t xml:space="preserve"> </w:t>
      </w:r>
      <w:r w:rsidRPr="00C73849">
        <w:t xml:space="preserve">has </w:t>
      </w:r>
      <w:r w:rsidR="009D64B2" w:rsidRPr="00C73849">
        <w:t>the same</w:t>
      </w:r>
      <w:r w:rsidRPr="00C73849">
        <w:t xml:space="preserve"> chemical</w:t>
      </w:r>
      <w:r w:rsidRPr="00C73849">
        <w:rPr>
          <w:w w:val="99"/>
        </w:rPr>
        <w:t xml:space="preserve"> </w:t>
      </w:r>
      <w:r w:rsidRPr="00C73849">
        <w:t xml:space="preserve">characteristics as pyruvate. The only difference is that one </w:t>
      </w:r>
      <w:r w:rsidR="00840F18">
        <w:t xml:space="preserve">or two </w:t>
      </w:r>
      <w:r w:rsidRPr="00C73849">
        <w:t>of the carbon nuclei ha</w:t>
      </w:r>
      <w:r w:rsidR="00840F18">
        <w:t>ve</w:t>
      </w:r>
      <w:r w:rsidRPr="00C73849">
        <w:t xml:space="preserve"> been</w:t>
      </w:r>
      <w:r w:rsidRPr="00C73849">
        <w:rPr>
          <w:w w:val="99"/>
        </w:rPr>
        <w:t xml:space="preserve"> </w:t>
      </w:r>
      <w:r w:rsidRPr="00C73849">
        <w:t xml:space="preserve">replaced by a </w:t>
      </w:r>
      <w:r w:rsidRPr="00C73849">
        <w:rPr>
          <w:position w:val="11"/>
          <w:sz w:val="16"/>
          <w:szCs w:val="16"/>
        </w:rPr>
        <w:t>13</w:t>
      </w:r>
      <w:r w:rsidRPr="00C73849">
        <w:t xml:space="preserve">C-nucleus, which has a magnetic moment and can be </w:t>
      </w:r>
      <w:r w:rsidR="004A7A84" w:rsidRPr="00C73849">
        <w:t>hyperpolarized</w:t>
      </w:r>
      <w:r w:rsidRPr="00C73849">
        <w:t>.</w:t>
      </w:r>
      <w:r w:rsidR="00A52177" w:rsidRPr="00C73849">
        <w:t xml:space="preserve"> </w:t>
      </w:r>
      <w:r w:rsidRPr="00C73849">
        <w:t xml:space="preserve">AH111501 (EPA), which is a stable trityl radical, </w:t>
      </w:r>
      <w:r w:rsidR="00BE2ABD">
        <w:t>is an excipient</w:t>
      </w:r>
      <w:r w:rsidR="00A7645F">
        <w:t>, and</w:t>
      </w:r>
      <w:r w:rsidR="00BE2ABD">
        <w:t xml:space="preserve"> </w:t>
      </w:r>
      <w:r w:rsidRPr="00C73849">
        <w:t xml:space="preserve">enables the </w:t>
      </w:r>
      <w:r w:rsidR="007E444D" w:rsidRPr="00C73849">
        <w:t>hyperpolarization</w:t>
      </w:r>
      <w:r w:rsidRPr="00C73849">
        <w:t xml:space="preserve"> by Dynamic</w:t>
      </w:r>
      <w:r w:rsidRPr="00C73849">
        <w:rPr>
          <w:w w:val="99"/>
        </w:rPr>
        <w:t xml:space="preserve"> </w:t>
      </w:r>
      <w:r w:rsidRPr="00C73849">
        <w:t xml:space="preserve">Nuclear Polarization, a novel polarization technology. </w:t>
      </w:r>
    </w:p>
    <w:p w14:paraId="3A78F54B" w14:textId="77777777" w:rsidR="009C648A" w:rsidRDefault="009C648A" w:rsidP="00C73849">
      <w:pPr>
        <w:pStyle w:val="BodyText"/>
        <w:spacing w:line="229" w:lineRule="auto"/>
        <w:ind w:right="248"/>
      </w:pPr>
    </w:p>
    <w:p w14:paraId="4D6709B3" w14:textId="4C7D02FA" w:rsidR="00957F89" w:rsidRPr="00C73849" w:rsidRDefault="00D92D87">
      <w:pPr>
        <w:pStyle w:val="BodyText"/>
        <w:spacing w:before="1"/>
        <w:ind w:right="151"/>
      </w:pPr>
      <w:r w:rsidRPr="00C73849">
        <w:t>As</w:t>
      </w:r>
      <w:r w:rsidR="008C7FB3">
        <w:t xml:space="preserve"> all </w:t>
      </w:r>
      <w:r w:rsidR="00EA2B8E">
        <w:t>isotopic labeling positions</w:t>
      </w:r>
      <w:r w:rsidR="008C7FB3">
        <w:t xml:space="preserve"> of</w:t>
      </w:r>
      <w:r w:rsidRPr="00C73849">
        <w:t xml:space="preserve"> </w:t>
      </w:r>
      <w:r w:rsidRPr="00C73849">
        <w:rPr>
          <w:rFonts w:ascii="Symbol" w:eastAsia="Symbol" w:hAnsi="Symbol" w:cs="Symbol"/>
        </w:rPr>
        <w:t></w:t>
      </w:r>
      <w:r w:rsidRPr="00C73849">
        <w:rPr>
          <w:position w:val="11"/>
          <w:sz w:val="16"/>
          <w:szCs w:val="16"/>
        </w:rPr>
        <w:t>13</w:t>
      </w:r>
      <w:proofErr w:type="spellStart"/>
      <w:r w:rsidRPr="00C73849">
        <w:t>C</w:t>
      </w:r>
      <w:r w:rsidRPr="00C73849">
        <w:rPr>
          <w:rFonts w:ascii="Symbol" w:eastAsia="Symbol" w:hAnsi="Symbol" w:cs="Symbol"/>
        </w:rPr>
        <w:t></w:t>
      </w:r>
      <w:r w:rsidRPr="00C73849">
        <w:t>pyruvate</w:t>
      </w:r>
      <w:proofErr w:type="spellEnd"/>
      <w:r w:rsidR="00D4757C">
        <w:t xml:space="preserve"> </w:t>
      </w:r>
      <w:r w:rsidRPr="00C73849">
        <w:t>ha</w:t>
      </w:r>
      <w:r w:rsidR="00840F18">
        <w:t>ve</w:t>
      </w:r>
      <w:r w:rsidRPr="00C73849">
        <w:t xml:space="preserve"> the same</w:t>
      </w:r>
      <w:r w:rsidRPr="00C73849">
        <w:rPr>
          <w:w w:val="99"/>
        </w:rPr>
        <w:t xml:space="preserve"> </w:t>
      </w:r>
      <w:r w:rsidRPr="00C73849">
        <w:t xml:space="preserve">chemical characteristics as pyruvate, </w:t>
      </w:r>
      <w:r w:rsidR="00840F18">
        <w:t>they</w:t>
      </w:r>
      <w:r w:rsidRPr="00C73849">
        <w:t xml:space="preserve"> will be metabolized in </w:t>
      </w:r>
      <w:r w:rsidR="009D64B2" w:rsidRPr="00C73849">
        <w:t>the same</w:t>
      </w:r>
      <w:r w:rsidRPr="00C73849">
        <w:t xml:space="preserve"> way and have</w:t>
      </w:r>
      <w:r w:rsidRPr="00C73849">
        <w:rPr>
          <w:w w:val="99"/>
        </w:rPr>
        <w:t xml:space="preserve"> </w:t>
      </w:r>
      <w:r w:rsidRPr="00C73849">
        <w:t xml:space="preserve">the same safety profile. Formulations of Pyruvate Injection made </w:t>
      </w:r>
      <w:r w:rsidR="00EA2B8E">
        <w:t>with</w:t>
      </w:r>
      <w:r w:rsidR="00EA2B8E" w:rsidRPr="00C73849">
        <w:t xml:space="preserve"> </w:t>
      </w:r>
      <w:r w:rsidR="00EA2B8E">
        <w:t xml:space="preserve">different </w:t>
      </w:r>
      <w:r w:rsidR="00EA2B8E" w:rsidRPr="00C73849">
        <w:rPr>
          <w:rFonts w:ascii="Symbol" w:eastAsia="Symbol" w:hAnsi="Symbol" w:cs="Symbol"/>
        </w:rPr>
        <w:t></w:t>
      </w:r>
      <w:r w:rsidR="00EA2B8E" w:rsidRPr="00C73849">
        <w:rPr>
          <w:position w:val="11"/>
          <w:sz w:val="16"/>
          <w:szCs w:val="16"/>
        </w:rPr>
        <w:t>13</w:t>
      </w:r>
      <w:r w:rsidR="00EA2B8E" w:rsidRPr="00C73849">
        <w:t>C</w:t>
      </w:r>
      <w:r w:rsidR="00EA2B8E" w:rsidRPr="00C73849">
        <w:rPr>
          <w:rFonts w:ascii="Symbol" w:eastAsia="Symbol" w:hAnsi="Symbol" w:cs="Symbol"/>
        </w:rPr>
        <w:t></w:t>
      </w:r>
      <w:r w:rsidR="00EA2B8E">
        <w:t xml:space="preserve"> isotopic labeling positions </w:t>
      </w:r>
      <w:r w:rsidRPr="00C73849">
        <w:t>and</w:t>
      </w:r>
      <w:r w:rsidRPr="00C73849">
        <w:rPr>
          <w:w w:val="99"/>
        </w:rPr>
        <w:t xml:space="preserve"> </w:t>
      </w:r>
      <w:r w:rsidR="00EA2B8E">
        <w:rPr>
          <w:w w:val="99"/>
        </w:rPr>
        <w:t xml:space="preserve">unlabeled </w:t>
      </w:r>
      <w:r w:rsidRPr="00C73849">
        <w:t>pyruvate are expected to have the same safety profiles as the impurity profiles of the formulations are similar. The safety profiles of various formulations of pyruvate administered at high doses by slow infusion are documented in published literature (see Section 6, Effects in</w:t>
      </w:r>
      <w:r w:rsidRPr="00C73849">
        <w:rPr>
          <w:w w:val="99"/>
        </w:rPr>
        <w:t xml:space="preserve"> </w:t>
      </w:r>
      <w:r w:rsidRPr="00C73849">
        <w:t>Humans). In the 2 completed phase 1 studies (GE-101-001 and GE-101-003) and the planned</w:t>
      </w:r>
      <w:r w:rsidRPr="00C73849">
        <w:rPr>
          <w:w w:val="99"/>
        </w:rPr>
        <w:t xml:space="preserve"> </w:t>
      </w:r>
      <w:r w:rsidRPr="00C73849">
        <w:t>safety and imaging study, the maximum dose of pyruvate is much lower. However, owing to</w:t>
      </w:r>
      <w:r w:rsidRPr="00C73849">
        <w:rPr>
          <w:w w:val="99"/>
        </w:rPr>
        <w:t xml:space="preserve"> </w:t>
      </w:r>
      <w:r w:rsidRPr="00C73849">
        <w:t xml:space="preserve">the short relaxation time of the </w:t>
      </w:r>
      <w:r w:rsidR="004A7A84" w:rsidRPr="00C73849">
        <w:t>hyperpolarized</w:t>
      </w:r>
      <w:r w:rsidRPr="00C73849">
        <w:t xml:space="preserve"> state, the time window in which </w:t>
      </w:r>
      <w:r w:rsidRPr="00C73849">
        <w:rPr>
          <w:rFonts w:ascii="Symbol" w:eastAsia="Symbol" w:hAnsi="Symbol" w:cs="Symbol"/>
        </w:rPr>
        <w:t></w:t>
      </w:r>
      <w:r w:rsidRPr="00C73849">
        <w:rPr>
          <w:position w:val="11"/>
          <w:sz w:val="16"/>
          <w:szCs w:val="16"/>
        </w:rPr>
        <w:t>13</w:t>
      </w:r>
      <w:proofErr w:type="spellStart"/>
      <w:r w:rsidRPr="00C73849">
        <w:t>C</w:t>
      </w:r>
      <w:r w:rsidRPr="00C73849">
        <w:rPr>
          <w:rFonts w:ascii="Symbol" w:eastAsia="Symbol" w:hAnsi="Symbol" w:cs="Symbol"/>
        </w:rPr>
        <w:t></w:t>
      </w:r>
      <w:r w:rsidRPr="00C73849">
        <w:t>pyruvate</w:t>
      </w:r>
      <w:proofErr w:type="spellEnd"/>
      <w:r w:rsidR="008C7FB3">
        <w:t xml:space="preserve"> </w:t>
      </w:r>
      <w:r w:rsidRPr="00C73849">
        <w:t xml:space="preserve">can be imaged by </w:t>
      </w:r>
      <w:r w:rsidRPr="00C73849">
        <w:rPr>
          <w:position w:val="11"/>
          <w:sz w:val="16"/>
          <w:szCs w:val="16"/>
        </w:rPr>
        <w:t>13</w:t>
      </w:r>
      <w:r w:rsidRPr="00C73849">
        <w:t>C MR imaging will be short (approximately 1.5 minutes post-injection).</w:t>
      </w:r>
      <w:r w:rsidR="00F24BF9">
        <w:t xml:space="preserve"> </w:t>
      </w:r>
      <w:r w:rsidRPr="00C73849">
        <w:t>Therefore, Pyruvate Injection is administered as a bolus injection at a rate of 5 ml/s; as such, pyruvate is administered at a much higher rate than in the published ‘infusion’ studies. This</w:t>
      </w:r>
      <w:r w:rsidRPr="00C73849">
        <w:rPr>
          <w:w w:val="99"/>
        </w:rPr>
        <w:t xml:space="preserve"> </w:t>
      </w:r>
      <w:r w:rsidRPr="00C73849">
        <w:t>mode of administration was well tolerated in studies GE-101-001 and GE-101-003 (see Section</w:t>
      </w:r>
      <w:r w:rsidRPr="00C73849">
        <w:rPr>
          <w:w w:val="99"/>
        </w:rPr>
        <w:t xml:space="preserve"> </w:t>
      </w:r>
      <w:r w:rsidRPr="00C73849">
        <w:t>6, Effects in Humans).</w:t>
      </w:r>
    </w:p>
    <w:p w14:paraId="04EBEE80" w14:textId="77777777" w:rsidR="00957F89" w:rsidRPr="00C73849" w:rsidRDefault="00957F89">
      <w:pPr>
        <w:spacing w:before="4"/>
        <w:rPr>
          <w:rFonts w:ascii="Times New Roman" w:eastAsia="Times New Roman" w:hAnsi="Times New Roman" w:cs="Times New Roman"/>
          <w:sz w:val="21"/>
          <w:szCs w:val="21"/>
        </w:rPr>
      </w:pPr>
    </w:p>
    <w:p w14:paraId="6A294923" w14:textId="77777777" w:rsidR="00957F89" w:rsidRPr="00C73849" w:rsidRDefault="008C15C2" w:rsidP="00D52AAE">
      <w:pPr>
        <w:pStyle w:val="Heading2"/>
        <w:spacing w:after="240"/>
        <w:rPr>
          <w:rFonts w:eastAsia="Times New Roman" w:hAnsi="Times New Roman" w:cs="Times New Roman"/>
          <w:szCs w:val="28"/>
        </w:rPr>
      </w:pPr>
      <w:bookmarkStart w:id="28" w:name="_Toc34899953"/>
      <w:bookmarkStart w:id="29" w:name="_Toc33702482"/>
      <w:bookmarkStart w:id="30" w:name="_Toc176276916"/>
      <w:r>
        <w:t>3.2</w:t>
      </w:r>
      <w:r>
        <w:tab/>
      </w:r>
      <w:r w:rsidR="00D92D87" w:rsidRPr="00C73849">
        <w:t>Research Rationale</w:t>
      </w:r>
      <w:bookmarkEnd w:id="28"/>
      <w:bookmarkEnd w:id="29"/>
      <w:bookmarkEnd w:id="30"/>
    </w:p>
    <w:p w14:paraId="4CE7BD19" w14:textId="17B1C8FD" w:rsidR="00160E13" w:rsidRDefault="00160E13" w:rsidP="00160E13">
      <w:pPr>
        <w:autoSpaceDE w:val="0"/>
        <w:autoSpaceDN w:val="0"/>
        <w:adjustRightInd w:val="0"/>
        <w:rPr>
          <w:rFonts w:cs="AdvTT01bedc72"/>
        </w:rPr>
      </w:pPr>
      <w:r w:rsidRPr="00453173">
        <w:rPr>
          <w:rFonts w:cs="AdvTT01bedc72"/>
        </w:rPr>
        <w:t>Pyruvate</w:t>
      </w:r>
      <w:r w:rsidR="00D56947">
        <w:rPr>
          <w:rFonts w:cs="AdvTT01bedc72"/>
        </w:rPr>
        <w:t xml:space="preserve"> is</w:t>
      </w:r>
      <w:r>
        <w:rPr>
          <w:rFonts w:cs="AdvTT01bedc72"/>
        </w:rPr>
        <w:t xml:space="preserve"> an important </w:t>
      </w:r>
      <w:r w:rsidRPr="00453173">
        <w:rPr>
          <w:rFonts w:cs="AdvTT01bedc72"/>
        </w:rPr>
        <w:t>product of glycolysis</w:t>
      </w:r>
      <w:r w:rsidR="009C648A">
        <w:rPr>
          <w:rFonts w:cs="AdvTT01bedc72"/>
        </w:rPr>
        <w:t xml:space="preserve"> and</w:t>
      </w:r>
      <w:r>
        <w:rPr>
          <w:rFonts w:cs="AdvTT01bedc72"/>
        </w:rPr>
        <w:t xml:space="preserve"> can be converted to various metabolites via three essential </w:t>
      </w:r>
      <w:r w:rsidRPr="00A32B1E">
        <w:rPr>
          <w:rFonts w:cs="AdvGulliv-R"/>
          <w:color w:val="000000"/>
        </w:rPr>
        <w:t>biochemical</w:t>
      </w:r>
      <w:r>
        <w:rPr>
          <w:rFonts w:cs="AdvTT01bedc72"/>
        </w:rPr>
        <w:t xml:space="preserve"> pathways associated with </w:t>
      </w:r>
      <w:r w:rsidRPr="00A32B1E">
        <w:rPr>
          <w:rFonts w:cs="AdvGulliv-R"/>
          <w:color w:val="000000"/>
        </w:rPr>
        <w:t>pyruvate dehydrogenase (PDH)</w:t>
      </w:r>
      <w:r>
        <w:rPr>
          <w:rFonts w:cs="AdvGulliv-R"/>
          <w:color w:val="000000"/>
        </w:rPr>
        <w:t xml:space="preserve">, </w:t>
      </w:r>
      <w:r w:rsidRPr="00A32B1E">
        <w:rPr>
          <w:rFonts w:cs="AdvGulliv-R"/>
          <w:color w:val="000000"/>
        </w:rPr>
        <w:t>lactate dehydrogenase (LDH)</w:t>
      </w:r>
      <w:r>
        <w:rPr>
          <w:rFonts w:cs="AdvGulliv-R"/>
          <w:color w:val="000000"/>
        </w:rPr>
        <w:t xml:space="preserve"> and alanine transaminase (ALT)</w:t>
      </w:r>
      <w:r>
        <w:rPr>
          <w:rFonts w:cs="AdvTT01bedc72"/>
        </w:rPr>
        <w:t xml:space="preserve">. </w:t>
      </w:r>
      <w:r w:rsidR="0078540C">
        <w:rPr>
          <w:rFonts w:cs="AdvTT01bedc72"/>
        </w:rPr>
        <w:fldChar w:fldCharType="begin"/>
      </w:r>
      <w:r w:rsidR="0078540C">
        <w:rPr>
          <w:rFonts w:cs="AdvTT01bedc72"/>
        </w:rPr>
        <w:instrText xml:space="preserve"> REF _Ref502139667 \h  \* MERGEFORMAT </w:instrText>
      </w:r>
      <w:r w:rsidR="0078540C">
        <w:rPr>
          <w:rFonts w:cs="AdvTT01bedc72"/>
        </w:rPr>
      </w:r>
      <w:r w:rsidR="0078540C">
        <w:rPr>
          <w:rFonts w:cs="AdvTT01bedc72"/>
        </w:rPr>
        <w:fldChar w:fldCharType="separate"/>
      </w:r>
      <w:r w:rsidR="00B263AB" w:rsidRPr="0078540C">
        <w:t>Figure</w:t>
      </w:r>
      <w:r w:rsidR="00B263AB">
        <w:t xml:space="preserve"> 1</w:t>
      </w:r>
      <w:r w:rsidR="0078540C">
        <w:rPr>
          <w:rFonts w:cs="AdvTT01bedc72"/>
        </w:rPr>
        <w:fldChar w:fldCharType="end"/>
      </w:r>
      <w:r w:rsidR="0078540C">
        <w:rPr>
          <w:rFonts w:cs="AdvTT01bedc72"/>
        </w:rPr>
        <w:t xml:space="preserve"> </w:t>
      </w:r>
      <w:r>
        <w:rPr>
          <w:rFonts w:cs="AdvGulliv-R"/>
          <w:color w:val="000000"/>
        </w:rPr>
        <w:t xml:space="preserve">shows a </w:t>
      </w:r>
      <w:r w:rsidRPr="00A32B1E">
        <w:rPr>
          <w:rFonts w:cs="AdvGulliv-R"/>
          <w:color w:val="000000"/>
        </w:rPr>
        <w:t>simplified diagram of the</w:t>
      </w:r>
      <w:r>
        <w:rPr>
          <w:rFonts w:cs="AdvGulliv-R"/>
          <w:color w:val="000000"/>
        </w:rPr>
        <w:t xml:space="preserve"> </w:t>
      </w:r>
      <w:r w:rsidRPr="00A32B1E">
        <w:rPr>
          <w:rFonts w:cs="AdvGulliv-R"/>
          <w:color w:val="000000"/>
        </w:rPr>
        <w:t xml:space="preserve">biochemical pathways that follows the </w:t>
      </w:r>
      <w:r>
        <w:rPr>
          <w:rFonts w:cs="AdvGulliv-R"/>
          <w:color w:val="000000"/>
        </w:rPr>
        <w:t>metabolisms of [1-13</w:t>
      </w:r>
      <w:proofErr w:type="gramStart"/>
      <w:r>
        <w:rPr>
          <w:rFonts w:cs="AdvGulliv-R"/>
          <w:color w:val="000000"/>
        </w:rPr>
        <w:t>C]</w:t>
      </w:r>
      <w:r w:rsidRPr="00A32B1E">
        <w:rPr>
          <w:rFonts w:cs="AdvGulliv-R"/>
          <w:color w:val="000000"/>
        </w:rPr>
        <w:t>pyruvate</w:t>
      </w:r>
      <w:proofErr w:type="gramEnd"/>
      <w:r>
        <w:rPr>
          <w:rFonts w:cs="AdvTT01bedc72"/>
        </w:rPr>
        <w:t>.</w:t>
      </w:r>
      <w:r w:rsidR="000A6FAF">
        <w:rPr>
          <w:rFonts w:cs="AdvTT01bedc72"/>
        </w:rPr>
        <w:t xml:space="preserve"> </w:t>
      </w:r>
      <w:r>
        <w:rPr>
          <w:rFonts w:cs="AdvTT01bedc72"/>
        </w:rPr>
        <w:t xml:space="preserve"> Explicitly, [1-13C]pyruvate</w:t>
      </w:r>
      <w:r w:rsidRPr="00453173">
        <w:rPr>
          <w:rFonts w:cs="AdvTT01bedc72"/>
        </w:rPr>
        <w:t xml:space="preserve"> </w:t>
      </w:r>
      <w:r w:rsidR="00652AFD">
        <w:rPr>
          <w:rFonts w:cs="AdvTT01bedc72"/>
        </w:rPr>
        <w:t xml:space="preserve">will </w:t>
      </w:r>
      <w:r w:rsidRPr="00453173">
        <w:rPr>
          <w:rFonts w:cs="AdvTT01bedc72"/>
        </w:rPr>
        <w:t>be reduced by the NADH produced in the</w:t>
      </w:r>
      <w:r>
        <w:rPr>
          <w:rFonts w:cs="AdvTT01bedc72"/>
        </w:rPr>
        <w:t xml:space="preserve"> </w:t>
      </w:r>
      <w:r w:rsidRPr="00453173">
        <w:rPr>
          <w:rFonts w:cs="AdvTT01bedc72"/>
        </w:rPr>
        <w:t xml:space="preserve">pathway to generate </w:t>
      </w:r>
      <w:r>
        <w:rPr>
          <w:rFonts w:cs="AdvTT01bedc72"/>
        </w:rPr>
        <w:t>[1-13C]</w:t>
      </w:r>
      <w:r w:rsidRPr="00453173">
        <w:rPr>
          <w:rFonts w:cs="AdvTT01bedc72"/>
        </w:rPr>
        <w:t xml:space="preserve">lactate, in the reaction catalyzed by </w:t>
      </w:r>
      <w:r>
        <w:rPr>
          <w:rFonts w:cs="AdvTT01bedc72"/>
        </w:rPr>
        <w:t xml:space="preserve">the enzyme </w:t>
      </w:r>
      <w:r w:rsidRPr="00453173">
        <w:rPr>
          <w:rFonts w:cs="AdvTT01bedc72"/>
        </w:rPr>
        <w:t>LDH</w:t>
      </w:r>
      <w:r>
        <w:rPr>
          <w:rFonts w:cs="AdvTT01bedc72"/>
        </w:rPr>
        <w:t xml:space="preserve"> </w:t>
      </w:r>
      <w:r w:rsidRPr="00453173">
        <w:rPr>
          <w:rFonts w:cs="AdvTT01bedc72"/>
        </w:rPr>
        <w:t xml:space="preserve">undergoes transamination with glutamate to form </w:t>
      </w:r>
      <w:r>
        <w:rPr>
          <w:rFonts w:cs="AdvTT01bedc72"/>
        </w:rPr>
        <w:t>[1-13C]</w:t>
      </w:r>
      <w:r w:rsidRPr="00453173">
        <w:rPr>
          <w:rFonts w:cs="AdvTT01bedc72"/>
        </w:rPr>
        <w:t>alanine, in the reaction catalyze</w:t>
      </w:r>
      <w:r>
        <w:rPr>
          <w:rFonts w:cs="AdvTT01bedc72"/>
        </w:rPr>
        <w:t xml:space="preserve">d by the enzyme ALT </w:t>
      </w:r>
      <w:r w:rsidR="003232DF">
        <w:rPr>
          <w:rFonts w:cs="AdvTT01bedc72"/>
        </w:rPr>
        <w:t xml:space="preserve">and </w:t>
      </w:r>
      <w:r w:rsidR="003232DF" w:rsidRPr="00453173">
        <w:rPr>
          <w:rFonts w:cs="AdvTT01bedc72"/>
        </w:rPr>
        <w:t>involves</w:t>
      </w:r>
      <w:r w:rsidRPr="00453173">
        <w:rPr>
          <w:rFonts w:cs="AdvTT01bedc72"/>
        </w:rPr>
        <w:t xml:space="preserve"> the irreversible decarboxylation of [1-13C]pyruvate to hyperpolarized </w:t>
      </w:r>
      <w:r>
        <w:rPr>
          <w:rFonts w:cs="AdvTT01bedc72"/>
        </w:rPr>
        <w:t>[</w:t>
      </w:r>
      <w:r w:rsidRPr="00453173">
        <w:rPr>
          <w:rFonts w:cs="AdvTT01bedc72"/>
        </w:rPr>
        <w:t>13C</w:t>
      </w:r>
      <w:r>
        <w:rPr>
          <w:rFonts w:cs="AdvTT01bedc72"/>
        </w:rPr>
        <w:t>]CO</w:t>
      </w:r>
      <w:r w:rsidRPr="00540267">
        <w:rPr>
          <w:rFonts w:cs="AdvTT01bedc72"/>
          <w:vertAlign w:val="subscript"/>
        </w:rPr>
        <w:t>2</w:t>
      </w:r>
      <w:r w:rsidRPr="00453173">
        <w:rPr>
          <w:rFonts w:cs="AdvTT01bedc72"/>
        </w:rPr>
        <w:t xml:space="preserve"> in the reaction catalyzed by the mitochondrial enzyme</w:t>
      </w:r>
      <w:r>
        <w:rPr>
          <w:rFonts w:cs="AdvTT01bedc72"/>
        </w:rPr>
        <w:t xml:space="preserve"> PDH</w:t>
      </w:r>
      <w:r w:rsidRPr="00453173">
        <w:rPr>
          <w:rFonts w:cs="AdvTT01bedc72"/>
        </w:rPr>
        <w:t xml:space="preserve">. The </w:t>
      </w:r>
      <w:r>
        <w:rPr>
          <w:rFonts w:cs="AdvTT01bedc72"/>
        </w:rPr>
        <w:t>[13</w:t>
      </w:r>
      <w:proofErr w:type="gramStart"/>
      <w:r>
        <w:rPr>
          <w:rFonts w:cs="AdvTT01bedc72"/>
        </w:rPr>
        <w:t>C]</w:t>
      </w:r>
      <w:r w:rsidRPr="00453173">
        <w:rPr>
          <w:rFonts w:cs="AdvTT01bedc72"/>
        </w:rPr>
        <w:t>carbon</w:t>
      </w:r>
      <w:proofErr w:type="gramEnd"/>
      <w:r w:rsidRPr="00453173">
        <w:rPr>
          <w:rFonts w:cs="AdvTT01bedc72"/>
        </w:rPr>
        <w:t xml:space="preserve"> dioxide released is subsequently interconverted with </w:t>
      </w:r>
      <w:r>
        <w:rPr>
          <w:rFonts w:cs="AdvTT01bedc72"/>
        </w:rPr>
        <w:t>[13C]</w:t>
      </w:r>
      <w:r w:rsidRPr="00453173">
        <w:rPr>
          <w:rFonts w:cs="AdvTT01bedc72"/>
        </w:rPr>
        <w:t>bicarbonate in the reaction catalyzed by carbonic anhydrase.</w:t>
      </w:r>
      <w:r>
        <w:rPr>
          <w:rFonts w:cs="AdvTT01bedc72"/>
        </w:rPr>
        <w:t xml:space="preserve"> </w:t>
      </w:r>
      <w:r w:rsidR="00A7645F">
        <w:rPr>
          <w:rFonts w:cs="AdvTT01bedc72"/>
        </w:rPr>
        <w:t>T</w:t>
      </w:r>
      <w:r>
        <w:rPr>
          <w:rFonts w:cs="AdvTT01bedc72"/>
        </w:rPr>
        <w:t>hese metabolites can be readily detected by 13C MRS and 13C MRI</w:t>
      </w:r>
      <w:r w:rsidR="00A7645F">
        <w:rPr>
          <w:rFonts w:cs="AdvTT01bedc72"/>
        </w:rPr>
        <w:t>.</w:t>
      </w:r>
      <w:r>
        <w:rPr>
          <w:rFonts w:cs="AdvTT01bedc72"/>
        </w:rPr>
        <w:t xml:space="preserve"> </w:t>
      </w:r>
      <w:r w:rsidR="00435251">
        <w:rPr>
          <w:rFonts w:cs="AdvTT01bedc72"/>
        </w:rPr>
        <w:t>T</w:t>
      </w:r>
      <w:r>
        <w:rPr>
          <w:rFonts w:cs="AdvTT01bedc72"/>
        </w:rPr>
        <w:t xml:space="preserve">hus, hyperpolarized [1-13]C pyruvate has the potential to assess the flux through these metabolic pathways, which normally reflect the metabolic status of diseased tissues and their therapeutic responses to treatment.  </w:t>
      </w:r>
      <w:r w:rsidR="001C7A63">
        <w:rPr>
          <w:rFonts w:cs="AdvTT01bedc72"/>
        </w:rPr>
        <w:t xml:space="preserve">The biochemical pathway depicted </w:t>
      </w:r>
      <w:r w:rsidR="005F424C">
        <w:rPr>
          <w:rFonts w:cs="AdvTT01bedc72"/>
        </w:rPr>
        <w:t>is</w:t>
      </w:r>
      <w:r w:rsidR="001C7A63">
        <w:rPr>
          <w:rFonts w:cs="AdvTT01bedc72"/>
        </w:rPr>
        <w:t xml:space="preserve"> identical for</w:t>
      </w:r>
      <w:r w:rsidR="001C7A63" w:rsidRPr="002C36FB">
        <w:t xml:space="preserve"> </w:t>
      </w:r>
      <w:r w:rsidR="005F424C">
        <w:t xml:space="preserve">all </w:t>
      </w:r>
      <w:r w:rsidR="00EA2B8E">
        <w:t xml:space="preserve">labeling positions of </w:t>
      </w:r>
      <w:r w:rsidR="005F424C">
        <w:t>[</w:t>
      </w:r>
      <w:r w:rsidR="005F424C" w:rsidRPr="005F424C">
        <w:rPr>
          <w:vertAlign w:val="superscript"/>
        </w:rPr>
        <w:t>13</w:t>
      </w:r>
      <w:proofErr w:type="gramStart"/>
      <w:r w:rsidR="005F424C">
        <w:t>C]</w:t>
      </w:r>
      <w:r w:rsidR="001C7A63" w:rsidRPr="00C73849">
        <w:t>pyruvate</w:t>
      </w:r>
      <w:proofErr w:type="gramEnd"/>
      <w:r w:rsidR="001C7A63">
        <w:rPr>
          <w:rFonts w:cs="AdvTT01bedc72"/>
        </w:rPr>
        <w:t xml:space="preserve">. </w:t>
      </w:r>
      <w:r w:rsidR="0078540C">
        <w:rPr>
          <w:rFonts w:cs="AdvTT01bedc72"/>
        </w:rPr>
        <w:fldChar w:fldCharType="begin"/>
      </w:r>
      <w:r w:rsidR="0078540C">
        <w:rPr>
          <w:rFonts w:cs="AdvTT01bedc72"/>
        </w:rPr>
        <w:instrText xml:space="preserve"> REF _Ref502139746 \h </w:instrText>
      </w:r>
      <w:r w:rsidR="0078540C">
        <w:rPr>
          <w:rFonts w:cs="AdvTT01bedc72"/>
        </w:rPr>
      </w:r>
      <w:r w:rsidR="0078540C">
        <w:rPr>
          <w:rFonts w:cs="AdvTT01bedc72"/>
        </w:rPr>
        <w:fldChar w:fldCharType="separate"/>
      </w:r>
      <w:r w:rsidR="00B263AB">
        <w:t xml:space="preserve">Figure </w:t>
      </w:r>
      <w:r w:rsidR="00B263AB">
        <w:rPr>
          <w:noProof/>
        </w:rPr>
        <w:t>2</w:t>
      </w:r>
      <w:r w:rsidR="0078540C">
        <w:rPr>
          <w:rFonts w:cs="AdvTT01bedc72"/>
        </w:rPr>
        <w:fldChar w:fldCharType="end"/>
      </w:r>
      <w:r w:rsidR="0078540C">
        <w:rPr>
          <w:rFonts w:cs="AdvTT01bedc72"/>
        </w:rPr>
        <w:t xml:space="preserve"> </w:t>
      </w:r>
      <w:r>
        <w:rPr>
          <w:rFonts w:cs="AdvTT01bedc72"/>
        </w:rPr>
        <w:t>shows an example case of prostate cancer.</w:t>
      </w:r>
    </w:p>
    <w:p w14:paraId="63BF3B55" w14:textId="77777777" w:rsidR="00160E13" w:rsidRDefault="00160E13" w:rsidP="00160E13">
      <w:pPr>
        <w:jc w:val="center"/>
      </w:pPr>
      <w:r>
        <w:rPr>
          <w:noProof/>
        </w:rPr>
        <w:lastRenderedPageBreak/>
        <w:drawing>
          <wp:inline distT="0" distB="0" distL="0" distR="0" wp14:anchorId="48BDF7CB" wp14:editId="3AD7FA84">
            <wp:extent cx="5170771" cy="27698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191627" cy="2781070"/>
                    </a:xfrm>
                    <a:prstGeom prst="rect">
                      <a:avLst/>
                    </a:prstGeom>
                  </pic:spPr>
                </pic:pic>
              </a:graphicData>
            </a:graphic>
          </wp:inline>
        </w:drawing>
      </w:r>
    </w:p>
    <w:p w14:paraId="3A5424E4" w14:textId="77777777" w:rsidR="005B1EC0" w:rsidRDefault="005B1EC0" w:rsidP="00160E13">
      <w:pPr>
        <w:jc w:val="center"/>
      </w:pPr>
    </w:p>
    <w:p w14:paraId="4917FFB7" w14:textId="77777777" w:rsidR="005B1EC0" w:rsidRDefault="005B1EC0" w:rsidP="00160E13">
      <w:pPr>
        <w:jc w:val="center"/>
      </w:pPr>
      <w:r>
        <w:t>(a)</w:t>
      </w:r>
    </w:p>
    <w:p w14:paraId="38B9F4DC" w14:textId="77777777" w:rsidR="00377B6A" w:rsidRDefault="005B1EC0" w:rsidP="00160E13">
      <w:pPr>
        <w:jc w:val="center"/>
      </w:pPr>
      <w:r>
        <w:rPr>
          <w:noProof/>
        </w:rPr>
        <w:drawing>
          <wp:inline distT="0" distB="0" distL="0" distR="0" wp14:anchorId="0AB276A5" wp14:editId="7B7E3F80">
            <wp:extent cx="5733415" cy="3943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2_pathway.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33415" cy="3943350"/>
                    </a:xfrm>
                    <a:prstGeom prst="rect">
                      <a:avLst/>
                    </a:prstGeom>
                  </pic:spPr>
                </pic:pic>
              </a:graphicData>
            </a:graphic>
          </wp:inline>
        </w:drawing>
      </w:r>
    </w:p>
    <w:p w14:paraId="50F36C8B" w14:textId="77777777" w:rsidR="005B1EC0" w:rsidRDefault="005B1EC0" w:rsidP="00160E13">
      <w:pPr>
        <w:jc w:val="center"/>
      </w:pPr>
    </w:p>
    <w:p w14:paraId="2597FB6C" w14:textId="77777777" w:rsidR="005B1EC0" w:rsidRDefault="005B1EC0" w:rsidP="00160E13">
      <w:pPr>
        <w:jc w:val="center"/>
      </w:pPr>
      <w:r>
        <w:t>(b)</w:t>
      </w:r>
    </w:p>
    <w:p w14:paraId="5295196D" w14:textId="71D32FC2" w:rsidR="00160E13" w:rsidRPr="000819C5" w:rsidRDefault="0078540C" w:rsidP="000819C5">
      <w:pPr>
        <w:pStyle w:val="Caption"/>
        <w:rPr>
          <w:rFonts w:cs="AdvGulliv-R"/>
          <w:b w:val="0"/>
        </w:rPr>
      </w:pPr>
      <w:bookmarkStart w:id="31" w:name="_Ref502139667"/>
      <w:r w:rsidRPr="0078540C">
        <w:t>Figure</w:t>
      </w:r>
      <w:r>
        <w:t xml:space="preserve"> </w:t>
      </w:r>
      <w:r w:rsidR="005C6BC3">
        <w:fldChar w:fldCharType="begin"/>
      </w:r>
      <w:r w:rsidR="005C6BC3">
        <w:instrText xml:space="preserve"> SEQ Figure \* ARABIC </w:instrText>
      </w:r>
      <w:r w:rsidR="005C6BC3">
        <w:fldChar w:fldCharType="separate"/>
      </w:r>
      <w:r w:rsidR="00B263AB">
        <w:rPr>
          <w:noProof/>
        </w:rPr>
        <w:t>1</w:t>
      </w:r>
      <w:r w:rsidR="005C6BC3">
        <w:rPr>
          <w:noProof/>
        </w:rPr>
        <w:fldChar w:fldCharType="end"/>
      </w:r>
      <w:bookmarkEnd w:id="31"/>
      <w:r w:rsidRPr="000819C5">
        <w:rPr>
          <w:b w:val="0"/>
        </w:rPr>
        <w:t xml:space="preserve">. </w:t>
      </w:r>
      <w:r w:rsidR="00160E13" w:rsidRPr="000819C5">
        <w:rPr>
          <w:rFonts w:cs="AdvGulliv-R"/>
          <w:b w:val="0"/>
        </w:rPr>
        <w:t xml:space="preserve">Simplified diagram of the biochemical pathways taken by </w:t>
      </w:r>
      <w:r w:rsidR="009C648A" w:rsidRPr="000819C5">
        <w:rPr>
          <w:rFonts w:cs="AdvGulliv-R"/>
          <w:b w:val="0"/>
        </w:rPr>
        <w:t>[1-13</w:t>
      </w:r>
      <w:proofErr w:type="gramStart"/>
      <w:r w:rsidR="009C648A" w:rsidRPr="000819C5">
        <w:rPr>
          <w:rFonts w:cs="AdvGulliv-R"/>
          <w:b w:val="0"/>
        </w:rPr>
        <w:t>C]</w:t>
      </w:r>
      <w:r w:rsidR="00160E13" w:rsidRPr="000819C5">
        <w:rPr>
          <w:rFonts w:cs="AdvGulliv-R"/>
          <w:b w:val="0"/>
        </w:rPr>
        <w:t>pyruvate</w:t>
      </w:r>
      <w:proofErr w:type="gramEnd"/>
      <w:r w:rsidR="00DD0B05" w:rsidRPr="000819C5">
        <w:rPr>
          <w:rFonts w:cs="AdvGulliv-R"/>
          <w:b w:val="0"/>
        </w:rPr>
        <w:t xml:space="preserve"> and [2-13C]pyruvate</w:t>
      </w:r>
      <w:r w:rsidR="0069360A" w:rsidRPr="000819C5">
        <w:rPr>
          <w:rFonts w:cs="AdvGulliv-R"/>
          <w:b w:val="0"/>
        </w:rPr>
        <w:t>, respectively,</w:t>
      </w:r>
      <w:r w:rsidR="00160E13" w:rsidRPr="000819C5">
        <w:rPr>
          <w:rFonts w:cs="AdvGulliv-R"/>
          <w:b w:val="0"/>
        </w:rPr>
        <w:t xml:space="preserve"> that are visible with the hyperpolarized MR spectroscopy techniques discussed here. The position of the hyperpolarized 13C nucleus is shown in all metabolites with the </w:t>
      </w:r>
      <w:r w:rsidR="00A3050F" w:rsidRPr="000819C5">
        <w:rPr>
          <w:rFonts w:cs="Arial-BoldMT"/>
          <w:b w:val="0"/>
          <w:bCs/>
        </w:rPr>
        <w:t>13C</w:t>
      </w:r>
      <w:r w:rsidR="00160E13" w:rsidRPr="000819C5">
        <w:rPr>
          <w:rFonts w:cs="AdvGulliv-R"/>
          <w:b w:val="0"/>
        </w:rPr>
        <w:t xml:space="preserve"> symbol. LDH = lactate dehydrogenase. PDH, pyruvate dehydrogenase complex. ALT, alanine transaminase. CA, carbonic anhydrase.</w:t>
      </w:r>
    </w:p>
    <w:p w14:paraId="3CFD5778" w14:textId="77777777" w:rsidR="00160E13" w:rsidRDefault="00160E13" w:rsidP="00160E13">
      <w:pPr>
        <w:autoSpaceDE w:val="0"/>
        <w:autoSpaceDN w:val="0"/>
        <w:adjustRightInd w:val="0"/>
        <w:rPr>
          <w:rFonts w:cs="AdvTT01bedc72"/>
        </w:rPr>
      </w:pPr>
    </w:p>
    <w:p w14:paraId="5E116D82" w14:textId="77777777" w:rsidR="00160E13" w:rsidRPr="007302D0" w:rsidRDefault="00160E13" w:rsidP="00160E13">
      <w:pPr>
        <w:autoSpaceDE w:val="0"/>
        <w:autoSpaceDN w:val="0"/>
        <w:adjustRightInd w:val="0"/>
        <w:rPr>
          <w:rFonts w:ascii="AdvTTe45e47d2" w:hAnsi="AdvTTe45e47d2" w:cs="AdvTTe45e47d2"/>
          <w:sz w:val="18"/>
          <w:szCs w:val="18"/>
        </w:rPr>
      </w:pPr>
    </w:p>
    <w:p w14:paraId="5DA3090A" w14:textId="77777777" w:rsidR="00160E13" w:rsidRDefault="00160E13" w:rsidP="00160E13">
      <w:pPr>
        <w:autoSpaceDE w:val="0"/>
        <w:autoSpaceDN w:val="0"/>
        <w:adjustRightInd w:val="0"/>
        <w:rPr>
          <w:rFonts w:ascii="AdvOT70333feb" w:hAnsi="AdvOT70333feb" w:cs="AdvOT70333feb"/>
          <w:sz w:val="20"/>
          <w:szCs w:val="20"/>
        </w:rPr>
      </w:pPr>
      <w:r>
        <w:rPr>
          <w:rFonts w:ascii="AdvTTe45e47d2" w:hAnsi="AdvTTe45e47d2" w:cs="AdvTTe45e47d2"/>
          <w:noProof/>
          <w:sz w:val="18"/>
          <w:szCs w:val="18"/>
        </w:rPr>
        <w:drawing>
          <wp:inline distT="0" distB="0" distL="0" distR="0" wp14:anchorId="35570E1B" wp14:editId="67C4FE58">
            <wp:extent cx="5943600" cy="17062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tif"/>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943600" cy="1706245"/>
                    </a:xfrm>
                    <a:prstGeom prst="rect">
                      <a:avLst/>
                    </a:prstGeom>
                  </pic:spPr>
                </pic:pic>
              </a:graphicData>
            </a:graphic>
          </wp:inline>
        </w:drawing>
      </w:r>
    </w:p>
    <w:p w14:paraId="529EA54A" w14:textId="77777777" w:rsidR="00160E13" w:rsidRDefault="00160E13" w:rsidP="00160E13">
      <w:pPr>
        <w:autoSpaceDE w:val="0"/>
        <w:autoSpaceDN w:val="0"/>
        <w:adjustRightInd w:val="0"/>
        <w:rPr>
          <w:rFonts w:ascii="AdvOT70333feb" w:hAnsi="AdvOT70333feb" w:cs="AdvOT70333feb"/>
          <w:sz w:val="20"/>
          <w:szCs w:val="20"/>
        </w:rPr>
      </w:pPr>
    </w:p>
    <w:p w14:paraId="2B37EDDD" w14:textId="7B8E9516" w:rsidR="00160E13" w:rsidRPr="000C46A3" w:rsidRDefault="0078540C" w:rsidP="000819C5">
      <w:pPr>
        <w:pStyle w:val="Caption"/>
        <w:rPr>
          <w:rFonts w:ascii="AdvTTe45e47d2" w:hAnsi="AdvTTe45e47d2" w:cs="AdvTTe45e47d2"/>
          <w:sz w:val="17"/>
          <w:szCs w:val="17"/>
        </w:rPr>
      </w:pPr>
      <w:bookmarkStart w:id="32" w:name="_Ref502139746"/>
      <w:r>
        <w:t xml:space="preserve">Figure </w:t>
      </w:r>
      <w:r w:rsidR="005C6BC3">
        <w:fldChar w:fldCharType="begin"/>
      </w:r>
      <w:r w:rsidR="005C6BC3">
        <w:instrText xml:space="preserve"> SEQ Figure \* ARABIC </w:instrText>
      </w:r>
      <w:r w:rsidR="005C6BC3">
        <w:fldChar w:fldCharType="separate"/>
      </w:r>
      <w:r w:rsidR="00B263AB">
        <w:rPr>
          <w:noProof/>
        </w:rPr>
        <w:t>2</w:t>
      </w:r>
      <w:r w:rsidR="005C6BC3">
        <w:rPr>
          <w:noProof/>
        </w:rPr>
        <w:fldChar w:fldCharType="end"/>
      </w:r>
      <w:bookmarkEnd w:id="32"/>
      <w:r>
        <w:t xml:space="preserve">.  </w:t>
      </w:r>
      <w:r w:rsidR="00160E13" w:rsidRPr="000819C5">
        <w:rPr>
          <w:rFonts w:cs="AdvTTe45e47d2"/>
          <w:b w:val="0"/>
        </w:rPr>
        <w:t>Images are from a representative patient with a current PSA of 12.2 ng/ml, a small volume of biopsy-proven Gleason grade 4 + 3 prostate cancer in the left mid gland, and who received the lowest dose (0.14 ml/kg) of hyperpolarized [1-13</w:t>
      </w:r>
      <w:proofErr w:type="gramStart"/>
      <w:r w:rsidR="00160E13" w:rsidRPr="000819C5">
        <w:rPr>
          <w:rFonts w:cs="AdvTTe45e47d2"/>
          <w:b w:val="0"/>
        </w:rPr>
        <w:t>C]pyruvate</w:t>
      </w:r>
      <w:proofErr w:type="gramEnd"/>
      <w:r w:rsidR="00160E13" w:rsidRPr="000819C5">
        <w:rPr>
          <w:rFonts w:cs="AdvTTe45e47d2"/>
          <w:b w:val="0"/>
        </w:rPr>
        <w:t>. (</w:t>
      </w:r>
      <w:r w:rsidR="00160E13" w:rsidRPr="000819C5">
        <w:rPr>
          <w:rFonts w:cs="AdvTTaf7f9f4f.B"/>
          <w:b w:val="0"/>
        </w:rPr>
        <w:t>A</w:t>
      </w:r>
      <w:r w:rsidR="00160E13" w:rsidRPr="000819C5">
        <w:rPr>
          <w:rFonts w:cs="AdvTTe45e47d2"/>
          <w:b w:val="0"/>
        </w:rPr>
        <w:t>) Axial T2-weighted image showing slices (dashed lines) obtained from 1D spectral localization. (</w:t>
      </w:r>
      <w:r w:rsidR="00160E13" w:rsidRPr="000819C5">
        <w:rPr>
          <w:rFonts w:cs="AdvTTaf7f9f4f.B"/>
          <w:b w:val="0"/>
        </w:rPr>
        <w:t>B</w:t>
      </w:r>
      <w:r w:rsidR="00160E13" w:rsidRPr="000819C5">
        <w:rPr>
          <w:rFonts w:cs="AdvTTe45e47d2"/>
          <w:b w:val="0"/>
        </w:rPr>
        <w:t>) Flux of [1-13</w:t>
      </w:r>
      <w:proofErr w:type="gramStart"/>
      <w:r w:rsidR="00160E13" w:rsidRPr="000819C5">
        <w:rPr>
          <w:rFonts w:cs="AdvTTe45e47d2"/>
          <w:b w:val="0"/>
        </w:rPr>
        <w:t>C]pyruvate</w:t>
      </w:r>
      <w:proofErr w:type="gramEnd"/>
      <w:r w:rsidR="00160E13" w:rsidRPr="000819C5">
        <w:rPr>
          <w:rFonts w:cs="AdvTTe45e47d2"/>
          <w:b w:val="0"/>
        </w:rPr>
        <w:t xml:space="preserve"> to [1-13C]lactate catalyzed by LDH (top). Dynamic 13C spectra were obtained from the same patient in (A) at 36 s after injection of hyperpolarized [1-13</w:t>
      </w:r>
      <w:proofErr w:type="gramStart"/>
      <w:r w:rsidR="00160E13" w:rsidRPr="000819C5">
        <w:rPr>
          <w:rFonts w:cs="AdvTTe45e47d2"/>
          <w:b w:val="0"/>
        </w:rPr>
        <w:t>C]pyruvate</w:t>
      </w:r>
      <w:proofErr w:type="gramEnd"/>
      <w:r w:rsidR="00160E13" w:rsidRPr="000819C5">
        <w:rPr>
          <w:rFonts w:cs="AdvTTe45e47d2"/>
          <w:b w:val="0"/>
        </w:rPr>
        <w:t xml:space="preserve"> (bottom). (</w:t>
      </w:r>
      <w:r w:rsidR="00160E13" w:rsidRPr="000819C5">
        <w:rPr>
          <w:rFonts w:cs="AdvTTaf7f9f4f.B"/>
          <w:b w:val="0"/>
        </w:rPr>
        <w:t>C</w:t>
      </w:r>
      <w:r w:rsidR="00160E13" w:rsidRPr="000819C5">
        <w:rPr>
          <w:rFonts w:cs="AdvTTe45e47d2"/>
          <w:b w:val="0"/>
        </w:rPr>
        <w:t>) Plot of 1D localized dynamic hyperpolarized pyruvate and lactate data from the slice that overlapped the region of prostate cancer. (</w:t>
      </w:r>
      <w:r w:rsidR="00160E13" w:rsidRPr="000819C5">
        <w:rPr>
          <w:rFonts w:cs="AdvTTaf7f9f4f.B"/>
          <w:b w:val="0"/>
        </w:rPr>
        <w:t>D</w:t>
      </w:r>
      <w:r w:rsidR="00160E13" w:rsidRPr="000819C5">
        <w:rPr>
          <w:rFonts w:cs="AdvTTe45e47d2"/>
          <w:b w:val="0"/>
        </w:rPr>
        <w:t>) Plot of 1D localized dynamic hyperpolarized pyruvate and lactate data from the slice that overlapped a contralateral region of the prostate</w:t>
      </w:r>
      <w:r w:rsidR="00160E13" w:rsidRPr="000819C5">
        <w:rPr>
          <w:rFonts w:ascii="AdvTTe45e47d2" w:hAnsi="AdvTTe45e47d2" w:cs="AdvTTe45e47d2"/>
          <w:b w:val="0"/>
          <w:sz w:val="17"/>
          <w:szCs w:val="17"/>
        </w:rPr>
        <w:t>.</w:t>
      </w:r>
    </w:p>
    <w:p w14:paraId="1BACF2EE" w14:textId="77777777" w:rsidR="00160E13" w:rsidRPr="00584705" w:rsidRDefault="00160E13" w:rsidP="00160E13">
      <w:pPr>
        <w:autoSpaceDE w:val="0"/>
        <w:autoSpaceDN w:val="0"/>
        <w:adjustRightInd w:val="0"/>
        <w:rPr>
          <w:rFonts w:ascii="AdvOTb7819099" w:hAnsi="AdvOTb7819099" w:cs="AdvOTb7819099"/>
          <w:color w:val="231F20"/>
          <w:sz w:val="18"/>
          <w:szCs w:val="18"/>
        </w:rPr>
      </w:pPr>
    </w:p>
    <w:p w14:paraId="54F05E6A" w14:textId="77777777" w:rsidR="00160E13" w:rsidRDefault="00160E13" w:rsidP="00160E13">
      <w:pPr>
        <w:autoSpaceDE w:val="0"/>
        <w:autoSpaceDN w:val="0"/>
        <w:adjustRightInd w:val="0"/>
        <w:rPr>
          <w:rFonts w:cs="AdvTT01bedc72"/>
        </w:rPr>
      </w:pPr>
    </w:p>
    <w:p w14:paraId="2462ED10" w14:textId="1BCD49EF" w:rsidR="00160E13" w:rsidRDefault="00160E13" w:rsidP="00160E13">
      <w:pPr>
        <w:autoSpaceDE w:val="0"/>
        <w:autoSpaceDN w:val="0"/>
        <w:adjustRightInd w:val="0"/>
        <w:rPr>
          <w:rFonts w:cs="AdvGulliv-R"/>
          <w:color w:val="000000"/>
        </w:rPr>
      </w:pPr>
      <w:r>
        <w:rPr>
          <w:rFonts w:cs="AdvTT01bedc72"/>
        </w:rPr>
        <w:t>In healthy tissues</w:t>
      </w:r>
      <w:r w:rsidRPr="00A32B1E">
        <w:rPr>
          <w:rFonts w:cs="AdvTT01bedc72"/>
        </w:rPr>
        <w:t xml:space="preserve">, </w:t>
      </w:r>
      <w:r>
        <w:rPr>
          <w:rFonts w:cs="AdvGulliv-R"/>
        </w:rPr>
        <w:t>p</w:t>
      </w:r>
      <w:r w:rsidRPr="00A32B1E">
        <w:rPr>
          <w:rFonts w:cs="AdvGulliv-R"/>
        </w:rPr>
        <w:t>yruvate is preferentially converted in the mitochondria to acet</w:t>
      </w:r>
      <w:r w:rsidRPr="00A32B1E">
        <w:rPr>
          <w:rFonts w:cs="AdvGulliv-R"/>
          <w:color w:val="000000"/>
        </w:rPr>
        <w:t>yl-CoA and carbon dioxide via PDH</w:t>
      </w:r>
      <w:r w:rsidR="00435251">
        <w:rPr>
          <w:rFonts w:cs="AdvGulliv-R"/>
          <w:color w:val="000000"/>
        </w:rPr>
        <w:t>.</w:t>
      </w:r>
      <w:r>
        <w:rPr>
          <w:rFonts w:cs="AdvGulliv-R"/>
          <w:color w:val="000000"/>
        </w:rPr>
        <w:t xml:space="preserve"> </w:t>
      </w:r>
      <w:r w:rsidR="00435251">
        <w:rPr>
          <w:rFonts w:cs="AdvGulliv-R"/>
          <w:color w:val="000000"/>
        </w:rPr>
        <w:t xml:space="preserve">This is </w:t>
      </w:r>
      <w:r>
        <w:rPr>
          <w:rFonts w:cs="AdvGulliv-R"/>
          <w:color w:val="000000"/>
        </w:rPr>
        <w:t>followed by</w:t>
      </w:r>
      <w:r w:rsidRPr="00A32B1E">
        <w:rPr>
          <w:rFonts w:cs="AdvGulliv-R"/>
        </w:rPr>
        <w:t xml:space="preserve"> </w:t>
      </w:r>
      <w:r w:rsidR="00435251">
        <w:rPr>
          <w:rFonts w:cs="AdvGulliv-R"/>
          <w:color w:val="000000"/>
        </w:rPr>
        <w:t>entrance into</w:t>
      </w:r>
      <w:r w:rsidRPr="00A32B1E">
        <w:rPr>
          <w:rFonts w:cs="AdvGulliv-R"/>
          <w:color w:val="000000"/>
        </w:rPr>
        <w:t xml:space="preserve"> the tricarboxylic acid (TCA) cycle </w:t>
      </w:r>
      <w:r>
        <w:rPr>
          <w:rFonts w:cs="AdvGulliv-R"/>
          <w:color w:val="000000"/>
        </w:rPr>
        <w:t>to</w:t>
      </w:r>
      <w:r w:rsidRPr="00A32B1E">
        <w:rPr>
          <w:rFonts w:cs="AdvGulliv-R"/>
          <w:color w:val="000000"/>
        </w:rPr>
        <w:t xml:space="preserve"> eventually</w:t>
      </w:r>
      <w:r w:rsidRPr="00A32B1E">
        <w:rPr>
          <w:rFonts w:cs="AdvGulliv-R"/>
        </w:rPr>
        <w:t xml:space="preserve"> </w:t>
      </w:r>
      <w:r w:rsidRPr="00A32B1E">
        <w:rPr>
          <w:rFonts w:cs="AdvGulliv-R"/>
          <w:color w:val="000000"/>
        </w:rPr>
        <w:t>provide</w:t>
      </w:r>
      <w:r>
        <w:rPr>
          <w:rFonts w:cs="AdvGulliv-R"/>
          <w:color w:val="000000"/>
        </w:rPr>
        <w:t xml:space="preserve"> </w:t>
      </w:r>
      <w:r w:rsidRPr="00A32B1E">
        <w:rPr>
          <w:rFonts w:cs="AdvGulliv-R"/>
          <w:color w:val="000000"/>
        </w:rPr>
        <w:t>cellular energy as ATP</w:t>
      </w:r>
      <w:r>
        <w:rPr>
          <w:rFonts w:cs="AdvGulliv-R"/>
          <w:color w:val="000000"/>
        </w:rPr>
        <w:t xml:space="preserve">, known as </w:t>
      </w:r>
      <w:r w:rsidRPr="009D6630">
        <w:rPr>
          <w:rFonts w:cs="Arial"/>
        </w:rPr>
        <w:t>oxidative phosphorylation</w:t>
      </w:r>
      <w:r>
        <w:rPr>
          <w:rFonts w:cs="Arial"/>
        </w:rPr>
        <w:t xml:space="preserve"> (OXPHOS)</w:t>
      </w:r>
      <w:r>
        <w:t xml:space="preserve"> in the mitochondria</w:t>
      </w:r>
      <w:r w:rsidRPr="00A32B1E">
        <w:rPr>
          <w:rFonts w:cs="AdvGulliv-R"/>
          <w:color w:val="000000"/>
        </w:rPr>
        <w:t>.</w:t>
      </w:r>
      <w:r>
        <w:rPr>
          <w:rFonts w:cs="AdvGulliv-R"/>
          <w:color w:val="000000"/>
        </w:rPr>
        <w:t xml:space="preserve"> The </w:t>
      </w:r>
      <w:r w:rsidRPr="00A32B1E">
        <w:rPr>
          <w:rFonts w:cs="AdvGulliv-R"/>
          <w:color w:val="000000"/>
        </w:rPr>
        <w:t>conversion to alanine via</w:t>
      </w:r>
      <w:r>
        <w:rPr>
          <w:rFonts w:cs="AdvGulliv-R"/>
          <w:color w:val="000000"/>
        </w:rPr>
        <w:t xml:space="preserve"> ALT </w:t>
      </w:r>
      <w:r w:rsidRPr="00A32B1E">
        <w:rPr>
          <w:rFonts w:cs="AdvGulliv-R"/>
          <w:color w:val="000000"/>
        </w:rPr>
        <w:t xml:space="preserve">is known to </w:t>
      </w:r>
      <w:r>
        <w:rPr>
          <w:rFonts w:cs="AdvGulliv-R"/>
          <w:color w:val="000000"/>
        </w:rPr>
        <w:t>be predominant</w:t>
      </w:r>
      <w:r w:rsidRPr="00A32B1E">
        <w:rPr>
          <w:rFonts w:cs="AdvGulliv-R"/>
          <w:color w:val="000000"/>
        </w:rPr>
        <w:t xml:space="preserve"> in </w:t>
      </w:r>
      <w:r>
        <w:rPr>
          <w:rFonts w:cs="AdvGulliv-R"/>
          <w:color w:val="000000"/>
        </w:rPr>
        <w:t>certain healthy tissues such as</w:t>
      </w:r>
      <w:r w:rsidRPr="00A32B1E">
        <w:rPr>
          <w:rFonts w:cs="AdvGulliv-R"/>
          <w:color w:val="000000"/>
        </w:rPr>
        <w:t xml:space="preserve"> liver and sometimes muscle. </w:t>
      </w:r>
      <w:r>
        <w:rPr>
          <w:rFonts w:cs="AdvGulliv-R"/>
          <w:color w:val="000000"/>
        </w:rPr>
        <w:t>These preferring pathways are highly dynamic that they are readily altered under perturbations of therapeutic stress and/or tissue microenvironment conditions. As an example, w</w:t>
      </w:r>
      <w:r w:rsidRPr="00A32B1E">
        <w:rPr>
          <w:rFonts w:cs="AdvGulliv-R"/>
          <w:color w:val="000000"/>
        </w:rPr>
        <w:t>ithout oxygen, or if the TCA cycle</w:t>
      </w:r>
      <w:r w:rsidRPr="00A32B1E">
        <w:rPr>
          <w:rFonts w:cs="AdvGulliv-R"/>
        </w:rPr>
        <w:t xml:space="preserve"> </w:t>
      </w:r>
      <w:r w:rsidRPr="00A32B1E">
        <w:rPr>
          <w:rFonts w:cs="AdvGulliv-R"/>
          <w:color w:val="000000"/>
        </w:rPr>
        <w:t>is running at full capacity, healthy tissue is forced to maintain</w:t>
      </w:r>
      <w:r w:rsidRPr="00A32B1E">
        <w:rPr>
          <w:rFonts w:cs="AdvGulliv-R"/>
        </w:rPr>
        <w:t xml:space="preserve"> </w:t>
      </w:r>
      <w:r w:rsidRPr="00A32B1E">
        <w:rPr>
          <w:rFonts w:cs="AdvGulliv-R"/>
          <w:color w:val="000000"/>
        </w:rPr>
        <w:t>energy needs through an alternate pathway that converts pyruvate</w:t>
      </w:r>
      <w:r w:rsidRPr="00A32B1E">
        <w:rPr>
          <w:rFonts w:cs="AdvGulliv-R"/>
        </w:rPr>
        <w:t xml:space="preserve"> </w:t>
      </w:r>
      <w:r w:rsidRPr="00A32B1E">
        <w:rPr>
          <w:rFonts w:cs="AdvGulliv-R"/>
          <w:color w:val="000000"/>
        </w:rPr>
        <w:t>to lactate via LDH</w:t>
      </w:r>
      <w:r>
        <w:rPr>
          <w:rFonts w:cs="AdvGulliv-R"/>
          <w:color w:val="000000"/>
        </w:rPr>
        <w:t xml:space="preserve"> </w:t>
      </w:r>
      <w:r w:rsidRPr="00A32B1E">
        <w:rPr>
          <w:rFonts w:cs="AdvGulliv-R"/>
          <w:color w:val="000000"/>
        </w:rPr>
        <w:t>and oxidizes NADH to</w:t>
      </w:r>
      <w:r w:rsidRPr="00A32B1E">
        <w:rPr>
          <w:rFonts w:cs="AdvGulliv-R"/>
        </w:rPr>
        <w:t xml:space="preserve"> </w:t>
      </w:r>
      <w:r w:rsidRPr="00A32B1E">
        <w:rPr>
          <w:rFonts w:cs="AdvGulliv-R"/>
          <w:color w:val="000000"/>
        </w:rPr>
        <w:t>NAD+. The NAD+ is then available to aid in further glycolytic conversion</w:t>
      </w:r>
      <w:r w:rsidRPr="00A32B1E">
        <w:rPr>
          <w:rFonts w:cs="AdvGulliv-R"/>
        </w:rPr>
        <w:t xml:space="preserve"> </w:t>
      </w:r>
      <w:r w:rsidRPr="00A32B1E">
        <w:rPr>
          <w:rFonts w:cs="AdvGulliv-R"/>
          <w:color w:val="000000"/>
        </w:rPr>
        <w:t>of glucose to pyruvate, providing cellular energy as ATP.</w:t>
      </w:r>
      <w:r>
        <w:rPr>
          <w:rFonts w:cs="AdvGulliv-R"/>
          <w:color w:val="000000"/>
        </w:rPr>
        <w:t xml:space="preserve"> </w:t>
      </w:r>
    </w:p>
    <w:p w14:paraId="022D4F84" w14:textId="77777777" w:rsidR="00160E13" w:rsidRDefault="00160E13" w:rsidP="00160E13">
      <w:pPr>
        <w:autoSpaceDE w:val="0"/>
        <w:autoSpaceDN w:val="0"/>
        <w:adjustRightInd w:val="0"/>
        <w:rPr>
          <w:rFonts w:cs="AdvGulliv-R"/>
          <w:color w:val="000000"/>
        </w:rPr>
      </w:pPr>
    </w:p>
    <w:p w14:paraId="1F50201F" w14:textId="2F22BE67" w:rsidR="00160E13" w:rsidRDefault="00160E13" w:rsidP="00160E13">
      <w:pPr>
        <w:autoSpaceDE w:val="0"/>
        <w:autoSpaceDN w:val="0"/>
        <w:adjustRightInd w:val="0"/>
        <w:rPr>
          <w:rFonts w:cs="AdvAGaramond-R"/>
          <w:color w:val="231F20"/>
        </w:rPr>
      </w:pPr>
      <w:r>
        <w:rPr>
          <w:rFonts w:cs="AdvGulliv-R"/>
          <w:color w:val="000000"/>
        </w:rPr>
        <w:t xml:space="preserve">In diseased tissues, the metabolism of pyruvate is likely to be shifted away from its normal flux patterns. In oncology, </w:t>
      </w:r>
      <w:r>
        <w:t xml:space="preserve">most cancer cells predominantly produce energy by a high rate of glycolysis followed by lactic acid fermentation in the cytosol, </w:t>
      </w:r>
      <w:r w:rsidRPr="000B0128">
        <w:rPr>
          <w:rFonts w:cs="AdvGulliv-R"/>
          <w:color w:val="000000"/>
        </w:rPr>
        <w:t>known as aerobic glycolysis, or the Warburg effect</w:t>
      </w:r>
      <w:r>
        <w:t xml:space="preserve">, rather than a comparatively low rate of glycolysis followed OXPHOS in the mitochondria. </w:t>
      </w:r>
      <w:r w:rsidRPr="00B73186">
        <w:rPr>
          <w:rFonts w:cs="AdvGulliv-R"/>
          <w:color w:val="000000"/>
        </w:rPr>
        <w:t>Some cancer cells also show changes in transaminase activity, suggesting pyruvate-to-alanine exchange may be enhanced or suppressed, depending on tumor type</w:t>
      </w:r>
      <w:r>
        <w:rPr>
          <w:rFonts w:ascii="AdvGulliv-R" w:hAnsi="AdvGulliv-R" w:cs="AdvGulliv-R"/>
          <w:color w:val="000000"/>
          <w:sz w:val="16"/>
          <w:szCs w:val="16"/>
        </w:rPr>
        <w:t xml:space="preserve">. </w:t>
      </w:r>
      <w:r>
        <w:t xml:space="preserve">In heart, the cardiac metabolism </w:t>
      </w:r>
      <w:r w:rsidRPr="00792D3D">
        <w:rPr>
          <w:rFonts w:cs="Dutch801BT-Roman"/>
        </w:rPr>
        <w:t>switches rapidly among a wide variety of substrates to supply acetyl-CoA</w:t>
      </w:r>
      <w:r>
        <w:rPr>
          <w:rFonts w:cs="Dutch801BT-Roman"/>
        </w:rPr>
        <w:t xml:space="preserve">, which typically involves four </w:t>
      </w:r>
      <w:r w:rsidRPr="00792D3D">
        <w:rPr>
          <w:rFonts w:cs="AdvTTe45e47d2"/>
        </w:rPr>
        <w:t>g</w:t>
      </w:r>
      <w:r>
        <w:rPr>
          <w:rFonts w:cs="AdvTTe45e47d2"/>
        </w:rPr>
        <w:t xml:space="preserve">roups of reactions, or pathways to </w:t>
      </w:r>
      <w:r w:rsidRPr="00792D3D">
        <w:rPr>
          <w:rFonts w:cs="AdvTTe45e47d2"/>
        </w:rPr>
        <w:t xml:space="preserve">support this process: </w:t>
      </w:r>
      <w:r w:rsidRPr="00792D3D">
        <w:rPr>
          <w:rFonts w:cs="AdvTTe45e47d2+03"/>
        </w:rPr>
        <w:t>β</w:t>
      </w:r>
      <w:r w:rsidRPr="00792D3D">
        <w:rPr>
          <w:rFonts w:eastAsia="AdvTTe45e47d2+20" w:cs="AdvTTe45e47d2+20"/>
        </w:rPr>
        <w:t>‐</w:t>
      </w:r>
      <w:r w:rsidRPr="00792D3D">
        <w:rPr>
          <w:rFonts w:cs="AdvTTe45e47d2"/>
        </w:rPr>
        <w:t>oxidation, glycolysis, the pentose phosphate pathway and the citric acid cycle.</w:t>
      </w:r>
      <w:r w:rsidRPr="00792D3D">
        <w:t xml:space="preserve"> </w:t>
      </w:r>
      <w:r w:rsidRPr="003D1E75">
        <w:t xml:space="preserve">The </w:t>
      </w:r>
      <w:r w:rsidRPr="003D1E75">
        <w:rPr>
          <w:rFonts w:cs="Dutch801BT-Roman"/>
        </w:rPr>
        <w:t>PDH enzyme complex is a fundamental determinant of the relative contributions of glucose and fatty acid oxidation to ATP production in the heart</w:t>
      </w:r>
      <w:r>
        <w:rPr>
          <w:rFonts w:cs="Dutch801BT-Roman"/>
        </w:rPr>
        <w:t xml:space="preserve">, and its activity is correlated with the status of the heart disease such as </w:t>
      </w:r>
      <w:r>
        <w:rPr>
          <w:rFonts w:cs="AdvOTb7819099"/>
          <w:color w:val="231F20"/>
        </w:rPr>
        <w:t>myocardial isch</w:t>
      </w:r>
      <w:r w:rsidRPr="003D1E75">
        <w:rPr>
          <w:rFonts w:cs="AdvOTb7819099"/>
          <w:color w:val="231F20"/>
        </w:rPr>
        <w:t>emia</w:t>
      </w:r>
      <w:r>
        <w:rPr>
          <w:rFonts w:cs="AdvOTb7819099"/>
          <w:color w:val="231F20"/>
        </w:rPr>
        <w:t xml:space="preserve"> (MI), </w:t>
      </w:r>
      <w:r w:rsidRPr="003D1E75">
        <w:rPr>
          <w:rFonts w:cs="AdvOT70333feb"/>
        </w:rPr>
        <w:t>diabetic cardiomyopathy</w:t>
      </w:r>
      <w:r>
        <w:rPr>
          <w:rFonts w:cs="AdvOT70333feb"/>
        </w:rPr>
        <w:t xml:space="preserve">, etc. This metabolic shift also occurs in many other diseases, i.e., an increase of </w:t>
      </w:r>
      <w:r>
        <w:rPr>
          <w:rFonts w:cs="ATBasilia-Roman"/>
        </w:rPr>
        <w:t xml:space="preserve">lactic acid in </w:t>
      </w:r>
      <w:r w:rsidRPr="003D1E75">
        <w:rPr>
          <w:rFonts w:cs="AdvOT70333feb"/>
        </w:rPr>
        <w:t>inflammatory arthritis</w:t>
      </w:r>
      <w:r>
        <w:rPr>
          <w:rFonts w:cs="AdvOT70333feb"/>
        </w:rPr>
        <w:t xml:space="preserve"> and ischemic tissues</w:t>
      </w:r>
      <w:r>
        <w:rPr>
          <w:rFonts w:cs="ATBasilia-Roman"/>
        </w:rPr>
        <w:t xml:space="preserve"> due to increase energy demands an elevated</w:t>
      </w:r>
      <w:r w:rsidRPr="006528B1">
        <w:rPr>
          <w:rFonts w:cs="ATBasilia-Roman"/>
        </w:rPr>
        <w:t xml:space="preserve"> </w:t>
      </w:r>
      <w:r w:rsidRPr="006528B1">
        <w:rPr>
          <w:rFonts w:cs="AdvTTe45e47d2"/>
        </w:rPr>
        <w:t>hepatic ALT activity in liver disease</w:t>
      </w:r>
      <w:r>
        <w:rPr>
          <w:rFonts w:cs="AdvTTe45e47d2"/>
        </w:rPr>
        <w:t xml:space="preserve">s. Also, the metabolic status can be a marker for the functions of certain organs, i.e., an </w:t>
      </w:r>
      <w:r w:rsidRPr="00607E3A">
        <w:rPr>
          <w:rFonts w:cs="AdvTTe45e47d2"/>
        </w:rPr>
        <w:t xml:space="preserve">elevated </w:t>
      </w:r>
      <w:r w:rsidRPr="00607E3A">
        <w:rPr>
          <w:rFonts w:cs="AdvOT46dcae81"/>
          <w:color w:val="231F20"/>
        </w:rPr>
        <w:t>increased oxidative phosphorylatio</w:t>
      </w:r>
      <w:r>
        <w:rPr>
          <w:rFonts w:cs="AdvOT46dcae81"/>
          <w:color w:val="231F20"/>
        </w:rPr>
        <w:t xml:space="preserve">n </w:t>
      </w:r>
      <w:r>
        <w:rPr>
          <w:rFonts w:cs="AdvOT46dcae81"/>
          <w:color w:val="231F20"/>
        </w:rPr>
        <w:lastRenderedPageBreak/>
        <w:t xml:space="preserve">occurs in </w:t>
      </w:r>
      <w:r w:rsidRPr="00607E3A">
        <w:rPr>
          <w:rFonts w:cs="AdvOT46dcae81"/>
          <w:color w:val="231F20"/>
        </w:rPr>
        <w:t>brown adipose tissue</w:t>
      </w:r>
      <w:r w:rsidRPr="00E26519">
        <w:rPr>
          <w:rFonts w:cs="AdvOT46dcae81"/>
          <w:color w:val="231F20"/>
        </w:rPr>
        <w:t xml:space="preserve">; </w:t>
      </w:r>
      <w:r>
        <w:rPr>
          <w:rFonts w:cs="AdvOT46dcae81"/>
          <w:color w:val="231F20"/>
        </w:rPr>
        <w:t xml:space="preserve">metabolic status of </w:t>
      </w:r>
      <w:r w:rsidRPr="00E26519">
        <w:rPr>
          <w:rFonts w:cs="AdvAGaramond-R"/>
          <w:color w:val="231F20"/>
        </w:rPr>
        <w:t>placenta</w:t>
      </w:r>
      <w:r>
        <w:rPr>
          <w:rFonts w:cs="AdvAGaramond-R"/>
          <w:color w:val="231F20"/>
        </w:rPr>
        <w:t xml:space="preserve"> reflecting its</w:t>
      </w:r>
      <w:r w:rsidRPr="00E26519">
        <w:rPr>
          <w:rFonts w:cs="AdvAGaramond-R"/>
          <w:color w:val="231F20"/>
        </w:rPr>
        <w:t xml:space="preserve"> role in mediating interactions</w:t>
      </w:r>
      <w:r>
        <w:rPr>
          <w:rFonts w:cs="AdvAGaramond-R"/>
          <w:color w:val="231F20"/>
        </w:rPr>
        <w:t xml:space="preserve"> &amp; nutrient transport between mother and fetus. </w:t>
      </w:r>
      <w:r>
        <w:rPr>
          <w:rFonts w:cs="AdvGulliv-R"/>
          <w:color w:val="000000"/>
        </w:rPr>
        <w:t xml:space="preserve">The metabolism of pyruvate in diseased tissues can be altered substantially via various therapeutic treatments, including </w:t>
      </w:r>
      <w:r>
        <w:rPr>
          <w:rFonts w:eastAsia="Times New Roman"/>
          <w:color w:val="000000"/>
        </w:rPr>
        <w:t xml:space="preserve">modulation of major signaling pathways such as PI3K/Akt/mTOR, MEK, VEGFR, </w:t>
      </w:r>
      <w:proofErr w:type="spellStart"/>
      <w:r>
        <w:rPr>
          <w:rFonts w:eastAsia="Times New Roman"/>
          <w:color w:val="000000"/>
        </w:rPr>
        <w:t>KRas</w:t>
      </w:r>
      <w:proofErr w:type="spellEnd"/>
      <w:r>
        <w:rPr>
          <w:rFonts w:eastAsia="Times New Roman"/>
          <w:color w:val="000000"/>
        </w:rPr>
        <w:t xml:space="preserve">, </w:t>
      </w:r>
      <w:proofErr w:type="spellStart"/>
      <w:r>
        <w:rPr>
          <w:rFonts w:eastAsia="Times New Roman"/>
          <w:color w:val="000000"/>
        </w:rPr>
        <w:t>Myc</w:t>
      </w:r>
      <w:proofErr w:type="spellEnd"/>
      <w:r>
        <w:rPr>
          <w:rFonts w:eastAsia="Times New Roman"/>
          <w:color w:val="000000"/>
        </w:rPr>
        <w:t>, p</w:t>
      </w:r>
      <w:proofErr w:type="gramStart"/>
      <w:r>
        <w:rPr>
          <w:rFonts w:eastAsia="Times New Roman"/>
          <w:color w:val="000000"/>
        </w:rPr>
        <w:t>53,etc.</w:t>
      </w:r>
      <w:proofErr w:type="gramEnd"/>
      <w:r>
        <w:rPr>
          <w:rFonts w:eastAsia="Times New Roman"/>
          <w:color w:val="000000"/>
        </w:rPr>
        <w:t>, inhibition of metabolic pathways for PDH, LDH, HK2, GLS1 etc., immunotherapy, radiation therapy and chemotherapy.</w:t>
      </w:r>
    </w:p>
    <w:p w14:paraId="5FECFC56" w14:textId="77777777" w:rsidR="00160E13" w:rsidRDefault="00160E13" w:rsidP="00160E13">
      <w:pPr>
        <w:autoSpaceDE w:val="0"/>
        <w:autoSpaceDN w:val="0"/>
        <w:adjustRightInd w:val="0"/>
        <w:rPr>
          <w:rFonts w:cs="AdvAGaramond-R"/>
          <w:color w:val="231F20"/>
        </w:rPr>
      </w:pPr>
    </w:p>
    <w:p w14:paraId="21994D21" w14:textId="77777777" w:rsidR="00957F89" w:rsidRPr="00C73849" w:rsidRDefault="00957F89">
      <w:pPr>
        <w:rPr>
          <w:rFonts w:ascii="Times New Roman" w:eastAsia="Times New Roman" w:hAnsi="Times New Roman" w:cs="Times New Roman"/>
          <w:sz w:val="20"/>
          <w:szCs w:val="20"/>
        </w:rPr>
      </w:pPr>
    </w:p>
    <w:p w14:paraId="1130B552" w14:textId="77777777" w:rsidR="004A7A84" w:rsidRPr="00C73849" w:rsidRDefault="004A7A84">
      <w:pPr>
        <w:rPr>
          <w:rFonts w:ascii="Times New Roman" w:eastAsia="Times New Roman" w:hAnsi="Times New Roman" w:cs="Times New Roman"/>
          <w:sz w:val="20"/>
          <w:szCs w:val="20"/>
        </w:rPr>
      </w:pPr>
      <w:r w:rsidRPr="00C73849">
        <w:rPr>
          <w:rFonts w:ascii="Times New Roman" w:eastAsia="Times New Roman" w:hAnsi="Times New Roman" w:cs="Times New Roman"/>
          <w:sz w:val="20"/>
          <w:szCs w:val="20"/>
        </w:rPr>
        <w:br w:type="page"/>
      </w:r>
    </w:p>
    <w:p w14:paraId="14A8C576" w14:textId="5831C1A1" w:rsidR="00957F89" w:rsidRPr="00444A25" w:rsidRDefault="00D92D87" w:rsidP="0058353A">
      <w:pPr>
        <w:pStyle w:val="Heading1"/>
        <w:rPr>
          <w:rFonts w:cs="Times New Roman"/>
          <w:szCs w:val="28"/>
        </w:rPr>
      </w:pPr>
      <w:bookmarkStart w:id="33" w:name="_bookmark5"/>
      <w:bookmarkStart w:id="34" w:name="_Toc34899954"/>
      <w:bookmarkStart w:id="35" w:name="_Toc33702483"/>
      <w:bookmarkStart w:id="36" w:name="_Toc176276917"/>
      <w:bookmarkEnd w:id="33"/>
      <w:r w:rsidRPr="00C73849">
        <w:lastRenderedPageBreak/>
        <w:t>PHYSICAL, CHEMICAL AND PHARMACEUTICAL PROPERTIES AND FORMULATION</w:t>
      </w:r>
      <w:bookmarkEnd w:id="34"/>
      <w:bookmarkEnd w:id="35"/>
      <w:bookmarkEnd w:id="36"/>
    </w:p>
    <w:p w14:paraId="6BBBD4BF" w14:textId="0E2CA413" w:rsidR="00330273" w:rsidRPr="00B6436C" w:rsidRDefault="00DF51F6" w:rsidP="00057626">
      <w:pPr>
        <w:pStyle w:val="Heading2"/>
        <w:spacing w:after="240"/>
      </w:pPr>
      <w:bookmarkStart w:id="37" w:name="_Toc34899955"/>
      <w:bookmarkStart w:id="38" w:name="_Toc33702484"/>
      <w:bookmarkStart w:id="39" w:name="_Toc176276918"/>
      <w:r w:rsidRPr="00B6436C">
        <w:t>4.1</w:t>
      </w:r>
      <w:r w:rsidRPr="00B6436C">
        <w:tab/>
      </w:r>
      <w:r w:rsidR="00330273" w:rsidRPr="004D6056">
        <w:t>Name and Description of Investigational Medicinal Product</w:t>
      </w:r>
      <w:bookmarkEnd w:id="37"/>
      <w:bookmarkEnd w:id="38"/>
      <w:bookmarkEnd w:id="39"/>
    </w:p>
    <w:p w14:paraId="1FDD949B" w14:textId="1188EAD2" w:rsidR="00330273" w:rsidRDefault="00330273" w:rsidP="00B6436C">
      <w:pPr>
        <w:rPr>
          <w:sz w:val="24"/>
        </w:rPr>
      </w:pPr>
      <w:r>
        <w:t>Hyperpolarized Pyruvate (</w:t>
      </w:r>
      <w:r>
        <w:rPr>
          <w:vertAlign w:val="superscript"/>
        </w:rPr>
        <w:t>13</w:t>
      </w:r>
      <w:r>
        <w:t>C) Injection (drug product) is a sterile solution for intravenous injection. The preparation of Hyperpolarized Pyruvate (</w:t>
      </w:r>
      <w:r>
        <w:rPr>
          <w:vertAlign w:val="superscript"/>
        </w:rPr>
        <w:t>13</w:t>
      </w:r>
      <w:r>
        <w:t xml:space="preserve">C) Injection is performed by an automated equipment known as </w:t>
      </w:r>
      <w:proofErr w:type="spellStart"/>
      <w:r>
        <w:t>SPINlab</w:t>
      </w:r>
      <w:r>
        <w:rPr>
          <w:vertAlign w:val="superscript"/>
        </w:rPr>
        <w:t>TM</w:t>
      </w:r>
      <w:proofErr w:type="spellEnd"/>
      <w:r>
        <w:t xml:space="preserve">. For each patient dose, </w:t>
      </w:r>
      <w:proofErr w:type="spellStart"/>
      <w:r>
        <w:t>SPINlab</w:t>
      </w:r>
      <w:proofErr w:type="spellEnd"/>
      <w:r>
        <w:t xml:space="preserve"> utilizes a fluid path that contains the following three active pharmaceutical ingredients:</w:t>
      </w:r>
    </w:p>
    <w:p w14:paraId="129AC378" w14:textId="77777777" w:rsidR="00330273" w:rsidRDefault="00330273" w:rsidP="0066698E">
      <w:pPr>
        <w:spacing w:before="120"/>
        <w:ind w:left="936" w:hanging="360"/>
        <w:jc w:val="both"/>
        <w:rPr>
          <w:rFonts w:ascii="Calibri" w:eastAsia="Times New Roman" w:hAnsi="Calibri" w:cs="Arial"/>
          <w:color w:val="000000"/>
        </w:rPr>
      </w:pPr>
      <w:r>
        <w:rPr>
          <w:rFonts w:ascii="Calibri" w:eastAsia="Times New Roman" w:hAnsi="Calibri" w:cs="Arial"/>
          <w:color w:val="000000"/>
        </w:rPr>
        <w:t>•       Mixture of [</w:t>
      </w:r>
      <w:r>
        <w:rPr>
          <w:rFonts w:ascii="Calibri" w:eastAsia="Times New Roman" w:hAnsi="Calibri" w:cs="Arial"/>
          <w:color w:val="000000"/>
          <w:vertAlign w:val="superscript"/>
        </w:rPr>
        <w:t>13</w:t>
      </w:r>
      <w:proofErr w:type="gramStart"/>
      <w:r>
        <w:rPr>
          <w:rFonts w:ascii="Calibri" w:eastAsia="Times New Roman" w:hAnsi="Calibri" w:cs="Arial"/>
          <w:color w:val="000000"/>
        </w:rPr>
        <w:t>C]pyruvic</w:t>
      </w:r>
      <w:proofErr w:type="gramEnd"/>
      <w:r>
        <w:rPr>
          <w:rFonts w:ascii="Calibri" w:eastAsia="Times New Roman" w:hAnsi="Calibri" w:cs="Arial"/>
          <w:color w:val="000000"/>
        </w:rPr>
        <w:t xml:space="preserve"> acid and 15 mM AH111501 sodium salt</w:t>
      </w:r>
    </w:p>
    <w:p w14:paraId="56499F2B" w14:textId="77777777" w:rsidR="00330273" w:rsidRDefault="00330273" w:rsidP="0066698E">
      <w:pPr>
        <w:ind w:left="936" w:hanging="360"/>
        <w:jc w:val="both"/>
        <w:rPr>
          <w:rFonts w:ascii="Calibri" w:eastAsia="Times New Roman" w:hAnsi="Calibri" w:cs="Arial"/>
          <w:color w:val="000000"/>
        </w:rPr>
      </w:pPr>
      <w:r>
        <w:rPr>
          <w:rFonts w:ascii="Calibri" w:eastAsia="Times New Roman" w:hAnsi="Calibri" w:cs="Arial"/>
          <w:color w:val="000000"/>
        </w:rPr>
        <w:t>•       Sterile Water for Injection (WFI)</w:t>
      </w:r>
    </w:p>
    <w:p w14:paraId="616C26E3" w14:textId="77777777" w:rsidR="00330273" w:rsidRDefault="00330273" w:rsidP="0066698E">
      <w:pPr>
        <w:spacing w:after="120"/>
        <w:ind w:left="936" w:hanging="360"/>
        <w:jc w:val="both"/>
        <w:rPr>
          <w:rFonts w:ascii="Calibri" w:eastAsia="Times New Roman" w:hAnsi="Calibri" w:cs="Arial"/>
          <w:color w:val="000000"/>
        </w:rPr>
      </w:pPr>
      <w:r>
        <w:rPr>
          <w:rFonts w:ascii="Calibri" w:eastAsia="Times New Roman" w:hAnsi="Calibri" w:cs="Arial"/>
          <w:color w:val="000000"/>
        </w:rPr>
        <w:t>•       TRIS/EDTA buffer solution</w:t>
      </w:r>
    </w:p>
    <w:p w14:paraId="0D1CAC62" w14:textId="14808727" w:rsidR="00330273" w:rsidRDefault="00330273" w:rsidP="000F0872">
      <w:r>
        <w:t>Assembly of the parts and components and filling of the fluid path yields a Kit for the preparation of Hyperpolarized (</w:t>
      </w:r>
      <w:r>
        <w:rPr>
          <w:vertAlign w:val="superscript"/>
        </w:rPr>
        <w:t>13</w:t>
      </w:r>
      <w:r>
        <w:t xml:space="preserve">C) Injection. The Kit and the drug product are prepared at the clinical site according to local regulations. The </w:t>
      </w:r>
      <w:proofErr w:type="spellStart"/>
      <w:r>
        <w:t>SPINlab</w:t>
      </w:r>
      <w:r>
        <w:rPr>
          <w:vertAlign w:val="superscript"/>
        </w:rPr>
        <w:t>TM</w:t>
      </w:r>
      <w:proofErr w:type="spellEnd"/>
      <w:r>
        <w:t xml:space="preserve"> is located as close as feasible to the MRI imaging instrument.</w:t>
      </w:r>
    </w:p>
    <w:p w14:paraId="21CDA661" w14:textId="77777777" w:rsidR="000F0872" w:rsidRDefault="000F0872" w:rsidP="00B6436C"/>
    <w:p w14:paraId="200DDDE1" w14:textId="77113B7B" w:rsidR="00330273" w:rsidRDefault="00330273" w:rsidP="000F0872">
      <w:r>
        <w:t>At the time of the study, the cryovial part of the fluid path, which contains the mixture of [</w:t>
      </w:r>
      <w:r>
        <w:rPr>
          <w:vertAlign w:val="superscript"/>
        </w:rPr>
        <w:t>13</w:t>
      </w:r>
      <w:proofErr w:type="gramStart"/>
      <w:r>
        <w:t>C]pyruvic</w:t>
      </w:r>
      <w:proofErr w:type="gramEnd"/>
      <w:r>
        <w:t xml:space="preserve"> acid and 15 mM AH111501 sodium salt, is lowered into the polarizer of </w:t>
      </w:r>
      <w:proofErr w:type="spellStart"/>
      <w:r>
        <w:t>SPINlab</w:t>
      </w:r>
      <w:r>
        <w:rPr>
          <w:vertAlign w:val="superscript"/>
        </w:rPr>
        <w:t>TM</w:t>
      </w:r>
      <w:proofErr w:type="spellEnd"/>
      <w:r>
        <w:t xml:space="preserve"> and polarized for approximately 60 minutes at 1.2 K. After polarization, the </w:t>
      </w:r>
      <w:r w:rsidR="003675AE">
        <w:t>m</w:t>
      </w:r>
      <w:r>
        <w:t>ixture of [</w:t>
      </w:r>
      <w:r>
        <w:rPr>
          <w:vertAlign w:val="superscript"/>
        </w:rPr>
        <w:t>13</w:t>
      </w:r>
      <w:proofErr w:type="gramStart"/>
      <w:r>
        <w:t>C]pyruvic</w:t>
      </w:r>
      <w:proofErr w:type="gramEnd"/>
      <w:r>
        <w:t xml:space="preserve"> acid and 15 mM AH111501 sodium salt is flushed out of the cryovial with heated and pressurized sterile WFI into the tubing of the path and is passed through a coarse (40 µm average pore size) and a fine (13 µm average pore size) filter assembly made of a ultra-high molecular weight polyethylene (UHMWPE) for removal of AH111501.  The solution is then mixed with the TRIS/EDTA buffer solution contained in a receiver vessel. An aliquot of the buffered drug product solution is tested by the automated quality control instrument (QC System) of </w:t>
      </w:r>
      <w:proofErr w:type="spellStart"/>
      <w:r>
        <w:t>SPINlab</w:t>
      </w:r>
      <w:r>
        <w:rPr>
          <w:vertAlign w:val="superscript"/>
        </w:rPr>
        <w:t>TM</w:t>
      </w:r>
      <w:proofErr w:type="spellEnd"/>
      <w:r>
        <w:t xml:space="preserve"> and complemented by alternate tests if needed.  The drug product solution is then passed through a sterilizing filter (0.22 µm) before entering the syringe/drug product container. </w:t>
      </w:r>
      <w:r w:rsidR="00DB558F" w:rsidRPr="00DB558F">
        <w:t xml:space="preserve">In most cases, </w:t>
      </w:r>
      <w:proofErr w:type="gramStart"/>
      <w:r w:rsidR="00DB558F" w:rsidRPr="00DB558F">
        <w:t xml:space="preserve">the </w:t>
      </w:r>
      <w:r>
        <w:t xml:space="preserve"> sterilizing</w:t>
      </w:r>
      <w:proofErr w:type="gramEnd"/>
      <w:r>
        <w:t xml:space="preserve"> filter is tested for integrity </w:t>
      </w:r>
      <w:r w:rsidR="005F72EF">
        <w:t xml:space="preserve">by a </w:t>
      </w:r>
      <w:r>
        <w:t>subsequent bubble point test.  Based on the results from the testing, the final release authorization and approval for administration to humans will be given by appropriate personnel. Samples are further tested for sterility and endotoxin after drug product administration.</w:t>
      </w:r>
    </w:p>
    <w:p w14:paraId="69AA6449" w14:textId="77777777" w:rsidR="003C1DDC" w:rsidRDefault="003C1DDC" w:rsidP="00B6436C"/>
    <w:p w14:paraId="58C0D314" w14:textId="293FEBDA" w:rsidR="00582AAF" w:rsidRDefault="00582AAF" w:rsidP="00B6436C">
      <w:r w:rsidRPr="00582AAF">
        <w:t>A consensus view related to the production and quality control of [13C] pyruvate for MRI human studies was published by Peder Larson et al in Magnetic Resonance in Medicine titled “Current methods for hyperpolarized [1-13C] pyruvate MRI human studies.</w:t>
      </w:r>
    </w:p>
    <w:p w14:paraId="74F8D968" w14:textId="77777777" w:rsidR="00582AAF" w:rsidRDefault="00582AAF" w:rsidP="00B6436C"/>
    <w:p w14:paraId="4F05D602" w14:textId="4E30D220" w:rsidR="00330273" w:rsidRDefault="00330273" w:rsidP="000F0872">
      <w:r>
        <w:t>The T1 relaxation time (the time constant for the hyperpolarization decay) of [</w:t>
      </w:r>
      <w:r>
        <w:rPr>
          <w:vertAlign w:val="superscript"/>
        </w:rPr>
        <w:t>13</w:t>
      </w:r>
      <w:proofErr w:type="gramStart"/>
      <w:r>
        <w:t>C]pyruvate</w:t>
      </w:r>
      <w:proofErr w:type="gramEnd"/>
      <w:r>
        <w:t> after dissolution is about 70s.</w:t>
      </w:r>
    </w:p>
    <w:p w14:paraId="2DEFD954" w14:textId="77777777" w:rsidR="00330273" w:rsidRDefault="00330273" w:rsidP="00057626">
      <w:pPr>
        <w:pStyle w:val="Heading2"/>
        <w:spacing w:after="240"/>
        <w:rPr>
          <w:rFonts w:eastAsia="Times New Roman" w:cs="Times New Roman"/>
        </w:rPr>
      </w:pPr>
      <w:bookmarkStart w:id="40" w:name="_Toc34899956"/>
      <w:bookmarkStart w:id="41" w:name="_Toc33702485"/>
      <w:bookmarkStart w:id="42" w:name="_Toc176276919"/>
      <w:r>
        <w:t>4.2</w:t>
      </w:r>
      <w:r>
        <w:tab/>
        <w:t>Pharmaceutical properties and formulation</w:t>
      </w:r>
      <w:bookmarkEnd w:id="40"/>
      <w:bookmarkEnd w:id="41"/>
      <w:bookmarkEnd w:id="42"/>
    </w:p>
    <w:p w14:paraId="657133BF" w14:textId="40F89F89" w:rsidR="00330273" w:rsidRDefault="00330273" w:rsidP="000F0872">
      <w:r>
        <w:t xml:space="preserve">Hyperpolarized Pyruvate </w:t>
      </w:r>
      <w:r w:rsidR="00435251" w:rsidRPr="005F6CE7">
        <w:rPr>
          <w:vertAlign w:val="superscript"/>
        </w:rPr>
        <w:t>13</w:t>
      </w:r>
      <w:r w:rsidR="00435251">
        <w:t>C</w:t>
      </w:r>
      <w:r>
        <w:t>Injection is a sterile solution for intravenous administration.</w:t>
      </w:r>
      <w:r>
        <w:rPr>
          <w:w w:val="99"/>
        </w:rPr>
        <w:t xml:space="preserve"> </w:t>
      </w:r>
      <w:r>
        <w:t xml:space="preserve">The pH of the solution for injection is in the physiological range typically between pH 6.5 and 8.5, and the osmolality is ~500 </w:t>
      </w:r>
      <w:proofErr w:type="spellStart"/>
      <w:r>
        <w:t>mOsm</w:t>
      </w:r>
      <w:proofErr w:type="spellEnd"/>
      <w:r>
        <w:t xml:space="preserve">/kg. The solution for injection contains 250 </w:t>
      </w:r>
      <w:proofErr w:type="gramStart"/>
      <w:r>
        <w:t xml:space="preserve">mM </w:t>
      </w:r>
      <w:r w:rsidR="0076067A">
        <w:t xml:space="preserve"> [</w:t>
      </w:r>
      <w:proofErr w:type="gramEnd"/>
      <w:r w:rsidR="0076067A">
        <w:rPr>
          <w:vertAlign w:val="superscript"/>
        </w:rPr>
        <w:t>13</w:t>
      </w:r>
      <w:r w:rsidR="0076067A">
        <w:t>C]pyruvate </w:t>
      </w:r>
      <w:r>
        <w:t>, 100 mM TRIS, 0.1 mg/mL Na</w:t>
      </w:r>
      <w:r w:rsidRPr="005F6CE7">
        <w:rPr>
          <w:position w:val="-2"/>
          <w:vertAlign w:val="subscript"/>
        </w:rPr>
        <w:t>2</w:t>
      </w:r>
      <w:r>
        <w:t xml:space="preserve">EDTA and </w:t>
      </w:r>
      <w:r>
        <w:rPr>
          <w:rFonts w:eastAsia="Symbol" w:cs="Symbol"/>
        </w:rPr>
        <w:t xml:space="preserve">no more than </w:t>
      </w:r>
      <w:r>
        <w:t xml:space="preserve">3.0 </w:t>
      </w:r>
      <w:r w:rsidR="00070BCD">
        <w:rPr>
          <w:rFonts w:eastAsia="Symbol" w:cs="Symbol"/>
        </w:rPr>
        <w:t>µ</w:t>
      </w:r>
      <w:r>
        <w:t>M AH 111501.</w:t>
      </w:r>
    </w:p>
    <w:p w14:paraId="6739FC04" w14:textId="77777777" w:rsidR="00330273" w:rsidRDefault="00330273" w:rsidP="006B5FA0">
      <w:pPr>
        <w:pStyle w:val="Heading2"/>
        <w:rPr>
          <w:rFonts w:eastAsia="Times New Roman" w:cs="Times New Roman"/>
        </w:rPr>
      </w:pPr>
      <w:bookmarkStart w:id="43" w:name="_Toc34899957"/>
      <w:bookmarkStart w:id="44" w:name="_Toc33702486"/>
      <w:bookmarkStart w:id="45" w:name="_Toc176276920"/>
      <w:r>
        <w:t>4.3</w:t>
      </w:r>
      <w:r>
        <w:tab/>
        <w:t>Storage and use</w:t>
      </w:r>
      <w:bookmarkEnd w:id="43"/>
      <w:bookmarkEnd w:id="44"/>
      <w:bookmarkEnd w:id="45"/>
    </w:p>
    <w:p w14:paraId="36860EBA" w14:textId="6CED4C27" w:rsidR="00330273" w:rsidRDefault="00330273" w:rsidP="00444A25">
      <w:pPr>
        <w:keepNext/>
      </w:pPr>
      <w:r>
        <w:t>Due to the rapid, post-compounding decay of hyperpolarization, the Hyperpolarized Pyruvate</w:t>
      </w:r>
      <w:r>
        <w:rPr>
          <w:w w:val="99"/>
        </w:rPr>
        <w:t xml:space="preserve"> </w:t>
      </w:r>
      <w:r>
        <w:t>(</w:t>
      </w:r>
      <w:r>
        <w:rPr>
          <w:position w:val="11"/>
        </w:rPr>
        <w:t>13</w:t>
      </w:r>
      <w:r>
        <w:t xml:space="preserve">C) Injection should be administered to the subject who is to undergo MR imaging as soon as possible </w:t>
      </w:r>
      <w:r>
        <w:lastRenderedPageBreak/>
        <w:t>after compounding and quality control.</w:t>
      </w:r>
    </w:p>
    <w:p w14:paraId="668F75DE" w14:textId="77777777" w:rsidR="003C3D01" w:rsidRDefault="003C3D01" w:rsidP="0066698E"/>
    <w:p w14:paraId="3F22933D" w14:textId="33961F72" w:rsidR="00330273" w:rsidRDefault="00330273" w:rsidP="00B6436C">
      <w:pPr>
        <w:rPr>
          <w:rFonts w:asciiTheme="majorHAnsi" w:hAnsiTheme="majorHAnsi" w:cs="Arial"/>
          <w:sz w:val="24"/>
        </w:rPr>
      </w:pPr>
      <w:r>
        <w:t xml:space="preserve">The Kit </w:t>
      </w:r>
      <w:r>
        <w:rPr>
          <w:rFonts w:cs="Arial"/>
          <w:color w:val="000000"/>
        </w:rPr>
        <w:t>for the preparation of Hyperpolarized (</w:t>
      </w:r>
      <w:r>
        <w:rPr>
          <w:rFonts w:cs="Arial"/>
          <w:color w:val="000000"/>
          <w:vertAlign w:val="superscript"/>
        </w:rPr>
        <w:t>13</w:t>
      </w:r>
      <w:r>
        <w:rPr>
          <w:rFonts w:cs="Arial"/>
          <w:color w:val="000000"/>
        </w:rPr>
        <w:t>C) Injection can be assembled, filled and stored</w:t>
      </w:r>
      <w:r w:rsidR="00FC26BE">
        <w:rPr>
          <w:rFonts w:cs="Arial"/>
          <w:color w:val="000000"/>
        </w:rPr>
        <w:t>,</w:t>
      </w:r>
      <w:r>
        <w:rPr>
          <w:rFonts w:cs="Arial"/>
          <w:color w:val="000000"/>
        </w:rPr>
        <w:t xml:space="preserve"> typically at -20 </w:t>
      </w:r>
      <w:r>
        <w:rPr>
          <w:rFonts w:cs="Arial"/>
          <w:color w:val="000000"/>
          <w:u w:val="single"/>
        </w:rPr>
        <w:t>+</w:t>
      </w:r>
      <w:r>
        <w:rPr>
          <w:rFonts w:cs="Arial"/>
          <w:color w:val="000000"/>
        </w:rPr>
        <w:t xml:space="preserve"> 5 </w:t>
      </w:r>
      <w:proofErr w:type="spellStart"/>
      <w:r>
        <w:rPr>
          <w:rFonts w:cs="Arial"/>
          <w:color w:val="000000"/>
          <w:vertAlign w:val="superscript"/>
        </w:rPr>
        <w:t>o</w:t>
      </w:r>
      <w:r>
        <w:rPr>
          <w:rFonts w:cs="Arial"/>
          <w:color w:val="000000"/>
        </w:rPr>
        <w:t>C</w:t>
      </w:r>
      <w:proofErr w:type="spellEnd"/>
      <w:r>
        <w:rPr>
          <w:rFonts w:cs="Arial"/>
          <w:color w:val="000000"/>
        </w:rPr>
        <w:t>, based on additional supporting stability data.</w:t>
      </w:r>
    </w:p>
    <w:p w14:paraId="3FCE2FCA" w14:textId="77777777" w:rsidR="00DF3F58" w:rsidRPr="00C73849" w:rsidRDefault="00DF3F58">
      <w:pPr>
        <w:pStyle w:val="Heading2"/>
        <w:rPr>
          <w:rFonts w:ascii="Times New Roman"/>
        </w:rPr>
      </w:pPr>
      <w:bookmarkStart w:id="46" w:name="_bookmark6"/>
      <w:bookmarkEnd w:id="46"/>
      <w:r w:rsidRPr="00C73849">
        <w:br w:type="page"/>
      </w:r>
    </w:p>
    <w:p w14:paraId="640C2AF4" w14:textId="77777777" w:rsidR="00957F89" w:rsidRPr="008C49AB" w:rsidRDefault="00D92D87" w:rsidP="008D57ED">
      <w:pPr>
        <w:pStyle w:val="Heading1"/>
        <w:rPr>
          <w:color w:val="0070C0"/>
        </w:rPr>
      </w:pPr>
      <w:bookmarkStart w:id="47" w:name="_Toc436019021"/>
      <w:bookmarkStart w:id="48" w:name="_Toc34899958"/>
      <w:bookmarkStart w:id="49" w:name="_Toc33702487"/>
      <w:bookmarkStart w:id="50" w:name="_Toc176276921"/>
      <w:bookmarkEnd w:id="47"/>
      <w:r w:rsidRPr="00897F0F">
        <w:rPr>
          <w:color w:val="0070C0"/>
        </w:rPr>
        <w:lastRenderedPageBreak/>
        <w:t>NONCLINICAL STUDIES</w:t>
      </w:r>
      <w:bookmarkEnd w:id="48"/>
      <w:bookmarkEnd w:id="49"/>
      <w:bookmarkEnd w:id="50"/>
    </w:p>
    <w:p w14:paraId="41D8B2EC" w14:textId="77777777" w:rsidR="00957F89" w:rsidRPr="00C73849" w:rsidRDefault="00957F89">
      <w:pPr>
        <w:spacing w:before="1"/>
        <w:rPr>
          <w:rFonts w:ascii="Times New Roman" w:eastAsia="Times New Roman" w:hAnsi="Times New Roman" w:cs="Times New Roman"/>
          <w:b/>
          <w:bCs/>
          <w:sz w:val="24"/>
          <w:szCs w:val="24"/>
        </w:rPr>
      </w:pPr>
    </w:p>
    <w:p w14:paraId="3154F13C" w14:textId="77777777" w:rsidR="00957F89" w:rsidRPr="00C73849" w:rsidRDefault="00D92D87">
      <w:pPr>
        <w:pStyle w:val="BodyText"/>
        <w:ind w:right="151"/>
      </w:pPr>
      <w:r w:rsidRPr="00C73849">
        <w:t>A range of nonclinical studies has been undertaken as part of the development program which</w:t>
      </w:r>
      <w:r w:rsidRPr="00C73849">
        <w:rPr>
          <w:w w:val="99"/>
        </w:rPr>
        <w:t xml:space="preserve"> </w:t>
      </w:r>
      <w:r w:rsidRPr="00C73849">
        <w:t xml:space="preserve">was designed to support the planned early clinical studies. </w:t>
      </w:r>
      <w:r w:rsidR="001C0F54" w:rsidRPr="00C73849">
        <w:t>These studies used non-C-13 enriched pyruvate and impurities, [1-</w:t>
      </w:r>
      <w:r w:rsidR="001C0F54" w:rsidRPr="00C73849">
        <w:rPr>
          <w:position w:val="11"/>
          <w:sz w:val="16"/>
        </w:rPr>
        <w:t>13</w:t>
      </w:r>
      <w:proofErr w:type="gramStart"/>
      <w:r w:rsidR="001C0F54" w:rsidRPr="00C73849">
        <w:t>C]pyruvate</w:t>
      </w:r>
      <w:proofErr w:type="gramEnd"/>
      <w:r w:rsidR="001C0F54" w:rsidRPr="00C73849">
        <w:t xml:space="preserve"> , hyperpolarized [1-</w:t>
      </w:r>
      <w:r w:rsidR="001C0F54" w:rsidRPr="00C73849">
        <w:rPr>
          <w:position w:val="11"/>
          <w:sz w:val="16"/>
        </w:rPr>
        <w:t>13</w:t>
      </w:r>
      <w:r w:rsidR="001C0F54" w:rsidRPr="00C73849">
        <w:t>C]pyruvate , and [1-</w:t>
      </w:r>
      <w:r w:rsidR="001C0F54" w:rsidRPr="00C73849">
        <w:rPr>
          <w:position w:val="11"/>
          <w:sz w:val="16"/>
        </w:rPr>
        <w:t>14</w:t>
      </w:r>
      <w:r w:rsidR="001C0F54" w:rsidRPr="00C73849">
        <w:t xml:space="preserve">C]pyruvate, as appropriate. </w:t>
      </w:r>
      <w:r w:rsidRPr="00C73849">
        <w:t>The program comprised:</w:t>
      </w:r>
    </w:p>
    <w:p w14:paraId="22B75B0C" w14:textId="77777777" w:rsidR="00957F89" w:rsidRPr="00C73849" w:rsidRDefault="00957F89">
      <w:pPr>
        <w:spacing w:before="7"/>
        <w:rPr>
          <w:rFonts w:ascii="Times New Roman" w:eastAsia="Times New Roman" w:hAnsi="Times New Roman" w:cs="Times New Roman"/>
        </w:rPr>
      </w:pPr>
    </w:p>
    <w:p w14:paraId="6F2CA370" w14:textId="77777777" w:rsidR="00957F89" w:rsidRPr="00C73849" w:rsidRDefault="00D92D87" w:rsidP="00F670E8">
      <w:pPr>
        <w:pStyle w:val="BodyText"/>
        <w:numPr>
          <w:ilvl w:val="0"/>
          <w:numId w:val="4"/>
        </w:numPr>
        <w:tabs>
          <w:tab w:val="left" w:pos="863"/>
        </w:tabs>
        <w:spacing w:line="302" w:lineRule="exact"/>
      </w:pPr>
      <w:r w:rsidRPr="00C73849">
        <w:t>A pharmacodynamic study in the healthy dog using hyperpolarized [1-</w:t>
      </w:r>
      <w:r w:rsidRPr="00C73849">
        <w:rPr>
          <w:position w:val="11"/>
          <w:sz w:val="16"/>
        </w:rPr>
        <w:t>13</w:t>
      </w:r>
      <w:proofErr w:type="gramStart"/>
      <w:r w:rsidRPr="00C73849">
        <w:t>C]pyruvate</w:t>
      </w:r>
      <w:proofErr w:type="gramEnd"/>
      <w:r w:rsidRPr="00C73849">
        <w:t>.</w:t>
      </w:r>
    </w:p>
    <w:p w14:paraId="1E86F5DA" w14:textId="77777777" w:rsidR="00957F89" w:rsidRPr="00C73849" w:rsidRDefault="00D92D87" w:rsidP="00F670E8">
      <w:pPr>
        <w:pStyle w:val="BodyText"/>
        <w:numPr>
          <w:ilvl w:val="0"/>
          <w:numId w:val="4"/>
        </w:numPr>
        <w:tabs>
          <w:tab w:val="left" w:pos="863"/>
        </w:tabs>
        <w:spacing w:before="30" w:line="274" w:lineRule="exact"/>
        <w:ind w:right="840"/>
      </w:pPr>
      <w:r w:rsidRPr="00C73849">
        <w:t>Two biodistribution studies in rats using [1-</w:t>
      </w:r>
      <w:r w:rsidRPr="00C73849">
        <w:rPr>
          <w:position w:val="11"/>
          <w:sz w:val="16"/>
        </w:rPr>
        <w:t>13</w:t>
      </w:r>
      <w:proofErr w:type="gramStart"/>
      <w:r w:rsidRPr="00C73849">
        <w:t>C]pyruvate</w:t>
      </w:r>
      <w:proofErr w:type="gramEnd"/>
      <w:r w:rsidRPr="00C73849">
        <w:t xml:space="preserve"> test articles spiked with</w:t>
      </w:r>
      <w:r w:rsidRPr="00C73849">
        <w:rPr>
          <w:w w:val="99"/>
        </w:rPr>
        <w:t xml:space="preserve"> </w:t>
      </w:r>
      <w:r w:rsidRPr="00C73849">
        <w:t>[1-</w:t>
      </w:r>
      <w:r w:rsidRPr="00C73849">
        <w:rPr>
          <w:position w:val="11"/>
          <w:sz w:val="16"/>
        </w:rPr>
        <w:t>14</w:t>
      </w:r>
      <w:r w:rsidRPr="00C73849">
        <w:t>C]pyruvate.</w:t>
      </w:r>
    </w:p>
    <w:p w14:paraId="3A9270E8" w14:textId="77777777" w:rsidR="00957F89" w:rsidRPr="00C73849" w:rsidRDefault="00D92D87" w:rsidP="00F670E8">
      <w:pPr>
        <w:pStyle w:val="BodyText"/>
        <w:numPr>
          <w:ilvl w:val="0"/>
          <w:numId w:val="4"/>
        </w:numPr>
        <w:tabs>
          <w:tab w:val="left" w:pos="863"/>
        </w:tabs>
        <w:spacing w:before="10" w:line="228" w:lineRule="auto"/>
        <w:ind w:right="352"/>
      </w:pPr>
      <w:r w:rsidRPr="00C73849">
        <w:t xml:space="preserve">Safety pharmacology studies assessing effects on 1) the </w:t>
      </w:r>
      <w:proofErr w:type="spellStart"/>
      <w:r w:rsidRPr="00C73849">
        <w:t>hERG</w:t>
      </w:r>
      <w:proofErr w:type="spellEnd"/>
      <w:r w:rsidRPr="00C73849">
        <w:t xml:space="preserve"> channel, 2) the</w:t>
      </w:r>
      <w:r w:rsidRPr="00C73849">
        <w:rPr>
          <w:w w:val="99"/>
        </w:rPr>
        <w:t xml:space="preserve"> </w:t>
      </w:r>
      <w:r w:rsidRPr="00C73849">
        <w:t>cardiovascular system in the conscious and anesthetized dog, 3) CNS in the conscious</w:t>
      </w:r>
      <w:r w:rsidRPr="00C73849">
        <w:rPr>
          <w:w w:val="99"/>
        </w:rPr>
        <w:t xml:space="preserve"> </w:t>
      </w:r>
      <w:r w:rsidRPr="00C73849">
        <w:t xml:space="preserve">rat and dog, and 4) the respiratory system in the conscious dog. In these </w:t>
      </w:r>
      <w:r w:rsidR="00894DCF" w:rsidRPr="00C73849">
        <w:t>studies,</w:t>
      </w:r>
      <w:r w:rsidRPr="00C73849">
        <w:t xml:space="preserve"> two [1-</w:t>
      </w:r>
      <w:r w:rsidRPr="00C73849">
        <w:rPr>
          <w:position w:val="11"/>
          <w:sz w:val="16"/>
        </w:rPr>
        <w:t>13</w:t>
      </w:r>
      <w:proofErr w:type="gramStart"/>
      <w:r w:rsidRPr="00C73849">
        <w:t>C]pyruvate</w:t>
      </w:r>
      <w:proofErr w:type="gramEnd"/>
      <w:r w:rsidRPr="00C73849">
        <w:t xml:space="preserve"> test articles and various pyruvate test articles were used.</w:t>
      </w:r>
    </w:p>
    <w:p w14:paraId="1F023D6A" w14:textId="77777777" w:rsidR="00957F89" w:rsidRPr="00C73849" w:rsidRDefault="00D92D87" w:rsidP="00F670E8">
      <w:pPr>
        <w:pStyle w:val="BodyText"/>
        <w:numPr>
          <w:ilvl w:val="0"/>
          <w:numId w:val="4"/>
        </w:numPr>
        <w:tabs>
          <w:tab w:val="left" w:pos="863"/>
        </w:tabs>
        <w:spacing w:before="17" w:line="224" w:lineRule="auto"/>
        <w:ind w:right="248"/>
      </w:pPr>
      <w:r w:rsidRPr="00C73849">
        <w:t>Toxicology studies including 1) expanded acute toxicity in the rat and dog, 2) studies of genetic toxicology (</w:t>
      </w:r>
      <w:r w:rsidRPr="00C73849">
        <w:rPr>
          <w:i/>
        </w:rPr>
        <w:t xml:space="preserve">in vitro </w:t>
      </w:r>
      <w:r w:rsidRPr="00C73849">
        <w:t xml:space="preserve">and </w:t>
      </w:r>
      <w:r w:rsidRPr="00C73849">
        <w:rPr>
          <w:i/>
        </w:rPr>
        <w:t>in vivo</w:t>
      </w:r>
      <w:r w:rsidRPr="00C73849">
        <w:t>) using [1-</w:t>
      </w:r>
      <w:r w:rsidRPr="00C73849">
        <w:rPr>
          <w:position w:val="11"/>
          <w:sz w:val="16"/>
        </w:rPr>
        <w:t>13</w:t>
      </w:r>
      <w:proofErr w:type="gramStart"/>
      <w:r w:rsidRPr="00C73849">
        <w:t>C]pyruvate</w:t>
      </w:r>
      <w:proofErr w:type="gramEnd"/>
      <w:r w:rsidRPr="00C73849">
        <w:t xml:space="preserve"> test articles, and 3) a</w:t>
      </w:r>
      <w:r w:rsidRPr="00C73849">
        <w:rPr>
          <w:w w:val="99"/>
        </w:rPr>
        <w:t xml:space="preserve"> </w:t>
      </w:r>
      <w:r w:rsidRPr="00C73849">
        <w:t>study of local tolerance using a pyruvate test article</w:t>
      </w:r>
    </w:p>
    <w:p w14:paraId="33FAC9C6" w14:textId="77777777" w:rsidR="00957F89" w:rsidRPr="00C73849" w:rsidRDefault="00D92D87" w:rsidP="00F670E8">
      <w:pPr>
        <w:pStyle w:val="BodyText"/>
        <w:numPr>
          <w:ilvl w:val="0"/>
          <w:numId w:val="4"/>
        </w:numPr>
        <w:tabs>
          <w:tab w:val="left" w:pos="863"/>
        </w:tabs>
        <w:spacing w:before="6" w:line="239" w:lineRule="auto"/>
        <w:ind w:right="311"/>
      </w:pPr>
      <w:r w:rsidRPr="00C73849">
        <w:t>Qualification studies of the three potential impurities: AH112623 (</w:t>
      </w:r>
      <w:proofErr w:type="spellStart"/>
      <w:r w:rsidRPr="00C73849">
        <w:t>parapyruvate</w:t>
      </w:r>
      <w:proofErr w:type="spellEnd"/>
      <w:r w:rsidRPr="00C73849">
        <w:t>),</w:t>
      </w:r>
      <w:r w:rsidRPr="00C73849">
        <w:rPr>
          <w:w w:val="99"/>
        </w:rPr>
        <w:t xml:space="preserve"> </w:t>
      </w:r>
      <w:r w:rsidRPr="00C73849">
        <w:t>AH112615 (reaction-product of pyruvic acid and TRIS) and AH113462 (lactone). The</w:t>
      </w:r>
      <w:r w:rsidRPr="00C73849">
        <w:rPr>
          <w:w w:val="99"/>
        </w:rPr>
        <w:t xml:space="preserve"> </w:t>
      </w:r>
      <w:r w:rsidRPr="00C73849">
        <w:t>studies include 1) expanded acute toxicity in the rat, and 2) studies of genetic</w:t>
      </w:r>
      <w:r w:rsidRPr="00C73849">
        <w:rPr>
          <w:w w:val="99"/>
        </w:rPr>
        <w:t xml:space="preserve"> </w:t>
      </w:r>
      <w:r w:rsidRPr="00C73849">
        <w:t>toxicology (</w:t>
      </w:r>
      <w:r w:rsidRPr="00C73849">
        <w:rPr>
          <w:i/>
        </w:rPr>
        <w:t xml:space="preserve">in vitro </w:t>
      </w:r>
      <w:r w:rsidRPr="00C73849">
        <w:t xml:space="preserve">and </w:t>
      </w:r>
      <w:r w:rsidRPr="00C73849">
        <w:rPr>
          <w:i/>
        </w:rPr>
        <w:t>in vivo</w:t>
      </w:r>
      <w:r w:rsidRPr="00C73849">
        <w:t>)</w:t>
      </w:r>
    </w:p>
    <w:p w14:paraId="371B8899" w14:textId="77777777" w:rsidR="00957F89" w:rsidRPr="00C73849" w:rsidRDefault="00D92D87" w:rsidP="00F670E8">
      <w:pPr>
        <w:pStyle w:val="BodyText"/>
        <w:numPr>
          <w:ilvl w:val="0"/>
          <w:numId w:val="4"/>
        </w:numPr>
        <w:tabs>
          <w:tab w:val="left" w:pos="863"/>
        </w:tabs>
        <w:spacing w:before="2" w:line="274" w:lineRule="exact"/>
      </w:pPr>
      <w:r w:rsidRPr="00C73849">
        <w:t xml:space="preserve">Studies of the novel ingredient AH111501 including 1) the </w:t>
      </w:r>
      <w:proofErr w:type="spellStart"/>
      <w:r w:rsidRPr="00C73849">
        <w:t>hERG</w:t>
      </w:r>
      <w:proofErr w:type="spellEnd"/>
      <w:r w:rsidRPr="00C73849">
        <w:t xml:space="preserve"> assay and 2) </w:t>
      </w:r>
      <w:r w:rsidRPr="00081C11">
        <w:rPr>
          <w:i/>
        </w:rPr>
        <w:t>in vitro</w:t>
      </w:r>
      <w:r w:rsidR="00081C11" w:rsidRPr="00081C11">
        <w:rPr>
          <w:i/>
        </w:rPr>
        <w:t xml:space="preserve"> </w:t>
      </w:r>
      <w:r w:rsidRPr="00C73849">
        <w:t>genetic toxicology.</w:t>
      </w:r>
    </w:p>
    <w:p w14:paraId="36541CFD" w14:textId="77777777" w:rsidR="00957F89" w:rsidRPr="00C73849" w:rsidRDefault="00957F89">
      <w:pPr>
        <w:spacing w:before="11"/>
        <w:rPr>
          <w:rFonts w:ascii="Times New Roman" w:eastAsia="Times New Roman" w:hAnsi="Times New Roman" w:cs="Times New Roman"/>
          <w:sz w:val="20"/>
          <w:szCs w:val="20"/>
        </w:rPr>
      </w:pPr>
    </w:p>
    <w:p w14:paraId="53E8F3B8" w14:textId="77777777" w:rsidR="00957F89" w:rsidRPr="00C73849" w:rsidRDefault="00D92D87">
      <w:pPr>
        <w:pStyle w:val="BodyText"/>
        <w:ind w:right="311"/>
      </w:pPr>
      <w:r w:rsidRPr="00C73849">
        <w:t>[</w:t>
      </w:r>
      <w:r w:rsidRPr="00C73849">
        <w:rPr>
          <w:position w:val="11"/>
          <w:sz w:val="16"/>
        </w:rPr>
        <w:t>13</w:t>
      </w:r>
      <w:proofErr w:type="gramStart"/>
      <w:r w:rsidRPr="00C73849">
        <w:t>C]pyruvate</w:t>
      </w:r>
      <w:proofErr w:type="gramEnd"/>
      <w:r w:rsidRPr="00C73849">
        <w:t xml:space="preserve"> and pyruvate have the same chemical characteristics and will therefore have</w:t>
      </w:r>
      <w:r w:rsidRPr="00C73849">
        <w:rPr>
          <w:w w:val="99"/>
        </w:rPr>
        <w:t xml:space="preserve"> </w:t>
      </w:r>
      <w:r w:rsidRPr="00C73849">
        <w:t>the same safety profile, as the impurity profiles of the test articles are similar.</w:t>
      </w:r>
    </w:p>
    <w:p w14:paraId="2ADAC392" w14:textId="77777777" w:rsidR="00957F89" w:rsidRPr="00C73849" w:rsidRDefault="00957F89">
      <w:pPr>
        <w:spacing w:before="3"/>
        <w:rPr>
          <w:rFonts w:ascii="Times New Roman" w:eastAsia="Times New Roman" w:hAnsi="Times New Roman" w:cs="Times New Roman"/>
          <w:sz w:val="24"/>
          <w:szCs w:val="24"/>
        </w:rPr>
      </w:pPr>
    </w:p>
    <w:p w14:paraId="258D76D5" w14:textId="77777777" w:rsidR="00957F89" w:rsidRPr="00C73849" w:rsidRDefault="00D92D87">
      <w:pPr>
        <w:pStyle w:val="BodyText"/>
        <w:spacing w:line="276" w:lineRule="exact"/>
        <w:ind w:right="311"/>
      </w:pPr>
      <w:r w:rsidRPr="00C73849">
        <w:t>In one of the pharmacokinetic studies and in all GLP safety pharmacology and toxicology</w:t>
      </w:r>
      <w:r w:rsidRPr="00C73849">
        <w:rPr>
          <w:w w:val="99"/>
        </w:rPr>
        <w:t xml:space="preserve"> </w:t>
      </w:r>
      <w:r w:rsidRPr="00C73849">
        <w:t>studies the pyruvate or [1-</w:t>
      </w:r>
      <w:r w:rsidRPr="00C73849">
        <w:rPr>
          <w:position w:val="11"/>
          <w:sz w:val="16"/>
        </w:rPr>
        <w:t>13</w:t>
      </w:r>
      <w:proofErr w:type="gramStart"/>
      <w:r w:rsidRPr="00C73849">
        <w:t>C]pyruvate</w:t>
      </w:r>
      <w:proofErr w:type="gramEnd"/>
      <w:r w:rsidRPr="00C73849">
        <w:t xml:space="preserve"> test articles contained AH111501.</w:t>
      </w:r>
    </w:p>
    <w:p w14:paraId="3F148519" w14:textId="77777777" w:rsidR="00957F89" w:rsidRPr="00C73849" w:rsidRDefault="00957F89">
      <w:pPr>
        <w:spacing w:before="9"/>
        <w:rPr>
          <w:rFonts w:ascii="Times New Roman" w:eastAsia="Times New Roman" w:hAnsi="Times New Roman" w:cs="Times New Roman"/>
          <w:sz w:val="23"/>
          <w:szCs w:val="23"/>
        </w:rPr>
      </w:pPr>
    </w:p>
    <w:p w14:paraId="1142E102" w14:textId="77777777" w:rsidR="00400BC4" w:rsidRDefault="00400BC4" w:rsidP="00400BC4">
      <w:pPr>
        <w:rPr>
          <w:rFonts w:eastAsia="Times New Roman"/>
        </w:rPr>
      </w:pPr>
      <w:r>
        <w:rPr>
          <w:rFonts w:ascii="Calibri" w:eastAsia="Times New Roman" w:hAnsi="Calibri" w:cs="Calibri"/>
        </w:rPr>
        <w:t xml:space="preserve">The injection dose is 0.43 mL/kg of a drug product test article having a pyruvate concentration between 220 and 280 mM, no more than 3.0 </w:t>
      </w:r>
      <w:r w:rsidR="003232DF">
        <w:rPr>
          <w:rFonts w:ascii="Calibri" w:eastAsia="Times New Roman" w:hAnsi="Calibri" w:cs="Calibri"/>
        </w:rPr>
        <w:t>µ</w:t>
      </w:r>
      <w:r>
        <w:rPr>
          <w:rFonts w:ascii="Calibri" w:eastAsia="Times New Roman" w:hAnsi="Calibri" w:cs="Calibri"/>
        </w:rPr>
        <w:t>M residual AH 111501 and in a TRIS/EDTA buffer of pH 6.7 to 8.0. The recommended clinical injection rate is 5 mL/s.</w:t>
      </w:r>
    </w:p>
    <w:p w14:paraId="4DBEC3CC" w14:textId="77777777" w:rsidR="00957F89" w:rsidRPr="00C73849" w:rsidRDefault="00A36C6D">
      <w:pPr>
        <w:pStyle w:val="Heading2"/>
        <w:rPr>
          <w:rFonts w:eastAsia="Times New Roman" w:cs="Times New Roman"/>
          <w:szCs w:val="28"/>
        </w:rPr>
      </w:pPr>
      <w:bookmarkStart w:id="51" w:name="_Toc34899959"/>
      <w:bookmarkStart w:id="52" w:name="_Toc33702488"/>
      <w:bookmarkStart w:id="53" w:name="_Toc176276922"/>
      <w:r w:rsidRPr="00C73849">
        <w:t xml:space="preserve">5.1 </w:t>
      </w:r>
      <w:r w:rsidR="00D92D87" w:rsidRPr="00C73849">
        <w:t>Nonclinical Pharmacology</w:t>
      </w:r>
      <w:bookmarkEnd w:id="51"/>
      <w:bookmarkEnd w:id="52"/>
      <w:bookmarkEnd w:id="53"/>
    </w:p>
    <w:p w14:paraId="2A6A3A2F" w14:textId="77777777" w:rsidR="00957F89" w:rsidRPr="00C73849" w:rsidRDefault="00A36C6D" w:rsidP="005D3932">
      <w:pPr>
        <w:pStyle w:val="Heading3"/>
        <w:rPr>
          <w:rFonts w:eastAsia="Times New Roman" w:hAnsi="Times New Roman" w:cs="Times New Roman"/>
          <w:szCs w:val="24"/>
        </w:rPr>
      </w:pPr>
      <w:bookmarkStart w:id="54" w:name="_Toc34899960"/>
      <w:bookmarkStart w:id="55" w:name="_Toc33702489"/>
      <w:bookmarkStart w:id="56" w:name="_Toc176276923"/>
      <w:r w:rsidRPr="00C73849">
        <w:t>5.1.1</w:t>
      </w:r>
      <w:r w:rsidR="00F20B04">
        <w:tab/>
      </w:r>
      <w:r w:rsidR="00D92D87" w:rsidRPr="00C73849">
        <w:t>Pharmacodynamics</w:t>
      </w:r>
      <w:bookmarkEnd w:id="54"/>
      <w:bookmarkEnd w:id="55"/>
      <w:bookmarkEnd w:id="56"/>
    </w:p>
    <w:p w14:paraId="4846E515" w14:textId="77777777" w:rsidR="00957F89" w:rsidRPr="00C73849" w:rsidRDefault="00A36C6D" w:rsidP="00F20B04">
      <w:pPr>
        <w:pStyle w:val="Heading4"/>
        <w:rPr>
          <w:rFonts w:eastAsia="Times New Roman" w:hAnsi="Times New Roman" w:cs="Times New Roman"/>
          <w:szCs w:val="24"/>
        </w:rPr>
      </w:pPr>
      <w:r w:rsidRPr="00C73849">
        <w:t>5.1.1.1</w:t>
      </w:r>
      <w:r w:rsidR="00F20B04">
        <w:tab/>
      </w:r>
      <w:r w:rsidR="00D92D87" w:rsidRPr="00C73849">
        <w:t>Brief Summary</w:t>
      </w:r>
    </w:p>
    <w:p w14:paraId="62CF1F75" w14:textId="17D2F755" w:rsidR="00957F89" w:rsidRPr="00C73849" w:rsidRDefault="00D92D87" w:rsidP="005D3932">
      <w:pPr>
        <w:pStyle w:val="BodyText"/>
      </w:pPr>
      <w:r w:rsidRPr="00C73849">
        <w:t>Intravenous administration of hyperpolarized [</w:t>
      </w:r>
      <w:r w:rsidRPr="00C73849">
        <w:rPr>
          <w:position w:val="11"/>
          <w:sz w:val="16"/>
        </w:rPr>
        <w:t>13</w:t>
      </w:r>
      <w:proofErr w:type="gramStart"/>
      <w:r w:rsidRPr="00C73849">
        <w:t>C]pyruvate</w:t>
      </w:r>
      <w:proofErr w:type="gramEnd"/>
      <w:r w:rsidRPr="00C73849">
        <w:t xml:space="preserve"> enables real-time detection of metabolism by magnetic resonance spectroscopic imaging (MRSI). The signal from a given</w:t>
      </w:r>
      <w:r w:rsidRPr="00C73849">
        <w:rPr>
          <w:w w:val="99"/>
        </w:rPr>
        <w:t xml:space="preserve"> </w:t>
      </w:r>
      <w:r w:rsidRPr="00C73849">
        <w:t>tissue depends on the dose administered, the perfusion of the tissue and the rate of formation of the metabolites</w:t>
      </w:r>
      <w:r w:rsidR="005F72EF">
        <w:t>.</w:t>
      </w:r>
      <w:r w:rsidRPr="00C73849">
        <w:t xml:space="preserve"> </w:t>
      </w:r>
      <w:r w:rsidR="005F72EF">
        <w:t>T</w:t>
      </w:r>
      <w:r w:rsidRPr="00C73849">
        <w:t>he relative levels of the metabolites depend on the energy needs of th</w:t>
      </w:r>
      <w:r w:rsidR="00AA7B76" w:rsidRPr="00C73849">
        <w:t>e</w:t>
      </w:r>
      <w:r w:rsidR="00C73849" w:rsidRPr="00C73849">
        <w:t xml:space="preserve"> </w:t>
      </w:r>
      <w:r w:rsidRPr="00C73849">
        <w:t>specific tissue. With this technique it is expected that cancers with a high metabolic rate can be</w:t>
      </w:r>
      <w:r w:rsidRPr="00C73849">
        <w:rPr>
          <w:w w:val="99"/>
        </w:rPr>
        <w:t xml:space="preserve"> </w:t>
      </w:r>
      <w:r w:rsidRPr="00C73849">
        <w:t>distinguished from surrounding healthy tissue by measuring the formation of [</w:t>
      </w:r>
      <w:r w:rsidRPr="00C73849">
        <w:rPr>
          <w:position w:val="11"/>
          <w:sz w:val="16"/>
        </w:rPr>
        <w:t>13</w:t>
      </w:r>
      <w:proofErr w:type="gramStart"/>
      <w:r w:rsidRPr="00C73849">
        <w:t>C]lactate</w:t>
      </w:r>
      <w:proofErr w:type="gramEnd"/>
      <w:r w:rsidRPr="00C73849">
        <w:t>.</w:t>
      </w:r>
    </w:p>
    <w:p w14:paraId="3EF6BA9F" w14:textId="77777777" w:rsidR="00957F89" w:rsidRPr="00C73849" w:rsidRDefault="00D92D87" w:rsidP="005D3932">
      <w:pPr>
        <w:pStyle w:val="BodyText"/>
        <w:spacing w:before="240" w:line="276" w:lineRule="exact"/>
        <w:ind w:right="212"/>
      </w:pPr>
      <w:r w:rsidRPr="00C73849">
        <w:t>Based on high-resolution magic angle spinning (HR-MAS) spectroscopic analysis of human</w:t>
      </w:r>
      <w:r w:rsidRPr="00C73849">
        <w:rPr>
          <w:w w:val="99"/>
        </w:rPr>
        <w:t xml:space="preserve"> </w:t>
      </w:r>
      <w:r w:rsidRPr="00C73849">
        <w:t>prostate tissue samples, it is expected that the overall glycolytic activity in prostate cancer is</w:t>
      </w:r>
      <w:r w:rsidRPr="00C73849">
        <w:rPr>
          <w:w w:val="99"/>
        </w:rPr>
        <w:t xml:space="preserve"> </w:t>
      </w:r>
      <w:r w:rsidRPr="00C73849">
        <w:t>sufficiently high when compared to healthy prostate tissue that this cancer can be detected by [</w:t>
      </w:r>
      <w:r w:rsidRPr="00C73849">
        <w:rPr>
          <w:position w:val="11"/>
          <w:sz w:val="16"/>
        </w:rPr>
        <w:t>13</w:t>
      </w:r>
      <w:proofErr w:type="gramStart"/>
      <w:r w:rsidRPr="00C73849">
        <w:t>C]pyruvate</w:t>
      </w:r>
      <w:proofErr w:type="gramEnd"/>
      <w:r w:rsidRPr="00C73849">
        <w:t xml:space="preserve"> </w:t>
      </w:r>
      <w:r w:rsidRPr="00C73849">
        <w:lastRenderedPageBreak/>
        <w:t xml:space="preserve">imaging. Nonclinical imaging studies in the transgenic adenocarcinoma of mouse prostate (TRAMP) mouse </w:t>
      </w:r>
      <w:proofErr w:type="gramStart"/>
      <w:r w:rsidRPr="00C73849">
        <w:t>support</w:t>
      </w:r>
      <w:proofErr w:type="gramEnd"/>
      <w:r w:rsidRPr="00C73849">
        <w:t xml:space="preserve"> this hypothesis. Studies in lymphoma-bearing mice</w:t>
      </w:r>
      <w:r w:rsidRPr="00C73849">
        <w:rPr>
          <w:w w:val="99"/>
        </w:rPr>
        <w:t xml:space="preserve"> </w:t>
      </w:r>
      <w:r w:rsidRPr="00C73849">
        <w:t>have demonstrated that the technique is sensitive, as it can detect changes in tumor metabolism</w:t>
      </w:r>
      <w:r w:rsidRPr="00C73849">
        <w:rPr>
          <w:w w:val="99"/>
        </w:rPr>
        <w:t xml:space="preserve"> </w:t>
      </w:r>
      <w:r w:rsidRPr="00C73849">
        <w:t>24 h after chemotherapy. Studies in healthy dogs indicate that the technique can be scaled for use in man.</w:t>
      </w:r>
    </w:p>
    <w:p w14:paraId="1A624DEA" w14:textId="77777777" w:rsidR="00957F89" w:rsidRPr="00C73849" w:rsidRDefault="00957F89" w:rsidP="005D3932">
      <w:pPr>
        <w:spacing w:before="7"/>
        <w:rPr>
          <w:rFonts w:ascii="Times New Roman" w:eastAsia="Times New Roman" w:hAnsi="Times New Roman" w:cs="Times New Roman"/>
          <w:sz w:val="20"/>
          <w:szCs w:val="20"/>
        </w:rPr>
      </w:pPr>
    </w:p>
    <w:p w14:paraId="4853CFEA" w14:textId="77777777" w:rsidR="00957F89" w:rsidRPr="00C73849" w:rsidRDefault="00D92D87" w:rsidP="005D3932">
      <w:pPr>
        <w:pStyle w:val="BodyText"/>
        <w:ind w:right="311"/>
      </w:pPr>
      <w:r w:rsidRPr="00C73849">
        <w:t>Safety studies of the cardiovascular effects of the hyperosmotic pyruvate test article in the</w:t>
      </w:r>
      <w:r w:rsidRPr="00C73849">
        <w:rPr>
          <w:w w:val="99"/>
        </w:rPr>
        <w:t xml:space="preserve"> </w:t>
      </w:r>
      <w:r w:rsidRPr="00C73849">
        <w:t>conscious and anesthetized dog demonstrated that the test article causes vasodilation in a dose- dependent manner followed by compensatory tachycardia and a slight increase in cardiac</w:t>
      </w:r>
      <w:r w:rsidRPr="00C73849">
        <w:rPr>
          <w:w w:val="99"/>
        </w:rPr>
        <w:t xml:space="preserve"> </w:t>
      </w:r>
      <w:r w:rsidRPr="00C73849">
        <w:t>output. The test article was found to have no measurable effect on the central nervous system</w:t>
      </w:r>
      <w:r w:rsidRPr="00C73849">
        <w:rPr>
          <w:w w:val="99"/>
        </w:rPr>
        <w:t xml:space="preserve"> </w:t>
      </w:r>
      <w:r w:rsidRPr="00C73849">
        <w:t>in the conscious rat and dog.</w:t>
      </w:r>
    </w:p>
    <w:p w14:paraId="525C2FE7" w14:textId="77777777" w:rsidR="00957F89" w:rsidRPr="00C73849" w:rsidRDefault="00957F89" w:rsidP="005D3932">
      <w:pPr>
        <w:spacing w:before="10"/>
        <w:rPr>
          <w:rFonts w:ascii="Times New Roman" w:eastAsia="Times New Roman" w:hAnsi="Times New Roman" w:cs="Times New Roman"/>
          <w:sz w:val="20"/>
          <w:szCs w:val="20"/>
        </w:rPr>
      </w:pPr>
    </w:p>
    <w:p w14:paraId="35A6A056" w14:textId="77777777" w:rsidR="00957F89" w:rsidRPr="00C73849" w:rsidRDefault="00D92D87" w:rsidP="005D3932">
      <w:pPr>
        <w:pStyle w:val="BodyText"/>
        <w:ind w:right="151"/>
      </w:pPr>
      <w:r w:rsidRPr="00C73849">
        <w:t>The core-battery of safety pharmacology studies was performed according to the ICH S7A and</w:t>
      </w:r>
      <w:r w:rsidRPr="00C73849">
        <w:rPr>
          <w:w w:val="99"/>
        </w:rPr>
        <w:t xml:space="preserve"> </w:t>
      </w:r>
      <w:r w:rsidRPr="00C73849">
        <w:t>S7B guidelines.</w:t>
      </w:r>
    </w:p>
    <w:p w14:paraId="5461E0E7" w14:textId="77777777" w:rsidR="00957F89" w:rsidRPr="00081C11" w:rsidRDefault="00957F89" w:rsidP="005D3932">
      <w:pPr>
        <w:spacing w:before="8"/>
      </w:pPr>
    </w:p>
    <w:p w14:paraId="49FDD9B4" w14:textId="77777777" w:rsidR="00957F89" w:rsidRPr="00C73849" w:rsidRDefault="00A36C6D" w:rsidP="00F20B04">
      <w:pPr>
        <w:pStyle w:val="Heading4"/>
      </w:pPr>
      <w:r w:rsidRPr="00C73849">
        <w:t>5.1.1.2</w:t>
      </w:r>
      <w:r w:rsidR="00F20B04">
        <w:tab/>
      </w:r>
      <w:r w:rsidR="00D92D87" w:rsidRPr="00C73849">
        <w:t>Primary Pharmacodynamics, Evaluation of Performance</w:t>
      </w:r>
    </w:p>
    <w:p w14:paraId="2A95BBCA" w14:textId="550C9FBE" w:rsidR="00957F89" w:rsidRPr="00C73849" w:rsidRDefault="00D92D87" w:rsidP="00F670E8">
      <w:pPr>
        <w:numPr>
          <w:ilvl w:val="4"/>
          <w:numId w:val="3"/>
        </w:numPr>
        <w:tabs>
          <w:tab w:val="left" w:pos="1223"/>
        </w:tabs>
        <w:spacing w:before="206"/>
        <w:ind w:right="562"/>
        <w:rPr>
          <w:rFonts w:ascii="Times New Roman" w:eastAsia="Times New Roman" w:hAnsi="Times New Roman" w:cs="Times New Roman"/>
          <w:b/>
          <w:bCs/>
          <w:sz w:val="24"/>
          <w:szCs w:val="24"/>
        </w:rPr>
      </w:pPr>
      <w:r w:rsidRPr="00C73849">
        <w:rPr>
          <w:rFonts w:ascii="Times New Roman" w:eastAsia="Times New Roman" w:hAnsi="Times New Roman" w:cs="Times New Roman"/>
          <w:b/>
          <w:bCs/>
          <w:sz w:val="24"/>
          <w:szCs w:val="24"/>
        </w:rPr>
        <w:t xml:space="preserve">Quantitative </w:t>
      </w:r>
      <w:r w:rsidR="005F72EF">
        <w:rPr>
          <w:rFonts w:ascii="Times New Roman" w:eastAsia="Times New Roman" w:hAnsi="Times New Roman" w:cs="Times New Roman"/>
          <w:b/>
          <w:bCs/>
          <w:sz w:val="24"/>
          <w:szCs w:val="24"/>
        </w:rPr>
        <w:t>A</w:t>
      </w:r>
      <w:r w:rsidRPr="00C73849">
        <w:rPr>
          <w:rFonts w:ascii="Times New Roman" w:eastAsia="Times New Roman" w:hAnsi="Times New Roman" w:cs="Times New Roman"/>
          <w:b/>
          <w:bCs/>
          <w:sz w:val="24"/>
          <w:szCs w:val="24"/>
        </w:rPr>
        <w:t xml:space="preserve">nalysis of </w:t>
      </w:r>
      <w:r w:rsidR="005F72EF">
        <w:rPr>
          <w:rFonts w:ascii="Times New Roman" w:eastAsia="Times New Roman" w:hAnsi="Times New Roman" w:cs="Times New Roman"/>
          <w:b/>
          <w:bCs/>
          <w:sz w:val="24"/>
          <w:szCs w:val="24"/>
        </w:rPr>
        <w:t>P</w:t>
      </w:r>
      <w:r w:rsidRPr="00C73849">
        <w:rPr>
          <w:rFonts w:ascii="Times New Roman" w:eastAsia="Times New Roman" w:hAnsi="Times New Roman" w:cs="Times New Roman"/>
          <w:b/>
          <w:bCs/>
          <w:sz w:val="24"/>
          <w:szCs w:val="24"/>
        </w:rPr>
        <w:t xml:space="preserve">rostate </w:t>
      </w:r>
      <w:r w:rsidR="005F72EF">
        <w:rPr>
          <w:rFonts w:ascii="Times New Roman" w:eastAsia="Times New Roman" w:hAnsi="Times New Roman" w:cs="Times New Roman"/>
          <w:b/>
          <w:bCs/>
          <w:sz w:val="24"/>
          <w:szCs w:val="24"/>
        </w:rPr>
        <w:t>M</w:t>
      </w:r>
      <w:r w:rsidRPr="00C73849">
        <w:rPr>
          <w:rFonts w:ascii="Times New Roman" w:eastAsia="Times New Roman" w:hAnsi="Times New Roman" w:cs="Times New Roman"/>
          <w:b/>
          <w:bCs/>
          <w:sz w:val="24"/>
          <w:szCs w:val="24"/>
        </w:rPr>
        <w:t xml:space="preserve">etabolites </w:t>
      </w:r>
      <w:r w:rsidR="005F72EF">
        <w:rPr>
          <w:rFonts w:ascii="Times New Roman" w:eastAsia="Times New Roman" w:hAnsi="Times New Roman" w:cs="Times New Roman"/>
          <w:b/>
          <w:bCs/>
          <w:sz w:val="24"/>
          <w:szCs w:val="24"/>
        </w:rPr>
        <w:t>U</w:t>
      </w:r>
      <w:r w:rsidRPr="00C73849">
        <w:rPr>
          <w:rFonts w:ascii="Times New Roman" w:eastAsia="Times New Roman" w:hAnsi="Times New Roman" w:cs="Times New Roman"/>
          <w:b/>
          <w:bCs/>
          <w:sz w:val="24"/>
          <w:szCs w:val="24"/>
        </w:rPr>
        <w:t xml:space="preserve">sing 1H HR-MAS </w:t>
      </w:r>
      <w:r w:rsidR="005F72EF">
        <w:rPr>
          <w:rFonts w:ascii="Times New Roman" w:eastAsia="Times New Roman" w:hAnsi="Times New Roman" w:cs="Times New Roman"/>
          <w:b/>
          <w:bCs/>
          <w:sz w:val="24"/>
          <w:szCs w:val="24"/>
        </w:rPr>
        <w:t>S</w:t>
      </w:r>
      <w:r w:rsidRPr="00C73849">
        <w:rPr>
          <w:rFonts w:ascii="Times New Roman" w:eastAsia="Times New Roman" w:hAnsi="Times New Roman" w:cs="Times New Roman"/>
          <w:b/>
          <w:bCs/>
          <w:sz w:val="24"/>
          <w:szCs w:val="24"/>
        </w:rPr>
        <w:t>pectroscopy [Swanson et al. 2006]</w:t>
      </w:r>
    </w:p>
    <w:p w14:paraId="4D51EF5A" w14:textId="77777777" w:rsidR="00957F89" w:rsidRPr="00C73849" w:rsidRDefault="00957F89" w:rsidP="005D3932">
      <w:pPr>
        <w:spacing w:before="5"/>
        <w:rPr>
          <w:rFonts w:ascii="Times New Roman" w:eastAsia="Times New Roman" w:hAnsi="Times New Roman" w:cs="Times New Roman"/>
          <w:b/>
          <w:bCs/>
          <w:sz w:val="20"/>
          <w:szCs w:val="20"/>
        </w:rPr>
      </w:pPr>
    </w:p>
    <w:p w14:paraId="5B5827A9" w14:textId="77777777" w:rsidR="00957F89" w:rsidRPr="00C73849" w:rsidRDefault="00D92D87" w:rsidP="005D3932">
      <w:pPr>
        <w:pStyle w:val="BodyText"/>
        <w:spacing w:line="239" w:lineRule="auto"/>
        <w:ind w:right="210"/>
      </w:pPr>
      <w:r w:rsidRPr="00C73849">
        <w:t>Samples of excised prostate were selected by visually aligning presurgical MRI/3D-MRSI data</w:t>
      </w:r>
      <w:r w:rsidRPr="00C73849">
        <w:rPr>
          <w:w w:val="99"/>
        </w:rPr>
        <w:t xml:space="preserve"> </w:t>
      </w:r>
      <w:r w:rsidRPr="00C73849">
        <w:t>with tissue sections to identify the section corresponding to the most metabolically and</w:t>
      </w:r>
      <w:r w:rsidRPr="00C73849">
        <w:rPr>
          <w:w w:val="99"/>
        </w:rPr>
        <w:t xml:space="preserve"> </w:t>
      </w:r>
      <w:r w:rsidRPr="00C73849">
        <w:t>anatomically abnormal region. One piece of tissue was then cut from this section, and another</w:t>
      </w:r>
      <w:r w:rsidRPr="00C73849">
        <w:rPr>
          <w:w w:val="99"/>
        </w:rPr>
        <w:t xml:space="preserve"> </w:t>
      </w:r>
      <w:r w:rsidRPr="00C73849">
        <w:t>was cut from a contralateral benign-appearing region. High-resolution magic angle spinning</w:t>
      </w:r>
      <w:r w:rsidRPr="00C73849">
        <w:rPr>
          <w:w w:val="99"/>
        </w:rPr>
        <w:t xml:space="preserve"> </w:t>
      </w:r>
      <w:r w:rsidRPr="00C73849">
        <w:t>(HR-MAS) spectroscopic analysis of 60 samples obtained from 20 patients demonstrated</w:t>
      </w:r>
      <w:r w:rsidRPr="00C73849">
        <w:rPr>
          <w:w w:val="99"/>
        </w:rPr>
        <w:t xml:space="preserve"> </w:t>
      </w:r>
      <w:r w:rsidRPr="00C73849">
        <w:t>significantly higher concentrations of lactate in prostate cancer tissues (70±27 mmol/kg) than healthy glandular (47±17 mmol/kg, p&lt;0.01) and stromal tissues (45±19 mmol/kg p&lt;0.01).</w:t>
      </w:r>
      <w:r w:rsidR="00C25857">
        <w:t xml:space="preserve"> </w:t>
      </w:r>
      <w:r w:rsidRPr="00C73849">
        <w:t>There was no measurable glucose in the tissues, suggesting the complete anaerobic conversion</w:t>
      </w:r>
      <w:r w:rsidRPr="00C73849">
        <w:rPr>
          <w:w w:val="99"/>
        </w:rPr>
        <w:t xml:space="preserve"> </w:t>
      </w:r>
      <w:r w:rsidRPr="00C73849">
        <w:t>of glucose to lactate and alanine during the surgical and tissue harvesting procedures.</w:t>
      </w:r>
    </w:p>
    <w:p w14:paraId="5FF661AC" w14:textId="77777777" w:rsidR="00957F89" w:rsidRPr="00C73849" w:rsidRDefault="00957F89" w:rsidP="005D3932">
      <w:pPr>
        <w:spacing w:before="3"/>
        <w:rPr>
          <w:rFonts w:ascii="Times New Roman" w:eastAsia="Times New Roman" w:hAnsi="Times New Roman" w:cs="Times New Roman"/>
          <w:sz w:val="21"/>
          <w:szCs w:val="21"/>
        </w:rPr>
      </w:pPr>
    </w:p>
    <w:p w14:paraId="0A0DF72D" w14:textId="77777777" w:rsidR="00957F89" w:rsidRPr="00C73849" w:rsidRDefault="00D92D87" w:rsidP="00F670E8">
      <w:pPr>
        <w:numPr>
          <w:ilvl w:val="4"/>
          <w:numId w:val="3"/>
        </w:numPr>
        <w:tabs>
          <w:tab w:val="left" w:pos="1223"/>
        </w:tabs>
        <w:spacing w:before="206"/>
        <w:ind w:right="562"/>
        <w:rPr>
          <w:rFonts w:ascii="Times New Roman" w:eastAsia="Times New Roman" w:hAnsi="Times New Roman" w:cs="Times New Roman"/>
          <w:b/>
          <w:bCs/>
          <w:sz w:val="24"/>
          <w:szCs w:val="24"/>
        </w:rPr>
      </w:pPr>
      <w:r w:rsidRPr="00C73849">
        <w:rPr>
          <w:rFonts w:ascii="Times New Roman" w:eastAsia="Times New Roman" w:hAnsi="Times New Roman" w:cs="Times New Roman"/>
          <w:b/>
          <w:bCs/>
          <w:sz w:val="24"/>
          <w:szCs w:val="24"/>
        </w:rPr>
        <w:t>Evaluation of Lactate and Alanine as Metabolic Biomarkers of Prostate Cancer Using 1H HR-MAS Spectroscopy of Biopsy Tissues [Tessem et al. 2008]</w:t>
      </w:r>
    </w:p>
    <w:p w14:paraId="54D03E35" w14:textId="77777777" w:rsidR="00957F89" w:rsidRPr="00C73849" w:rsidRDefault="00957F89" w:rsidP="005D3932">
      <w:pPr>
        <w:spacing w:before="5"/>
        <w:rPr>
          <w:rFonts w:ascii="Times New Roman" w:eastAsia="Times New Roman" w:hAnsi="Times New Roman" w:cs="Times New Roman"/>
          <w:b/>
          <w:bCs/>
          <w:sz w:val="20"/>
          <w:szCs w:val="20"/>
        </w:rPr>
      </w:pPr>
    </w:p>
    <w:p w14:paraId="53EF4E52" w14:textId="77777777" w:rsidR="00957F89" w:rsidRPr="00C73849" w:rsidRDefault="00D92D87" w:rsidP="005D3932">
      <w:pPr>
        <w:pStyle w:val="BodyText"/>
        <w:ind w:right="311"/>
      </w:pPr>
      <w:r w:rsidRPr="00C73849">
        <w:t>Samples of snap-frozen transrectal ultrasound (TRUS)-guided prostate biopsy tissues were</w:t>
      </w:r>
      <w:r w:rsidRPr="00C73849">
        <w:rPr>
          <w:w w:val="99"/>
        </w:rPr>
        <w:t xml:space="preserve"> </w:t>
      </w:r>
      <w:r w:rsidRPr="00C73849">
        <w:t>analyzed by HR-MAS spectroscopy for concentration of lactate. A total of 130 biopsies from</w:t>
      </w:r>
      <w:r w:rsidRPr="00C73849">
        <w:rPr>
          <w:w w:val="99"/>
        </w:rPr>
        <w:t xml:space="preserve"> </w:t>
      </w:r>
      <w:r w:rsidRPr="00C73849">
        <w:t>82 previously untreated patients were analyzed and out of these, 32 biopsies were considered</w:t>
      </w:r>
      <w:r w:rsidRPr="00C73849">
        <w:rPr>
          <w:w w:val="99"/>
        </w:rPr>
        <w:t xml:space="preserve"> </w:t>
      </w:r>
      <w:r w:rsidRPr="00C73849">
        <w:t>unusable due to spectral contamination from lipids and/or topical anesthetic based on both 1D and 2D spectral findings. Samples included in the study then underwent a complete pathologic</w:t>
      </w:r>
      <w:r w:rsidRPr="00C73849">
        <w:rPr>
          <w:w w:val="99"/>
        </w:rPr>
        <w:t xml:space="preserve"> </w:t>
      </w:r>
      <w:r w:rsidRPr="00C73849">
        <w:t>assessment of the core. Eighty-two of the biopsies were benign and 16 contained prostate</w:t>
      </w:r>
      <w:r w:rsidRPr="00C73849">
        <w:rPr>
          <w:w w:val="99"/>
        </w:rPr>
        <w:t xml:space="preserve"> </w:t>
      </w:r>
      <w:r w:rsidRPr="00C73849">
        <w:t>cancer. There was a highly significant increase in lactate concentrations (P &lt; 0.0001) in</w:t>
      </w:r>
      <w:r w:rsidRPr="00C73849">
        <w:rPr>
          <w:w w:val="99"/>
        </w:rPr>
        <w:t xml:space="preserve"> </w:t>
      </w:r>
      <w:r w:rsidRPr="00C73849">
        <w:t>prostate cancer vs. benign prostate biopsy tissues. The average lactate concentration was</w:t>
      </w:r>
      <w:r w:rsidR="00C25857">
        <w:t xml:space="preserve"> </w:t>
      </w:r>
      <w:r w:rsidRPr="00C73849">
        <w:t>1.59 ± 0.61 mmol/kg in cancer tissues (N = 16) and 0.61 ± 0.28 mmol/kg in benign tissues</w:t>
      </w:r>
      <w:r w:rsidR="00C25857">
        <w:t xml:space="preserve"> </w:t>
      </w:r>
      <w:r w:rsidRPr="00C73849">
        <w:t>(N = 82). Out of the 82 benign biopsies, only 15 samples had individual lactate concentrations</w:t>
      </w:r>
      <w:r w:rsidRPr="00C73849">
        <w:rPr>
          <w:w w:val="99"/>
        </w:rPr>
        <w:t xml:space="preserve"> </w:t>
      </w:r>
      <w:r w:rsidRPr="00C73849">
        <w:t>overlapping with the concentrations observed in malignant samples. The significant increase</w:t>
      </w:r>
      <w:r w:rsidRPr="00C73849">
        <w:rPr>
          <w:w w:val="99"/>
        </w:rPr>
        <w:t xml:space="preserve"> </w:t>
      </w:r>
      <w:r w:rsidRPr="00C73849">
        <w:t>in the concentration of lactate in biopsy samples containing as little as 5% cancer, and the</w:t>
      </w:r>
      <w:r w:rsidRPr="00C73849">
        <w:rPr>
          <w:w w:val="99"/>
        </w:rPr>
        <w:t xml:space="preserve"> </w:t>
      </w:r>
      <w:r w:rsidRPr="00C73849">
        <w:t>minimal overlap of lactate concentrations between benign and malignant biopsies suggest that</w:t>
      </w:r>
      <w:r w:rsidRPr="00C73849">
        <w:rPr>
          <w:w w:val="99"/>
        </w:rPr>
        <w:t xml:space="preserve"> </w:t>
      </w:r>
      <w:r w:rsidRPr="00C73849">
        <w:t xml:space="preserve">lactate will be a useful biomarker that could be utilized in hyperpolarized </w:t>
      </w:r>
      <w:r w:rsidRPr="00C73849">
        <w:rPr>
          <w:position w:val="11"/>
          <w:sz w:val="16"/>
        </w:rPr>
        <w:t>13</w:t>
      </w:r>
      <w:r w:rsidRPr="00C73849">
        <w:t>C MRSI staging exams of prostate cancer patients.</w:t>
      </w:r>
    </w:p>
    <w:p w14:paraId="1E9C7C2E" w14:textId="6059284B" w:rsidR="00957F89" w:rsidRPr="00B122EE" w:rsidRDefault="00D92D87" w:rsidP="00F670E8">
      <w:pPr>
        <w:keepNext/>
        <w:numPr>
          <w:ilvl w:val="4"/>
          <w:numId w:val="3"/>
        </w:numPr>
        <w:tabs>
          <w:tab w:val="left" w:pos="1223"/>
        </w:tabs>
        <w:spacing w:before="206"/>
        <w:ind w:right="562"/>
        <w:rPr>
          <w:rFonts w:ascii="Times New Roman" w:eastAsia="Times New Roman" w:hAnsi="Times New Roman" w:cs="Times New Roman"/>
          <w:sz w:val="24"/>
          <w:szCs w:val="24"/>
        </w:rPr>
      </w:pPr>
      <w:r w:rsidRPr="00B122EE">
        <w:rPr>
          <w:rFonts w:ascii="Times New Roman" w:eastAsia="Times New Roman" w:hAnsi="Times New Roman" w:cs="Times New Roman"/>
          <w:b/>
          <w:bCs/>
          <w:sz w:val="24"/>
          <w:szCs w:val="24"/>
        </w:rPr>
        <w:lastRenderedPageBreak/>
        <w:t xml:space="preserve">Hyperpolarized </w:t>
      </w:r>
      <w:r w:rsidRPr="00B122EE">
        <w:rPr>
          <w:rFonts w:ascii="Times New Roman" w:eastAsia="Times New Roman" w:hAnsi="Times New Roman" w:cs="Times New Roman"/>
          <w:b/>
          <w:bCs/>
          <w:position w:val="11"/>
          <w:sz w:val="16"/>
          <w:szCs w:val="16"/>
        </w:rPr>
        <w:t>13</w:t>
      </w:r>
      <w:r w:rsidRPr="00B122EE">
        <w:rPr>
          <w:rFonts w:ascii="Times New Roman" w:eastAsia="Times New Roman" w:hAnsi="Times New Roman" w:cs="Times New Roman"/>
          <w:b/>
          <w:bCs/>
          <w:sz w:val="24"/>
          <w:szCs w:val="24"/>
        </w:rPr>
        <w:t>C Lactate, Pyruvate, and Alanine – Non-Invasive Biomarkers for Prostate Cancer Detection and Grading [Albers et al. 2008]</w:t>
      </w:r>
    </w:p>
    <w:p w14:paraId="7454A2C3" w14:textId="77777777" w:rsidR="00957F89" w:rsidRPr="00C73849" w:rsidRDefault="00957F89" w:rsidP="005D3932">
      <w:pPr>
        <w:spacing w:before="5"/>
        <w:rPr>
          <w:rFonts w:ascii="Times New Roman" w:eastAsia="Times New Roman" w:hAnsi="Times New Roman" w:cs="Times New Roman"/>
          <w:b/>
          <w:bCs/>
          <w:sz w:val="20"/>
          <w:szCs w:val="20"/>
        </w:rPr>
      </w:pPr>
    </w:p>
    <w:p w14:paraId="6DF4F990" w14:textId="57BA09B5" w:rsidR="00957F89" w:rsidRPr="00C73849" w:rsidRDefault="00D92D87" w:rsidP="005D3932">
      <w:pPr>
        <w:pStyle w:val="BodyText"/>
        <w:ind w:right="311"/>
      </w:pPr>
      <w:r w:rsidRPr="00C73849">
        <w:t xml:space="preserve">Four TRAMP mice (21-28 </w:t>
      </w:r>
      <w:proofErr w:type="spellStart"/>
      <w:r w:rsidRPr="00C73849">
        <w:t>wks</w:t>
      </w:r>
      <w:proofErr w:type="spellEnd"/>
      <w:r w:rsidRPr="00C73849">
        <w:t xml:space="preserve"> of age) with tumors histologically classified as low grade and</w:t>
      </w:r>
      <w:r w:rsidRPr="00C73849">
        <w:rPr>
          <w:w w:val="99"/>
        </w:rPr>
        <w:t xml:space="preserve"> </w:t>
      </w:r>
      <w:r w:rsidRPr="00C73849">
        <w:t xml:space="preserve">three (27-40 </w:t>
      </w:r>
      <w:proofErr w:type="spellStart"/>
      <w:r w:rsidRPr="00C73849">
        <w:t>wks</w:t>
      </w:r>
      <w:proofErr w:type="spellEnd"/>
      <w:r w:rsidRPr="00C73849">
        <w:t xml:space="preserve"> of age) with high grade tumors and lymph node metastasis were imaged a</w:t>
      </w:r>
      <w:r w:rsidRPr="00C73849">
        <w:rPr>
          <w:w w:val="99"/>
        </w:rPr>
        <w:t xml:space="preserve"> </w:t>
      </w:r>
      <w:r w:rsidRPr="00C73849">
        <w:t>total of six and five times, respectively, following administration of hyperpolarized</w:t>
      </w:r>
      <w:r w:rsidR="00A36C6D" w:rsidRPr="00C73849">
        <w:t xml:space="preserve"> </w:t>
      </w:r>
      <w:r w:rsidRPr="00C73849">
        <w:t>[1-</w:t>
      </w:r>
      <w:r w:rsidRPr="00C73849">
        <w:rPr>
          <w:position w:val="11"/>
          <w:sz w:val="16"/>
        </w:rPr>
        <w:t>13</w:t>
      </w:r>
      <w:proofErr w:type="gramStart"/>
      <w:r w:rsidRPr="00C73849">
        <w:t>C]pyruvate</w:t>
      </w:r>
      <w:proofErr w:type="gramEnd"/>
      <w:r w:rsidRPr="00C73849">
        <w:t xml:space="preserve"> (28 µmol/mouse). In addition, five normal mice were imaged a total of seven times as part of the study. Within one week, the mice were </w:t>
      </w:r>
      <w:r w:rsidR="009926AA" w:rsidRPr="00C73849">
        <w:t>dissected,</w:t>
      </w:r>
      <w:r w:rsidRPr="00C73849">
        <w:t xml:space="preserve"> and the tumors were</w:t>
      </w:r>
      <w:r w:rsidRPr="00C73849">
        <w:rPr>
          <w:w w:val="99"/>
        </w:rPr>
        <w:t xml:space="preserve"> </w:t>
      </w:r>
      <w:r w:rsidRPr="00C73849">
        <w:t>histologically examined. The studies showed that mice with high grade or poorly differentiated</w:t>
      </w:r>
      <w:r w:rsidRPr="00C73849">
        <w:rPr>
          <w:w w:val="99"/>
        </w:rPr>
        <w:t xml:space="preserve"> </w:t>
      </w:r>
      <w:r w:rsidRPr="00C73849">
        <w:t>prostate cancer had higher levels of lactate and lower levels of pyruvate than mice with low grade or well differentiated prostate cancer (</w:t>
      </w:r>
      <w:r w:rsidR="0078540C">
        <w:rPr>
          <w:color w:val="0000FF"/>
          <w:u w:val="single" w:color="0000FF"/>
        </w:rPr>
        <w:fldChar w:fldCharType="begin"/>
      </w:r>
      <w:r w:rsidR="0078540C">
        <w:rPr>
          <w:color w:val="0000FF"/>
          <w:u w:val="single" w:color="0000FF"/>
        </w:rPr>
        <w:instrText xml:space="preserve"> REF _Ref502139888 \h </w:instrText>
      </w:r>
      <w:r w:rsidR="0078540C">
        <w:rPr>
          <w:color w:val="0000FF"/>
          <w:u w:val="single" w:color="0000FF"/>
        </w:rPr>
      </w:r>
      <w:r w:rsidR="0078540C">
        <w:rPr>
          <w:color w:val="0000FF"/>
          <w:u w:val="single" w:color="0000FF"/>
        </w:rPr>
        <w:fldChar w:fldCharType="separate"/>
      </w:r>
      <w:r w:rsidR="00B263AB">
        <w:t xml:space="preserve">Figure </w:t>
      </w:r>
      <w:r w:rsidR="00B263AB">
        <w:rPr>
          <w:noProof/>
        </w:rPr>
        <w:t>3</w:t>
      </w:r>
      <w:r w:rsidR="0078540C">
        <w:rPr>
          <w:color w:val="0000FF"/>
          <w:u w:val="single" w:color="0000FF"/>
        </w:rPr>
        <w:fldChar w:fldCharType="end"/>
      </w:r>
      <w:r w:rsidRPr="00C73849">
        <w:t>). This provides evidence for the concept</w:t>
      </w:r>
      <w:r w:rsidRPr="00C73849">
        <w:rPr>
          <w:w w:val="99"/>
        </w:rPr>
        <w:t xml:space="preserve"> </w:t>
      </w:r>
      <w:r w:rsidRPr="00C73849">
        <w:t>of using Hyperpolarized Pyruvate (</w:t>
      </w:r>
      <w:r w:rsidRPr="00C73849">
        <w:rPr>
          <w:position w:val="11"/>
          <w:sz w:val="16"/>
        </w:rPr>
        <w:t>13</w:t>
      </w:r>
      <w:r w:rsidRPr="00C73849">
        <w:t>C) Injection in humans to assess the grade of prostate</w:t>
      </w:r>
      <w:r w:rsidRPr="00C73849">
        <w:rPr>
          <w:w w:val="99"/>
        </w:rPr>
        <w:t xml:space="preserve"> </w:t>
      </w:r>
      <w:r w:rsidRPr="00C73849">
        <w:t>cancer.</w:t>
      </w:r>
    </w:p>
    <w:p w14:paraId="6A170AB6" w14:textId="77777777" w:rsidR="00957F89" w:rsidRPr="00C73849" w:rsidRDefault="00957F89" w:rsidP="005D3932">
      <w:pPr>
        <w:spacing w:before="5"/>
        <w:rPr>
          <w:rFonts w:ascii="Times New Roman" w:eastAsia="Times New Roman" w:hAnsi="Times New Roman" w:cs="Times New Roman"/>
          <w:sz w:val="31"/>
          <w:szCs w:val="31"/>
        </w:rPr>
      </w:pPr>
    </w:p>
    <w:p w14:paraId="1102DCA2" w14:textId="77777777" w:rsidR="00957F89" w:rsidRPr="00C73849" w:rsidRDefault="00957F89" w:rsidP="005D3932">
      <w:pPr>
        <w:pStyle w:val="BodyText"/>
        <w:keepNext/>
        <w:spacing w:before="80"/>
        <w:ind w:right="151"/>
      </w:pPr>
      <w:bookmarkStart w:id="57" w:name="_bookmark7"/>
      <w:bookmarkEnd w:id="57"/>
    </w:p>
    <w:p w14:paraId="35D6F7A3" w14:textId="77777777" w:rsidR="00957F89" w:rsidRDefault="00D92D87" w:rsidP="005D3932">
      <w:pPr>
        <w:spacing w:line="200" w:lineRule="atLeast"/>
        <w:ind w:left="142"/>
        <w:rPr>
          <w:rFonts w:ascii="Times New Roman" w:eastAsia="Times New Roman" w:hAnsi="Times New Roman" w:cs="Times New Roman"/>
          <w:sz w:val="20"/>
          <w:szCs w:val="20"/>
        </w:rPr>
      </w:pPr>
      <w:r w:rsidRPr="00C73849">
        <w:rPr>
          <w:rFonts w:ascii="Times New Roman" w:eastAsia="Times New Roman" w:hAnsi="Times New Roman" w:cs="Times New Roman"/>
          <w:noProof/>
          <w:sz w:val="20"/>
          <w:szCs w:val="20"/>
        </w:rPr>
        <w:drawing>
          <wp:inline distT="0" distB="0" distL="0" distR="0" wp14:anchorId="0B5E5C53" wp14:editId="3E089446">
            <wp:extent cx="4917499" cy="3683726"/>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9" cstate="print"/>
                    <a:stretch>
                      <a:fillRect/>
                    </a:stretch>
                  </pic:blipFill>
                  <pic:spPr>
                    <a:xfrm>
                      <a:off x="0" y="0"/>
                      <a:ext cx="4930849" cy="3693726"/>
                    </a:xfrm>
                    <a:prstGeom prst="rect">
                      <a:avLst/>
                    </a:prstGeom>
                  </pic:spPr>
                </pic:pic>
              </a:graphicData>
            </a:graphic>
          </wp:inline>
        </w:drawing>
      </w:r>
    </w:p>
    <w:p w14:paraId="12E6F851" w14:textId="77777777" w:rsidR="0078540C" w:rsidRDefault="0078540C" w:rsidP="005D3932">
      <w:pPr>
        <w:spacing w:line="200" w:lineRule="atLeast"/>
        <w:ind w:left="142"/>
        <w:rPr>
          <w:rFonts w:ascii="Times New Roman" w:eastAsia="Times New Roman" w:hAnsi="Times New Roman" w:cs="Times New Roman"/>
          <w:sz w:val="20"/>
          <w:szCs w:val="20"/>
        </w:rPr>
      </w:pPr>
    </w:p>
    <w:p w14:paraId="41D0F592" w14:textId="42C80388" w:rsidR="0078540C" w:rsidRPr="000819C5" w:rsidRDefault="0078540C" w:rsidP="000819C5">
      <w:pPr>
        <w:pStyle w:val="Caption"/>
        <w:rPr>
          <w:b w:val="0"/>
        </w:rPr>
      </w:pPr>
      <w:bookmarkStart w:id="58" w:name="_Ref502139888"/>
      <w:r>
        <w:t xml:space="preserve">Figure </w:t>
      </w:r>
      <w:r w:rsidR="005C6BC3">
        <w:fldChar w:fldCharType="begin"/>
      </w:r>
      <w:r w:rsidR="005C6BC3">
        <w:instrText xml:space="preserve"> SEQ Figure \* ARABIC </w:instrText>
      </w:r>
      <w:r w:rsidR="005C6BC3">
        <w:fldChar w:fldCharType="separate"/>
      </w:r>
      <w:r w:rsidR="00B263AB">
        <w:rPr>
          <w:noProof/>
        </w:rPr>
        <w:t>3</w:t>
      </w:r>
      <w:r w:rsidR="005C6BC3">
        <w:rPr>
          <w:noProof/>
        </w:rPr>
        <w:fldChar w:fldCharType="end"/>
      </w:r>
      <w:bookmarkEnd w:id="58"/>
      <w:r>
        <w:t xml:space="preserve">. </w:t>
      </w:r>
      <w:r w:rsidRPr="000819C5">
        <w:rPr>
          <w:b w:val="0"/>
        </w:rPr>
        <w:t xml:space="preserve">Hyperpolarized </w:t>
      </w:r>
      <w:r w:rsidRPr="000819C5">
        <w:rPr>
          <w:b w:val="0"/>
          <w:position w:val="11"/>
          <w:sz w:val="16"/>
          <w:szCs w:val="16"/>
        </w:rPr>
        <w:t>13</w:t>
      </w:r>
      <w:r w:rsidRPr="000819C5">
        <w:rPr>
          <w:b w:val="0"/>
        </w:rPr>
        <w:t>C metabolites in the pathologically defined groups. The lactate peak area signal-to-noise ratio (SNR) values</w:t>
      </w:r>
      <w:r w:rsidRPr="000819C5">
        <w:rPr>
          <w:b w:val="0"/>
          <w:w w:val="99"/>
        </w:rPr>
        <w:t xml:space="preserve"> </w:t>
      </w:r>
      <w:r w:rsidRPr="000819C5">
        <w:rPr>
          <w:b w:val="0"/>
        </w:rPr>
        <w:t>were statistically different for all four groups, except that low grade tumors were not different from lymph node metastases (p &lt; 0.05).</w:t>
      </w:r>
    </w:p>
    <w:p w14:paraId="0869BA15" w14:textId="77777777" w:rsidR="0078540C" w:rsidRPr="00C73849" w:rsidRDefault="0078540C" w:rsidP="005D3932">
      <w:pPr>
        <w:spacing w:line="200" w:lineRule="atLeast"/>
        <w:ind w:left="142"/>
        <w:rPr>
          <w:rFonts w:ascii="Times New Roman" w:eastAsia="Times New Roman" w:hAnsi="Times New Roman" w:cs="Times New Roman"/>
          <w:sz w:val="20"/>
          <w:szCs w:val="20"/>
        </w:rPr>
      </w:pPr>
    </w:p>
    <w:p w14:paraId="5B147B83" w14:textId="77777777" w:rsidR="00957F89" w:rsidRPr="00C73849" w:rsidRDefault="00957F89" w:rsidP="005D3932">
      <w:pPr>
        <w:spacing w:before="3"/>
        <w:rPr>
          <w:rFonts w:ascii="Times New Roman" w:eastAsia="Times New Roman" w:hAnsi="Times New Roman" w:cs="Times New Roman"/>
          <w:sz w:val="24"/>
          <w:szCs w:val="24"/>
        </w:rPr>
      </w:pPr>
    </w:p>
    <w:p w14:paraId="3BD34029" w14:textId="127D90FF" w:rsidR="00957F89" w:rsidRPr="00C73849" w:rsidRDefault="00D92D87" w:rsidP="00F670E8">
      <w:pPr>
        <w:numPr>
          <w:ilvl w:val="4"/>
          <w:numId w:val="3"/>
        </w:numPr>
        <w:tabs>
          <w:tab w:val="left" w:pos="1222"/>
        </w:tabs>
        <w:spacing w:before="80"/>
        <w:ind w:right="708"/>
        <w:rPr>
          <w:rFonts w:ascii="Times New Roman" w:eastAsia="Times New Roman" w:hAnsi="Times New Roman" w:cs="Times New Roman"/>
          <w:sz w:val="24"/>
          <w:szCs w:val="24"/>
        </w:rPr>
      </w:pPr>
      <w:r w:rsidRPr="00C73849">
        <w:rPr>
          <w:rFonts w:ascii="Times New Roman"/>
          <w:b/>
          <w:sz w:val="24"/>
        </w:rPr>
        <w:t xml:space="preserve">Detecting </w:t>
      </w:r>
      <w:r w:rsidR="005F72EF">
        <w:rPr>
          <w:rFonts w:ascii="Times New Roman"/>
          <w:b/>
          <w:sz w:val="24"/>
        </w:rPr>
        <w:t>T</w:t>
      </w:r>
      <w:r w:rsidRPr="00C73849">
        <w:rPr>
          <w:rFonts w:ascii="Times New Roman"/>
          <w:b/>
          <w:sz w:val="24"/>
        </w:rPr>
        <w:t xml:space="preserve">umor </w:t>
      </w:r>
      <w:r w:rsidR="005F72EF">
        <w:rPr>
          <w:rFonts w:ascii="Times New Roman"/>
          <w:b/>
          <w:sz w:val="24"/>
        </w:rPr>
        <w:t>R</w:t>
      </w:r>
      <w:r w:rsidRPr="00C73849">
        <w:rPr>
          <w:rFonts w:ascii="Times New Roman"/>
          <w:b/>
          <w:sz w:val="24"/>
        </w:rPr>
        <w:t xml:space="preserve">esponse to </w:t>
      </w:r>
      <w:r w:rsidR="005F72EF">
        <w:rPr>
          <w:rFonts w:ascii="Times New Roman"/>
          <w:b/>
          <w:sz w:val="24"/>
        </w:rPr>
        <w:t>T</w:t>
      </w:r>
      <w:r w:rsidRPr="00C73849">
        <w:rPr>
          <w:rFonts w:ascii="Times New Roman"/>
          <w:b/>
          <w:sz w:val="24"/>
        </w:rPr>
        <w:t xml:space="preserve">reatment </w:t>
      </w:r>
      <w:r w:rsidR="005F72EF">
        <w:rPr>
          <w:rFonts w:ascii="Times New Roman"/>
          <w:b/>
          <w:sz w:val="24"/>
        </w:rPr>
        <w:t>U</w:t>
      </w:r>
      <w:r w:rsidRPr="00C73849">
        <w:rPr>
          <w:rFonts w:ascii="Times New Roman"/>
          <w:b/>
          <w:sz w:val="24"/>
        </w:rPr>
        <w:t xml:space="preserve">sing </w:t>
      </w:r>
      <w:r w:rsidR="005F72EF">
        <w:rPr>
          <w:rFonts w:ascii="Times New Roman"/>
          <w:b/>
          <w:sz w:val="24"/>
        </w:rPr>
        <w:t>H</w:t>
      </w:r>
      <w:r w:rsidRPr="00C73849">
        <w:rPr>
          <w:rFonts w:ascii="Times New Roman"/>
          <w:b/>
          <w:sz w:val="24"/>
        </w:rPr>
        <w:t xml:space="preserve">yperpolarized </w:t>
      </w:r>
      <w:r w:rsidRPr="00C73849">
        <w:rPr>
          <w:rFonts w:ascii="Times New Roman"/>
          <w:b/>
          <w:position w:val="11"/>
          <w:sz w:val="16"/>
        </w:rPr>
        <w:t>13</w:t>
      </w:r>
      <w:r w:rsidRPr="00C73849">
        <w:rPr>
          <w:rFonts w:ascii="Times New Roman"/>
          <w:b/>
          <w:sz w:val="24"/>
        </w:rPr>
        <w:t xml:space="preserve">C </w:t>
      </w:r>
      <w:r w:rsidR="005F72EF">
        <w:rPr>
          <w:rFonts w:ascii="Times New Roman"/>
          <w:b/>
          <w:sz w:val="24"/>
        </w:rPr>
        <w:t>M</w:t>
      </w:r>
      <w:r w:rsidR="005F72EF" w:rsidRPr="00C73849">
        <w:rPr>
          <w:rFonts w:ascii="Times New Roman"/>
          <w:b/>
          <w:sz w:val="24"/>
        </w:rPr>
        <w:t>agnetic</w:t>
      </w:r>
      <w:r w:rsidR="005F72EF" w:rsidRPr="00C73849">
        <w:rPr>
          <w:rFonts w:ascii="Times New Roman"/>
          <w:b/>
          <w:w w:val="99"/>
          <w:sz w:val="24"/>
        </w:rPr>
        <w:t xml:space="preserve"> </w:t>
      </w:r>
      <w:r w:rsidR="005F72EF">
        <w:rPr>
          <w:rFonts w:ascii="Times New Roman"/>
          <w:b/>
          <w:w w:val="99"/>
          <w:sz w:val="24"/>
        </w:rPr>
        <w:t>R</w:t>
      </w:r>
      <w:r w:rsidRPr="00C73849">
        <w:rPr>
          <w:rFonts w:ascii="Times New Roman"/>
          <w:b/>
          <w:sz w:val="24"/>
        </w:rPr>
        <w:t xml:space="preserve">esonance </w:t>
      </w:r>
      <w:r w:rsidR="005F72EF">
        <w:rPr>
          <w:rFonts w:ascii="Times New Roman"/>
          <w:b/>
          <w:sz w:val="24"/>
        </w:rPr>
        <w:t>I</w:t>
      </w:r>
      <w:r w:rsidRPr="00C73849">
        <w:rPr>
          <w:rFonts w:ascii="Times New Roman"/>
          <w:b/>
          <w:sz w:val="24"/>
        </w:rPr>
        <w:t xml:space="preserve">maging and </w:t>
      </w:r>
      <w:r w:rsidR="005F72EF">
        <w:rPr>
          <w:rFonts w:ascii="Times New Roman"/>
          <w:b/>
          <w:sz w:val="24"/>
        </w:rPr>
        <w:t>S</w:t>
      </w:r>
      <w:r w:rsidRPr="00C73849">
        <w:rPr>
          <w:rFonts w:ascii="Times New Roman"/>
          <w:b/>
          <w:sz w:val="24"/>
        </w:rPr>
        <w:t>pectroscopy [Day et al. 2007]</w:t>
      </w:r>
    </w:p>
    <w:p w14:paraId="32512A21" w14:textId="77777777" w:rsidR="00957F89" w:rsidRPr="00C73849" w:rsidRDefault="00957F89" w:rsidP="005D3932">
      <w:pPr>
        <w:spacing w:before="9"/>
        <w:rPr>
          <w:rFonts w:ascii="Times New Roman" w:eastAsia="Times New Roman" w:hAnsi="Times New Roman" w:cs="Times New Roman"/>
          <w:b/>
          <w:bCs/>
          <w:sz w:val="20"/>
          <w:szCs w:val="20"/>
        </w:rPr>
      </w:pPr>
    </w:p>
    <w:p w14:paraId="6ECA0788" w14:textId="77777777" w:rsidR="00957F89" w:rsidRPr="00C73849" w:rsidRDefault="00D92D87" w:rsidP="005D3932">
      <w:pPr>
        <w:pStyle w:val="BodyText"/>
        <w:spacing w:line="276" w:lineRule="exact"/>
        <w:ind w:right="151"/>
      </w:pPr>
      <w:r w:rsidRPr="00C73849">
        <w:t>Mice with lymphoma tumors induced by subcutaneous implantation of the mouse tumor cell-</w:t>
      </w:r>
      <w:r w:rsidRPr="00C73849">
        <w:rPr>
          <w:w w:val="99"/>
        </w:rPr>
        <w:t xml:space="preserve"> </w:t>
      </w:r>
      <w:r w:rsidRPr="00C73849">
        <w:t>line EL-4 were imaged following administered hyperpolarized [1-</w:t>
      </w:r>
      <w:r w:rsidRPr="00C73849">
        <w:rPr>
          <w:position w:val="11"/>
          <w:sz w:val="16"/>
        </w:rPr>
        <w:t>13</w:t>
      </w:r>
      <w:proofErr w:type="gramStart"/>
      <w:r w:rsidRPr="00C73849">
        <w:t>C]pyruvate</w:t>
      </w:r>
      <w:proofErr w:type="gramEnd"/>
      <w:r w:rsidR="00B932EA">
        <w:t xml:space="preserve"> </w:t>
      </w:r>
      <w:r w:rsidRPr="00C73849">
        <w:t xml:space="preserve">(15 µmol/mouse). In this </w:t>
      </w:r>
      <w:r w:rsidRPr="00C73849">
        <w:lastRenderedPageBreak/>
        <w:t>model relatively low levels of [1-</w:t>
      </w:r>
      <w:r w:rsidRPr="00C73849">
        <w:rPr>
          <w:position w:val="11"/>
          <w:sz w:val="16"/>
        </w:rPr>
        <w:t>13</w:t>
      </w:r>
      <w:proofErr w:type="gramStart"/>
      <w:r w:rsidRPr="00C73849">
        <w:t>C]lactate</w:t>
      </w:r>
      <w:proofErr w:type="gramEnd"/>
      <w:r w:rsidRPr="00C73849">
        <w:t xml:space="preserve"> were formed in the</w:t>
      </w:r>
      <w:r w:rsidRPr="00C73849">
        <w:rPr>
          <w:w w:val="99"/>
        </w:rPr>
        <w:t xml:space="preserve"> </w:t>
      </w:r>
      <w:r w:rsidRPr="00C73849">
        <w:t>muscle and liver when compared to the tumor. In animals imaged 24 h after treatment with the</w:t>
      </w:r>
      <w:r w:rsidRPr="00C73849">
        <w:rPr>
          <w:w w:val="99"/>
        </w:rPr>
        <w:t xml:space="preserve"> </w:t>
      </w:r>
      <w:r w:rsidRPr="00C73849">
        <w:t>chemotherapeutic agent etoposide (67 mg/mouse), data revealed a significant reduction of conversion of pyruvate to lactate (p=0.01). Measurements of treated tumors indicated that the</w:t>
      </w:r>
      <w:r w:rsidRPr="00C73849">
        <w:rPr>
          <w:w w:val="99"/>
        </w:rPr>
        <w:t xml:space="preserve"> </w:t>
      </w:r>
      <w:r w:rsidRPr="00C73849">
        <w:t>reduction in part was due to loss of NAD(H) and decreased lactate-dehydrogenase activity and</w:t>
      </w:r>
      <w:r w:rsidRPr="00C73849">
        <w:rPr>
          <w:w w:val="99"/>
        </w:rPr>
        <w:t xml:space="preserve"> </w:t>
      </w:r>
      <w:r w:rsidRPr="00C73849">
        <w:t>lactate concentration. Even though the EL-4 model is sensitive to treatment, as is apparent from the reduction in tumor volume of 17% at the imaging time point, the data suggest the imaging technique is very sensitive.</w:t>
      </w:r>
    </w:p>
    <w:p w14:paraId="578FDA8D" w14:textId="77777777" w:rsidR="00957F89" w:rsidRPr="00C73849" w:rsidRDefault="00957F89" w:rsidP="005D3932">
      <w:pPr>
        <w:rPr>
          <w:rFonts w:ascii="Times New Roman" w:eastAsia="Times New Roman" w:hAnsi="Times New Roman" w:cs="Times New Roman"/>
          <w:sz w:val="21"/>
          <w:szCs w:val="21"/>
        </w:rPr>
      </w:pPr>
    </w:p>
    <w:p w14:paraId="44C02DA9" w14:textId="77777777" w:rsidR="00B122EE" w:rsidRPr="00B122EE" w:rsidRDefault="00D92D87" w:rsidP="00F670E8">
      <w:pPr>
        <w:numPr>
          <w:ilvl w:val="4"/>
          <w:numId w:val="3"/>
        </w:numPr>
        <w:tabs>
          <w:tab w:val="left" w:pos="1224"/>
        </w:tabs>
        <w:ind w:right="151" w:hanging="1081"/>
        <w:rPr>
          <w:rFonts w:ascii="Times New Roman" w:eastAsia="Times New Roman" w:hAnsi="Times New Roman" w:cs="Times New Roman"/>
          <w:sz w:val="24"/>
          <w:szCs w:val="24"/>
        </w:rPr>
      </w:pPr>
      <w:r w:rsidRPr="00A3050F">
        <w:rPr>
          <w:rFonts w:ascii="Times New Roman"/>
          <w:b/>
          <w:sz w:val="24"/>
        </w:rPr>
        <w:t>GE study number: B101059</w:t>
      </w:r>
      <w:r w:rsidR="00A3050F" w:rsidRPr="00A3050F">
        <w:rPr>
          <w:rFonts w:ascii="Times New Roman"/>
          <w:b/>
          <w:sz w:val="24"/>
        </w:rPr>
        <w:t xml:space="preserve"> </w:t>
      </w:r>
    </w:p>
    <w:p w14:paraId="1BA48F74" w14:textId="77777777" w:rsidR="00957F89" w:rsidRPr="00A3050F" w:rsidRDefault="00D92D87" w:rsidP="00B122EE">
      <w:pPr>
        <w:tabs>
          <w:tab w:val="left" w:pos="1224"/>
        </w:tabs>
        <w:ind w:left="1222" w:right="151"/>
        <w:rPr>
          <w:rFonts w:ascii="Times New Roman" w:eastAsia="Times New Roman" w:hAnsi="Times New Roman" w:cs="Times New Roman"/>
          <w:sz w:val="24"/>
          <w:szCs w:val="24"/>
        </w:rPr>
      </w:pPr>
      <w:r w:rsidRPr="00A3050F">
        <w:rPr>
          <w:rFonts w:ascii="Times New Roman"/>
          <w:b/>
          <w:sz w:val="24"/>
        </w:rPr>
        <w:t xml:space="preserve">Metabolic Imaging </w:t>
      </w:r>
      <w:r w:rsidR="003232DF" w:rsidRPr="00A3050F">
        <w:rPr>
          <w:rFonts w:ascii="Times New Roman"/>
          <w:b/>
          <w:sz w:val="24"/>
        </w:rPr>
        <w:t>with</w:t>
      </w:r>
      <w:r w:rsidRPr="00A3050F">
        <w:rPr>
          <w:rFonts w:ascii="Times New Roman"/>
          <w:b/>
          <w:sz w:val="24"/>
        </w:rPr>
        <w:t xml:space="preserve"> Hyperpolarized 13C-Pyruvate in Prostate of Healthy</w:t>
      </w:r>
      <w:r w:rsidRPr="00A3050F">
        <w:rPr>
          <w:rFonts w:ascii="Times New Roman"/>
          <w:b/>
          <w:w w:val="99"/>
          <w:sz w:val="24"/>
        </w:rPr>
        <w:t xml:space="preserve"> </w:t>
      </w:r>
      <w:r w:rsidRPr="00A3050F">
        <w:rPr>
          <w:rFonts w:ascii="Times New Roman"/>
          <w:b/>
          <w:sz w:val="24"/>
        </w:rPr>
        <w:t>Dogs Using a Second-Generation Endorectal Coil and Reduced Dose</w:t>
      </w:r>
    </w:p>
    <w:p w14:paraId="13200D91" w14:textId="77777777" w:rsidR="00957F89" w:rsidRPr="00C73849" w:rsidRDefault="00957F89" w:rsidP="005D3932">
      <w:pPr>
        <w:spacing w:before="9"/>
        <w:rPr>
          <w:rFonts w:ascii="Times New Roman" w:eastAsia="Times New Roman" w:hAnsi="Times New Roman" w:cs="Times New Roman"/>
          <w:b/>
          <w:bCs/>
          <w:sz w:val="20"/>
          <w:szCs w:val="20"/>
        </w:rPr>
      </w:pPr>
    </w:p>
    <w:p w14:paraId="4FB51E89" w14:textId="77777777" w:rsidR="00957F89" w:rsidRPr="00C73849" w:rsidRDefault="00D92D87" w:rsidP="005D3932">
      <w:pPr>
        <w:pStyle w:val="BodyText"/>
        <w:spacing w:line="276" w:lineRule="exact"/>
        <w:ind w:right="145"/>
      </w:pPr>
      <w:r w:rsidRPr="00C73849">
        <w:t xml:space="preserve">The study was designed to provide a realistic test of the methodology </w:t>
      </w:r>
      <w:r w:rsidR="003D00F9">
        <w:t>to</w:t>
      </w:r>
      <w:r w:rsidRPr="00C73849">
        <w:t xml:space="preserve"> be applied in</w:t>
      </w:r>
      <w:r w:rsidRPr="00C73849">
        <w:rPr>
          <w:w w:val="99"/>
        </w:rPr>
        <w:t xml:space="preserve"> </w:t>
      </w:r>
      <w:r w:rsidRPr="00C73849">
        <w:t>exploratory imaging studies in humans, as similar coil geometry and data acquisition</w:t>
      </w:r>
      <w:r w:rsidRPr="00C73849">
        <w:rPr>
          <w:w w:val="99"/>
        </w:rPr>
        <w:t xml:space="preserve"> </w:t>
      </w:r>
      <w:r w:rsidRPr="00C73849">
        <w:t>parameters were used for the dogs as are being planned for humans. Specific goals of the study were to test the improved radiofrequency coils and pulse sequences being developed for applications using 250 mM Hyperpolarized Pyruvate (</w:t>
      </w:r>
      <w:r w:rsidRPr="00C73849">
        <w:rPr>
          <w:position w:val="11"/>
          <w:sz w:val="16"/>
        </w:rPr>
        <w:t>13</w:t>
      </w:r>
      <w:r w:rsidRPr="00C73849">
        <w:t>C) Injection in doses of 0.43 ml/kg or less, to determine the dynamics of arrival of the [1-</w:t>
      </w:r>
      <w:r w:rsidRPr="00C73849">
        <w:rPr>
          <w:position w:val="11"/>
          <w:sz w:val="16"/>
        </w:rPr>
        <w:t>13</w:t>
      </w:r>
      <w:r w:rsidRPr="00C73849">
        <w:t>C]pyruvate bolus, to evaluate the signal to</w:t>
      </w:r>
      <w:r w:rsidRPr="00C73849">
        <w:rPr>
          <w:w w:val="99"/>
        </w:rPr>
        <w:t xml:space="preserve"> </w:t>
      </w:r>
      <w:r w:rsidRPr="00C73849">
        <w:t>noise ratio (SNR) of [1-</w:t>
      </w:r>
      <w:r w:rsidRPr="00C73849">
        <w:rPr>
          <w:position w:val="11"/>
          <w:sz w:val="16"/>
        </w:rPr>
        <w:t>13</w:t>
      </w:r>
      <w:r w:rsidRPr="00C73849">
        <w:t>C]pyruvate in healthy dog prostate, and to investigate whether its</w:t>
      </w:r>
      <w:r w:rsidRPr="00C73849">
        <w:rPr>
          <w:w w:val="99"/>
        </w:rPr>
        <w:t xml:space="preserve"> </w:t>
      </w:r>
      <w:r w:rsidRPr="00C73849">
        <w:t>metabolic products could be observed at dose levels of one-quarter (0.36 ml/kg) and one-eighth</w:t>
      </w:r>
      <w:r w:rsidRPr="00C73849">
        <w:rPr>
          <w:w w:val="99"/>
        </w:rPr>
        <w:t xml:space="preserve"> </w:t>
      </w:r>
      <w:r w:rsidRPr="00C73849">
        <w:t>(0.18 ml/kg) of a dose of 1.4 ml/kg previously demonstrated to be efficacious in the healthy dog (Study B101033).</w:t>
      </w:r>
    </w:p>
    <w:p w14:paraId="726143B6" w14:textId="77777777" w:rsidR="00957F89" w:rsidRPr="00C73849" w:rsidRDefault="00957F89" w:rsidP="005D3932">
      <w:pPr>
        <w:spacing w:before="7"/>
        <w:rPr>
          <w:rFonts w:ascii="Times New Roman" w:eastAsia="Times New Roman" w:hAnsi="Times New Roman" w:cs="Times New Roman"/>
          <w:sz w:val="20"/>
          <w:szCs w:val="20"/>
        </w:rPr>
      </w:pPr>
    </w:p>
    <w:p w14:paraId="186F8412" w14:textId="77777777" w:rsidR="00957F89" w:rsidRPr="00C73849" w:rsidRDefault="00D92D87" w:rsidP="005D3932">
      <w:pPr>
        <w:pStyle w:val="BodyText"/>
        <w:spacing w:line="239" w:lineRule="auto"/>
        <w:ind w:right="233"/>
      </w:pPr>
      <w:r w:rsidRPr="00C73849">
        <w:t>The study demonstrated lactate and pyruvate signal to noise ratios of approximately 20:1 at both the 0.18 ml/kg and 0.36 ml/kg dose levels using the second-generation clinical coils and</w:t>
      </w:r>
      <w:r w:rsidR="001E1911">
        <w:rPr>
          <w:w w:val="99"/>
        </w:rPr>
        <w:t xml:space="preserve"> </w:t>
      </w:r>
      <w:r w:rsidRPr="00C73849">
        <w:t>newly developed MRSI sequence. It was, however, noted that the choice of dose appears to be</w:t>
      </w:r>
      <w:r w:rsidRPr="00C73849">
        <w:rPr>
          <w:w w:val="99"/>
        </w:rPr>
        <w:t xml:space="preserve"> </w:t>
      </w:r>
      <w:r w:rsidRPr="00C73849">
        <w:t xml:space="preserve">limited by tissue contrast to noise. Based on this, it was recommended using the highest dose acceptable from a safety perspective in clinical studies. </w:t>
      </w:r>
      <w:r w:rsidR="009926AA" w:rsidRPr="00C73849">
        <w:t>Furthermore,</w:t>
      </w:r>
      <w:r w:rsidRPr="00C73849">
        <w:t xml:space="preserve"> it was evident that the</w:t>
      </w:r>
      <w:r w:rsidRPr="00C73849">
        <w:rPr>
          <w:w w:val="99"/>
        </w:rPr>
        <w:t xml:space="preserve"> </w:t>
      </w:r>
      <w:r w:rsidRPr="00C73849">
        <w:t xml:space="preserve">pulse sequence must be tailored to suit the biology of the human </w:t>
      </w:r>
      <w:proofErr w:type="gramStart"/>
      <w:r w:rsidRPr="00C73849">
        <w:t>prostate</w:t>
      </w:r>
      <w:proofErr w:type="gramEnd"/>
      <w:r w:rsidRPr="00C73849">
        <w:t xml:space="preserve"> and this can only be</w:t>
      </w:r>
      <w:r w:rsidRPr="00C73849">
        <w:rPr>
          <w:w w:val="99"/>
        </w:rPr>
        <w:t xml:space="preserve"> </w:t>
      </w:r>
      <w:r w:rsidRPr="00C73849">
        <w:t>accomplished in human subjects.</w:t>
      </w:r>
    </w:p>
    <w:p w14:paraId="092A7032" w14:textId="77777777" w:rsidR="00957F89" w:rsidRPr="00C73849" w:rsidRDefault="00957F89" w:rsidP="005D3932">
      <w:pPr>
        <w:spacing w:before="8"/>
        <w:rPr>
          <w:rFonts w:ascii="Times New Roman" w:eastAsia="Times New Roman" w:hAnsi="Times New Roman" w:cs="Times New Roman"/>
          <w:sz w:val="31"/>
          <w:szCs w:val="31"/>
        </w:rPr>
      </w:pPr>
    </w:p>
    <w:p w14:paraId="3C1EF6D8" w14:textId="77777777" w:rsidR="00957F89" w:rsidRPr="00C73849" w:rsidRDefault="00F20B04" w:rsidP="00F20B04">
      <w:pPr>
        <w:pStyle w:val="Heading4"/>
        <w:rPr>
          <w:rFonts w:eastAsia="Times New Roman" w:hAnsi="Times New Roman" w:cs="Times New Roman"/>
          <w:szCs w:val="24"/>
        </w:rPr>
      </w:pPr>
      <w:r>
        <w:t>5.1.1.3</w:t>
      </w:r>
      <w:r>
        <w:tab/>
      </w:r>
      <w:r w:rsidR="00D92D87" w:rsidRPr="00C73849">
        <w:t>Imaging sequence development</w:t>
      </w:r>
    </w:p>
    <w:p w14:paraId="0AF09DA8" w14:textId="77777777" w:rsidR="00261981" w:rsidRDefault="00D92D87" w:rsidP="005D3932">
      <w:pPr>
        <w:pStyle w:val="BodyText"/>
        <w:spacing w:before="118" w:line="276" w:lineRule="exact"/>
        <w:ind w:right="343"/>
      </w:pPr>
      <w:r w:rsidRPr="00C73849">
        <w:t xml:space="preserve">Methods have been evaluated </w:t>
      </w:r>
      <w:r w:rsidRPr="00C73849">
        <w:rPr>
          <w:i/>
        </w:rPr>
        <w:t>in vitro</w:t>
      </w:r>
      <w:r w:rsidRPr="00C73849">
        <w:t xml:space="preserve">, and </w:t>
      </w:r>
      <w:r w:rsidRPr="00C73849">
        <w:rPr>
          <w:i/>
        </w:rPr>
        <w:t xml:space="preserve">in vivo </w:t>
      </w:r>
      <w:r w:rsidRPr="00C73849">
        <w:t>in normal rat kidney and in canine prostate</w:t>
      </w:r>
      <w:r w:rsidRPr="00C73849">
        <w:rPr>
          <w:w w:val="99"/>
        </w:rPr>
        <w:t xml:space="preserve"> </w:t>
      </w:r>
      <w:r w:rsidRPr="00C73849">
        <w:t>to determine the most effective way to sample hyperpolarized [1-</w:t>
      </w:r>
      <w:r w:rsidRPr="00C73849">
        <w:rPr>
          <w:position w:val="11"/>
          <w:sz w:val="16"/>
        </w:rPr>
        <w:t>13</w:t>
      </w:r>
      <w:proofErr w:type="gramStart"/>
      <w:r w:rsidRPr="00C73849">
        <w:t>C]pyruvate</w:t>
      </w:r>
      <w:proofErr w:type="gramEnd"/>
      <w:r w:rsidRPr="00C73849">
        <w:t xml:space="preserve"> metabolic</w:t>
      </w:r>
      <w:r w:rsidRPr="00C73849">
        <w:rPr>
          <w:w w:val="99"/>
        </w:rPr>
        <w:t xml:space="preserve"> </w:t>
      </w:r>
      <w:r w:rsidRPr="00C73849">
        <w:t>images with a focus on lactate and pyruvate signal to noise and image quality. In addition, T</w:t>
      </w:r>
      <w:r w:rsidRPr="00C73849">
        <w:rPr>
          <w:position w:val="-2"/>
          <w:sz w:val="16"/>
        </w:rPr>
        <w:t xml:space="preserve">2 </w:t>
      </w:r>
      <w:r w:rsidRPr="00C73849">
        <w:t>measurements were made in normal tissue and in TRAMP tumor tissue to estimate the impact</w:t>
      </w:r>
      <w:r w:rsidRPr="00C73849">
        <w:rPr>
          <w:w w:val="99"/>
        </w:rPr>
        <w:t xml:space="preserve"> </w:t>
      </w:r>
      <w:r w:rsidRPr="00C73849">
        <w:t>of this key imaging parameter [Yen 2006].</w:t>
      </w:r>
      <w:r w:rsidR="00873272" w:rsidRPr="00C73849" w:rsidDel="00873272">
        <w:t xml:space="preserve"> </w:t>
      </w:r>
    </w:p>
    <w:p w14:paraId="4BDCD9B2" w14:textId="77777777" w:rsidR="00873272" w:rsidRDefault="00873272" w:rsidP="005D3932">
      <w:pPr>
        <w:pStyle w:val="BodyText"/>
        <w:spacing w:before="118" w:line="276" w:lineRule="exact"/>
        <w:ind w:right="343"/>
      </w:pPr>
    </w:p>
    <w:p w14:paraId="72986D2F" w14:textId="77777777" w:rsidR="00873272" w:rsidRDefault="00261981" w:rsidP="00873272">
      <w:pPr>
        <w:autoSpaceDE w:val="0"/>
        <w:autoSpaceDN w:val="0"/>
        <w:adjustRightInd w:val="0"/>
      </w:pPr>
      <w:r>
        <w:t xml:space="preserve">Pulse sequences are being developed to achieve HP 13C MRSI at higher spatial &amp; temporal resolution with reduced artifacts. These sequences include: </w:t>
      </w:r>
    </w:p>
    <w:p w14:paraId="5CA19703" w14:textId="77777777" w:rsidR="00873272" w:rsidRDefault="00873272" w:rsidP="00873272">
      <w:pPr>
        <w:autoSpaceDE w:val="0"/>
        <w:autoSpaceDN w:val="0"/>
        <w:adjustRightInd w:val="0"/>
      </w:pPr>
    </w:p>
    <w:p w14:paraId="3E2B4081" w14:textId="76303756" w:rsidR="00873272" w:rsidRDefault="00261981" w:rsidP="00873272">
      <w:pPr>
        <w:autoSpaceDE w:val="0"/>
        <w:autoSpaceDN w:val="0"/>
        <w:adjustRightInd w:val="0"/>
      </w:pPr>
      <w:r>
        <w:t xml:space="preserve">(1) </w:t>
      </w:r>
      <w:r w:rsidR="005F72EF">
        <w:t>M</w:t>
      </w:r>
      <w:r>
        <w:t>ethods based on compressed sensing echo-planar spectroscopic imaging (EPSI) [Hu, et al. 2008, Hu, et al. 2010, Ohliger, et al. 2013], multi-band RF excitation EPSI [Larson, et al., 2008, Larson, et al., 2010, Larson, et al. 2011] or least- square CSI (LSCSI) [Reeder, et al, 2007</w:t>
      </w:r>
      <w:proofErr w:type="gramStart"/>
      <w:r>
        <w:t>];</w:t>
      </w:r>
      <w:proofErr w:type="gramEnd"/>
      <w:r>
        <w:t xml:space="preserve"> </w:t>
      </w:r>
    </w:p>
    <w:p w14:paraId="1C567CB7" w14:textId="77777777" w:rsidR="00873272" w:rsidRDefault="00873272" w:rsidP="00873272">
      <w:pPr>
        <w:autoSpaceDE w:val="0"/>
        <w:autoSpaceDN w:val="0"/>
        <w:adjustRightInd w:val="0"/>
      </w:pPr>
    </w:p>
    <w:p w14:paraId="3CFB48E1" w14:textId="32C7E0FE" w:rsidR="00873272" w:rsidRDefault="00261981" w:rsidP="00873272">
      <w:pPr>
        <w:autoSpaceDE w:val="0"/>
        <w:autoSpaceDN w:val="0"/>
        <w:adjustRightInd w:val="0"/>
      </w:pPr>
      <w:r>
        <w:t xml:space="preserve">(2) </w:t>
      </w:r>
      <w:r w:rsidR="005F72EF">
        <w:t>M</w:t>
      </w:r>
      <w:r>
        <w:t xml:space="preserve">ethods based on spiral chemical shift imaging </w:t>
      </w:r>
      <w:proofErr w:type="spellStart"/>
      <w:r>
        <w:t>spCSI</w:t>
      </w:r>
      <w:proofErr w:type="spellEnd"/>
      <w:r>
        <w:t xml:space="preserve"> [Mayer, et al. 2006, Mayer, et al., 2009, Mayer, et </w:t>
      </w:r>
      <w:proofErr w:type="gramStart"/>
      <w:r>
        <w:t>al .</w:t>
      </w:r>
      <w:proofErr w:type="gramEnd"/>
      <w:r>
        <w:t xml:space="preserve">, 2011], </w:t>
      </w:r>
      <w:r w:rsidRPr="00650CAE">
        <w:t>least- square spiral CSI [Levin, et al., 2007]</w:t>
      </w:r>
      <w:r w:rsidRPr="00873272">
        <w:t>,</w:t>
      </w:r>
      <w:r>
        <w:t xml:space="preserve"> cardiac-gated spiral CSI [Lau, et al., 2014], </w:t>
      </w:r>
      <w:r>
        <w:rPr>
          <w:rStyle w:val="Emphasis"/>
          <w:rFonts w:cs="Arial"/>
          <w:i w:val="0"/>
          <w:color w:val="000000"/>
        </w:rPr>
        <w:t>I</w:t>
      </w:r>
      <w:r>
        <w:rPr>
          <w:rFonts w:cs="Arial"/>
          <w:color w:val="000000"/>
        </w:rPr>
        <w:t xml:space="preserve">terative </w:t>
      </w:r>
      <w:r>
        <w:rPr>
          <w:rStyle w:val="Emphasis"/>
          <w:rFonts w:cs="Arial"/>
          <w:color w:val="000000"/>
        </w:rPr>
        <w:t>D</w:t>
      </w:r>
      <w:r>
        <w:rPr>
          <w:rFonts w:cs="Arial"/>
          <w:color w:val="000000"/>
        </w:rPr>
        <w:t xml:space="preserve">ecomposition of water and fat with </w:t>
      </w:r>
      <w:r>
        <w:rPr>
          <w:rStyle w:val="Emphasis"/>
          <w:rFonts w:cs="Arial"/>
          <w:color w:val="000000"/>
        </w:rPr>
        <w:t>E</w:t>
      </w:r>
      <w:r>
        <w:rPr>
          <w:rFonts w:cs="Arial"/>
          <w:color w:val="000000"/>
        </w:rPr>
        <w:t xml:space="preserve">cho </w:t>
      </w:r>
      <w:r>
        <w:rPr>
          <w:rStyle w:val="Emphasis"/>
          <w:rFonts w:cs="Arial"/>
          <w:color w:val="000000"/>
        </w:rPr>
        <w:t>A</w:t>
      </w:r>
      <w:r>
        <w:rPr>
          <w:rFonts w:cs="Arial"/>
          <w:color w:val="000000"/>
        </w:rPr>
        <w:t xml:space="preserve">symmetry and </w:t>
      </w:r>
      <w:r>
        <w:rPr>
          <w:rStyle w:val="Emphasis"/>
          <w:rFonts w:cs="Arial"/>
          <w:color w:val="000000"/>
        </w:rPr>
        <w:t>L</w:t>
      </w:r>
      <w:r>
        <w:rPr>
          <w:rFonts w:cs="Arial"/>
          <w:color w:val="000000"/>
        </w:rPr>
        <w:t xml:space="preserve">east-squares </w:t>
      </w:r>
      <w:r>
        <w:rPr>
          <w:rFonts w:cs="Arial"/>
          <w:color w:val="000000"/>
        </w:rPr>
        <w:lastRenderedPageBreak/>
        <w:t>estimation</w:t>
      </w:r>
      <w:r>
        <w:rPr>
          <w:rFonts w:ascii="Arial" w:hAnsi="Arial" w:cs="Arial"/>
          <w:color w:val="000000"/>
          <w:sz w:val="23"/>
          <w:szCs w:val="23"/>
        </w:rPr>
        <w:t>(</w:t>
      </w:r>
      <w:r>
        <w:t xml:space="preserve">IDEAL) spiral CSI [Wiesinger, et al., 2012]; </w:t>
      </w:r>
    </w:p>
    <w:p w14:paraId="0F27B5C2" w14:textId="77777777" w:rsidR="00873272" w:rsidRDefault="00873272" w:rsidP="00873272">
      <w:pPr>
        <w:autoSpaceDE w:val="0"/>
        <w:autoSpaceDN w:val="0"/>
        <w:adjustRightInd w:val="0"/>
      </w:pPr>
    </w:p>
    <w:p w14:paraId="791A582E" w14:textId="390F48C4" w:rsidR="005F72EF" w:rsidRDefault="00261981" w:rsidP="00873272">
      <w:pPr>
        <w:autoSpaceDE w:val="0"/>
        <w:autoSpaceDN w:val="0"/>
        <w:adjustRightInd w:val="0"/>
      </w:pPr>
      <w:r>
        <w:t xml:space="preserve">(3) </w:t>
      </w:r>
      <w:r w:rsidR="003232DF">
        <w:t>Methods</w:t>
      </w:r>
      <w:r>
        <w:t xml:space="preserve"> based on single-shot MRSI with spatial-temporal encoding (SPEN) [Schmidt, et al., 2014], single voxel MRSI [Chen, et al., </w:t>
      </w:r>
      <w:proofErr w:type="gramStart"/>
      <w:r>
        <w:t>2015];(</w:t>
      </w:r>
      <w:proofErr w:type="gramEnd"/>
    </w:p>
    <w:p w14:paraId="15D1CFCB" w14:textId="77777777" w:rsidR="005F72EF" w:rsidRDefault="005F72EF" w:rsidP="00873272">
      <w:pPr>
        <w:autoSpaceDE w:val="0"/>
        <w:autoSpaceDN w:val="0"/>
        <w:adjustRightInd w:val="0"/>
      </w:pPr>
    </w:p>
    <w:p w14:paraId="01749B0A" w14:textId="1A674E8A" w:rsidR="00261981" w:rsidRDefault="00261981" w:rsidP="00873272">
      <w:pPr>
        <w:autoSpaceDE w:val="0"/>
        <w:autoSpaceDN w:val="0"/>
        <w:adjustRightInd w:val="0"/>
        <w:rPr>
          <w:rFonts w:cs="Times New Roman"/>
        </w:rPr>
      </w:pPr>
      <w:r>
        <w:t xml:space="preserve">4) </w:t>
      </w:r>
      <w:r w:rsidR="005F72EF">
        <w:t>M</w:t>
      </w:r>
      <w:r>
        <w:t>ethod that can separate information such as metabolic activity decomposition-stimulated echo acquisition mode (MAD-STEAM) [Swisher, et al.</w:t>
      </w:r>
      <w:r w:rsidR="003232DF">
        <w:t>, 2014</w:t>
      </w:r>
      <w:r>
        <w:t>].</w:t>
      </w:r>
    </w:p>
    <w:p w14:paraId="716C6DA7" w14:textId="77777777" w:rsidR="00957F89" w:rsidRPr="00C73849" w:rsidRDefault="00957F89" w:rsidP="005D3932">
      <w:pPr>
        <w:rPr>
          <w:rFonts w:ascii="Times New Roman" w:eastAsia="Times New Roman" w:hAnsi="Times New Roman" w:cs="Times New Roman"/>
          <w:sz w:val="20"/>
          <w:szCs w:val="20"/>
        </w:rPr>
      </w:pPr>
    </w:p>
    <w:p w14:paraId="67B78126" w14:textId="77777777" w:rsidR="00957F89" w:rsidRPr="00C73849" w:rsidRDefault="00F20B04" w:rsidP="00F20B04">
      <w:pPr>
        <w:pStyle w:val="Heading4"/>
        <w:rPr>
          <w:rFonts w:eastAsia="Times New Roman" w:hAnsi="Times New Roman" w:cs="Times New Roman"/>
          <w:szCs w:val="24"/>
        </w:rPr>
      </w:pPr>
      <w:r>
        <w:t>5.1.1.4</w:t>
      </w:r>
      <w:r>
        <w:tab/>
      </w:r>
      <w:r w:rsidR="00D92D87" w:rsidRPr="00C73849">
        <w:t>Summary and Conclusions for Evaluation of Performance</w:t>
      </w:r>
    </w:p>
    <w:p w14:paraId="05E28053" w14:textId="77777777" w:rsidR="00957F89" w:rsidRPr="00C73849" w:rsidRDefault="00D92D87" w:rsidP="005D3932">
      <w:pPr>
        <w:pStyle w:val="BodyText"/>
        <w:spacing w:before="118" w:line="276" w:lineRule="exact"/>
        <w:ind w:right="224"/>
      </w:pPr>
      <w:r w:rsidRPr="00C73849">
        <w:t>Based on the study in TRAMP mice it appear</w:t>
      </w:r>
      <w:r w:rsidR="00027679">
        <w:t>ed</w:t>
      </w:r>
      <w:r w:rsidRPr="00C73849">
        <w:t xml:space="preserve"> feasible to use hyperpolarized [1-</w:t>
      </w:r>
      <w:r w:rsidRPr="00C73849">
        <w:rPr>
          <w:position w:val="11"/>
          <w:sz w:val="16"/>
        </w:rPr>
        <w:t>13</w:t>
      </w:r>
      <w:proofErr w:type="gramStart"/>
      <w:r w:rsidRPr="00C73849">
        <w:t>C]pyruvate</w:t>
      </w:r>
      <w:proofErr w:type="gramEnd"/>
      <w:r w:rsidRPr="00C73849">
        <w:rPr>
          <w:w w:val="99"/>
        </w:rPr>
        <w:t xml:space="preserve"> </w:t>
      </w:r>
      <w:r w:rsidRPr="00C73849">
        <w:t>metabolic imaging to distinguish cancerous prostate tissue from healthy tissue. During prostate</w:t>
      </w:r>
      <w:r w:rsidRPr="00C73849">
        <w:rPr>
          <w:w w:val="99"/>
        </w:rPr>
        <w:t xml:space="preserve"> </w:t>
      </w:r>
      <w:r w:rsidRPr="00C73849">
        <w:t>cancer progression from early- to late-stage primary disease in the model there was a significant increase in pyruvate metabolism to lactate. These findings suggest</w:t>
      </w:r>
      <w:r w:rsidR="00027679">
        <w:t>ed</w:t>
      </w:r>
      <w:r w:rsidRPr="00C73849">
        <w:t xml:space="preserve"> that</w:t>
      </w:r>
      <w:r w:rsidRPr="00C73849">
        <w:rPr>
          <w:w w:val="99"/>
        </w:rPr>
        <w:t xml:space="preserve"> </w:t>
      </w:r>
      <w:r w:rsidRPr="00C73849">
        <w:t>hyperpolarized [1-</w:t>
      </w:r>
      <w:r w:rsidRPr="00C73849">
        <w:rPr>
          <w:position w:val="11"/>
          <w:sz w:val="16"/>
        </w:rPr>
        <w:t>13</w:t>
      </w:r>
      <w:proofErr w:type="gramStart"/>
      <w:r w:rsidRPr="00C73849">
        <w:t>C]pyruvate</w:t>
      </w:r>
      <w:proofErr w:type="gramEnd"/>
      <w:r w:rsidRPr="00C73849">
        <w:t xml:space="preserve"> metabolic imaging may be useful in diagnosing prostate cancer and in assessing stage and potentially aggressiveness of the cancer. The study in the</w:t>
      </w:r>
      <w:r w:rsidR="001E1911">
        <w:rPr>
          <w:w w:val="99"/>
        </w:rPr>
        <w:t xml:space="preserve"> </w:t>
      </w:r>
      <w:r w:rsidRPr="00C73849">
        <w:t>lymphoma tumor model support</w:t>
      </w:r>
      <w:r w:rsidR="00027679">
        <w:t>ed</w:t>
      </w:r>
      <w:r w:rsidRPr="00C73849">
        <w:t xml:space="preserve"> the ability of the technique to identify cancerous tissue and</w:t>
      </w:r>
      <w:r w:rsidRPr="00C73849">
        <w:rPr>
          <w:w w:val="99"/>
        </w:rPr>
        <w:t xml:space="preserve"> </w:t>
      </w:r>
      <w:r w:rsidRPr="00C73849">
        <w:t>indicate</w:t>
      </w:r>
      <w:r w:rsidR="00027679">
        <w:t>d</w:t>
      </w:r>
      <w:r w:rsidRPr="00C73849">
        <w:t xml:space="preserve"> that the technique may also become useful for assessing response to therapy. It</w:t>
      </w:r>
      <w:r w:rsidRPr="00C73849">
        <w:rPr>
          <w:w w:val="99"/>
        </w:rPr>
        <w:t xml:space="preserve"> </w:t>
      </w:r>
      <w:r w:rsidRPr="00C73849">
        <w:t>should be noted that the two studies in mice were conducted using relatively high doses of hyperpolarized [1-</w:t>
      </w:r>
      <w:r w:rsidRPr="00C73849">
        <w:rPr>
          <w:position w:val="11"/>
          <w:sz w:val="16"/>
        </w:rPr>
        <w:t>13</w:t>
      </w:r>
      <w:proofErr w:type="gramStart"/>
      <w:r w:rsidRPr="00C73849">
        <w:t>C]pyruvate</w:t>
      </w:r>
      <w:proofErr w:type="gramEnd"/>
      <w:r w:rsidRPr="00C73849">
        <w:t xml:space="preserve"> per kg </w:t>
      </w:r>
      <w:proofErr w:type="spellStart"/>
      <w:r w:rsidRPr="00C73849">
        <w:t>bw</w:t>
      </w:r>
      <w:proofErr w:type="spellEnd"/>
      <w:r w:rsidRPr="00C73849">
        <w:t>. The metabolic imaging technique require</w:t>
      </w:r>
      <w:r w:rsidR="00027679">
        <w:t>d</w:t>
      </w:r>
      <w:r w:rsidRPr="00C73849">
        <w:t xml:space="preserve"> dedicated imaging </w:t>
      </w:r>
      <w:proofErr w:type="gramStart"/>
      <w:r w:rsidRPr="00C73849">
        <w:t>sequences</w:t>
      </w:r>
      <w:proofErr w:type="gramEnd"/>
      <w:r w:rsidRPr="00C73849">
        <w:t xml:space="preserve"> and </w:t>
      </w:r>
      <w:r w:rsidR="009926AA" w:rsidRPr="00C73849">
        <w:t>several</w:t>
      </w:r>
      <w:r w:rsidRPr="00C73849">
        <w:t xml:space="preserve"> nonclinical studies have been conducted </w:t>
      </w:r>
      <w:r w:rsidR="0099381E" w:rsidRPr="00C73849">
        <w:t>to</w:t>
      </w:r>
      <w:r w:rsidRPr="00C73849">
        <w:t xml:space="preserve"> develop clinically useful sequences. The dog study demonstrated that good SNR can be</w:t>
      </w:r>
      <w:r w:rsidRPr="00C73849">
        <w:rPr>
          <w:w w:val="99"/>
        </w:rPr>
        <w:t xml:space="preserve"> </w:t>
      </w:r>
      <w:r w:rsidRPr="00C73849">
        <w:t xml:space="preserve">achieved in the prostate of a healthy large animal at doses relevant for </w:t>
      </w:r>
      <w:r w:rsidR="00027679">
        <w:t>clinical studies</w:t>
      </w:r>
      <w:r w:rsidRPr="00C73849">
        <w:t xml:space="preserve">, but also indicated that </w:t>
      </w:r>
      <w:r w:rsidR="0099381E" w:rsidRPr="00C73849">
        <w:t>to</w:t>
      </w:r>
      <w:r w:rsidRPr="00C73849">
        <w:t xml:space="preserve"> develop optimal sequences for imaging of the human prostate clinical studies </w:t>
      </w:r>
      <w:r w:rsidR="00B932EA">
        <w:t>were</w:t>
      </w:r>
      <w:r w:rsidR="00B932EA" w:rsidRPr="00C73849">
        <w:t xml:space="preserve"> </w:t>
      </w:r>
      <w:r w:rsidRPr="00C73849">
        <w:t>required.</w:t>
      </w:r>
    </w:p>
    <w:p w14:paraId="5D61AABF" w14:textId="77777777" w:rsidR="00957F89" w:rsidRPr="00C73849" w:rsidRDefault="00957F89" w:rsidP="005D3932">
      <w:pPr>
        <w:spacing w:before="10"/>
        <w:rPr>
          <w:rFonts w:ascii="Times New Roman" w:eastAsia="Times New Roman" w:hAnsi="Times New Roman" w:cs="Times New Roman"/>
          <w:sz w:val="20"/>
          <w:szCs w:val="20"/>
        </w:rPr>
      </w:pPr>
    </w:p>
    <w:p w14:paraId="06E03CE1" w14:textId="77777777" w:rsidR="00957F89" w:rsidRPr="00C73849" w:rsidRDefault="00D92D87" w:rsidP="005D3932">
      <w:pPr>
        <w:pStyle w:val="BodyText"/>
        <w:spacing w:line="276" w:lineRule="exact"/>
        <w:ind w:right="899"/>
      </w:pPr>
      <w:r w:rsidRPr="00C73849">
        <w:t xml:space="preserve">The above nonclinical imaging data </w:t>
      </w:r>
      <w:r w:rsidR="00B932EA">
        <w:t>demonstrated</w:t>
      </w:r>
      <w:r w:rsidR="00B932EA" w:rsidRPr="00C73849">
        <w:t xml:space="preserve"> </w:t>
      </w:r>
      <w:r w:rsidRPr="00C73849">
        <w:t xml:space="preserve">that it </w:t>
      </w:r>
      <w:r w:rsidR="00B932EA">
        <w:t>was</w:t>
      </w:r>
      <w:r w:rsidR="00B932EA" w:rsidRPr="00C73849">
        <w:t xml:space="preserve"> </w:t>
      </w:r>
      <w:r w:rsidRPr="00C73849">
        <w:t>feasible to perform MR metabolic</w:t>
      </w:r>
      <w:r w:rsidRPr="00C73849">
        <w:rPr>
          <w:w w:val="99"/>
        </w:rPr>
        <w:t xml:space="preserve"> </w:t>
      </w:r>
      <w:r w:rsidRPr="00C73849">
        <w:t>imaging of prostate cancer using Hyperpolarized Pyruvate (</w:t>
      </w:r>
      <w:r w:rsidRPr="00C73849">
        <w:rPr>
          <w:position w:val="11"/>
          <w:sz w:val="16"/>
        </w:rPr>
        <w:t>13</w:t>
      </w:r>
      <w:r w:rsidRPr="00C73849">
        <w:t>C) Injection.</w:t>
      </w:r>
    </w:p>
    <w:p w14:paraId="638C2EE5" w14:textId="77777777" w:rsidR="00957F89" w:rsidRPr="003731FB" w:rsidRDefault="00957F89" w:rsidP="005D3932">
      <w:pPr>
        <w:spacing w:before="10"/>
      </w:pPr>
    </w:p>
    <w:p w14:paraId="13EFF903" w14:textId="77777777" w:rsidR="00957F89" w:rsidRPr="00C73849" w:rsidRDefault="00D92D87" w:rsidP="00F670E8">
      <w:pPr>
        <w:pStyle w:val="Heading3"/>
        <w:numPr>
          <w:ilvl w:val="2"/>
          <w:numId w:val="3"/>
        </w:numPr>
        <w:rPr>
          <w:rFonts w:eastAsia="Times New Roman" w:hAnsi="Times New Roman" w:cs="Times New Roman"/>
          <w:szCs w:val="24"/>
        </w:rPr>
      </w:pPr>
      <w:bookmarkStart w:id="59" w:name="_Toc34899961"/>
      <w:bookmarkStart w:id="60" w:name="_Toc33702490"/>
      <w:bookmarkStart w:id="61" w:name="_Toc176276924"/>
      <w:r w:rsidRPr="00C73849">
        <w:t>Secondary Pharmacodynamics</w:t>
      </w:r>
      <w:bookmarkEnd w:id="59"/>
      <w:bookmarkEnd w:id="60"/>
      <w:bookmarkEnd w:id="61"/>
    </w:p>
    <w:p w14:paraId="78309831" w14:textId="77777777" w:rsidR="00957F89" w:rsidRPr="00C73849" w:rsidRDefault="00957F89">
      <w:pPr>
        <w:spacing w:before="5"/>
        <w:rPr>
          <w:rFonts w:ascii="Times New Roman" w:eastAsia="Times New Roman" w:hAnsi="Times New Roman" w:cs="Times New Roman"/>
          <w:b/>
          <w:bCs/>
          <w:sz w:val="20"/>
          <w:szCs w:val="20"/>
        </w:rPr>
      </w:pPr>
    </w:p>
    <w:p w14:paraId="7B4B812A" w14:textId="77777777" w:rsidR="00957F89" w:rsidRPr="00C73849" w:rsidRDefault="00D92D87">
      <w:pPr>
        <w:pStyle w:val="BodyText"/>
      </w:pPr>
      <w:r w:rsidRPr="00C73849">
        <w:t>No specific studies have been performed to date.</w:t>
      </w:r>
    </w:p>
    <w:p w14:paraId="1AA721B8" w14:textId="77777777" w:rsidR="00957F89" w:rsidRPr="00C73849" w:rsidRDefault="00957F89">
      <w:pPr>
        <w:rPr>
          <w:rFonts w:ascii="Times New Roman" w:eastAsia="Times New Roman" w:hAnsi="Times New Roman" w:cs="Times New Roman"/>
          <w:sz w:val="24"/>
          <w:szCs w:val="24"/>
        </w:rPr>
      </w:pPr>
    </w:p>
    <w:p w14:paraId="18C55442" w14:textId="77777777" w:rsidR="00957F89" w:rsidRPr="00C73849" w:rsidRDefault="00D92D87" w:rsidP="00F670E8">
      <w:pPr>
        <w:pStyle w:val="Heading3"/>
        <w:numPr>
          <w:ilvl w:val="2"/>
          <w:numId w:val="3"/>
        </w:numPr>
        <w:rPr>
          <w:rFonts w:eastAsia="Times New Roman" w:hAnsi="Times New Roman" w:cs="Times New Roman"/>
          <w:szCs w:val="24"/>
        </w:rPr>
      </w:pPr>
      <w:bookmarkStart w:id="62" w:name="_Toc34899962"/>
      <w:bookmarkStart w:id="63" w:name="_Toc33702491"/>
      <w:bookmarkStart w:id="64" w:name="_Toc176276925"/>
      <w:r w:rsidRPr="00C73849">
        <w:t>Safety Pharmacology</w:t>
      </w:r>
      <w:bookmarkEnd w:id="62"/>
      <w:bookmarkEnd w:id="63"/>
      <w:bookmarkEnd w:id="64"/>
    </w:p>
    <w:p w14:paraId="653E153B" w14:textId="77777777" w:rsidR="00957F89" w:rsidRPr="00C73849" w:rsidRDefault="00957F89">
      <w:pPr>
        <w:spacing w:before="1"/>
        <w:rPr>
          <w:rFonts w:ascii="Times New Roman" w:eastAsia="Times New Roman" w:hAnsi="Times New Roman" w:cs="Times New Roman"/>
          <w:b/>
          <w:bCs/>
          <w:sz w:val="21"/>
          <w:szCs w:val="21"/>
        </w:rPr>
      </w:pPr>
    </w:p>
    <w:p w14:paraId="19C16D8D" w14:textId="1076298A" w:rsidR="00957F89" w:rsidRPr="00C73849" w:rsidRDefault="00D92D87" w:rsidP="003731FB">
      <w:pPr>
        <w:pStyle w:val="BodyText"/>
        <w:spacing w:line="232" w:lineRule="auto"/>
        <w:ind w:right="151"/>
      </w:pPr>
      <w:r w:rsidRPr="00C73849">
        <w:t xml:space="preserve">In all nonclinical safety pharmacology studies except for the </w:t>
      </w:r>
      <w:proofErr w:type="spellStart"/>
      <w:r w:rsidRPr="00C73849">
        <w:t>hERG</w:t>
      </w:r>
      <w:proofErr w:type="spellEnd"/>
      <w:r w:rsidRPr="00C73849">
        <w:t xml:space="preserve"> assay, the test item was prepared by dissolving non-hyperpolarized [1-</w:t>
      </w:r>
      <w:r w:rsidR="00143E84" w:rsidRPr="005F6CE7">
        <w:rPr>
          <w:vertAlign w:val="superscript"/>
        </w:rPr>
        <w:t>13</w:t>
      </w:r>
      <w:proofErr w:type="gramStart"/>
      <w:r w:rsidR="00143E84">
        <w:t>C</w:t>
      </w:r>
      <w:r w:rsidRPr="00C73849">
        <w:t>]pyruvic</w:t>
      </w:r>
      <w:proofErr w:type="gramEnd"/>
      <w:r w:rsidRPr="00C73849">
        <w:t xml:space="preserve"> acid or pyruvic acid, with or without</w:t>
      </w:r>
      <w:r w:rsidRPr="00C73849">
        <w:rPr>
          <w:w w:val="99"/>
        </w:rPr>
        <w:t xml:space="preserve"> </w:t>
      </w:r>
      <w:r w:rsidRPr="00C73849">
        <w:t>AH111501, in a TRIS/EDTA dissolution medium, followed by heating to 80</w:t>
      </w:r>
      <w:r w:rsidRPr="00C73849">
        <w:rPr>
          <w:rFonts w:ascii="Symbol" w:eastAsia="Symbol" w:hAnsi="Symbol" w:cs="Symbol"/>
        </w:rPr>
        <w:t></w:t>
      </w:r>
      <w:r w:rsidRPr="00C73849">
        <w:t>C and cooling to</w:t>
      </w:r>
      <w:r w:rsidRPr="00C73849">
        <w:rPr>
          <w:w w:val="99"/>
        </w:rPr>
        <w:t xml:space="preserve"> </w:t>
      </w:r>
      <w:r w:rsidRPr="00C73849">
        <w:t>37</w:t>
      </w:r>
      <w:r w:rsidRPr="00C73849">
        <w:rPr>
          <w:rFonts w:ascii="Symbol" w:eastAsia="Symbol" w:hAnsi="Symbol" w:cs="Symbol"/>
        </w:rPr>
        <w:t></w:t>
      </w:r>
      <w:r w:rsidRPr="00C73849">
        <w:t xml:space="preserve">C. The preparation of the nonclinical test item was performed </w:t>
      </w:r>
      <w:r w:rsidR="0099381E" w:rsidRPr="00C73849">
        <w:t>to</w:t>
      </w:r>
      <w:r w:rsidRPr="00C73849">
        <w:t xml:space="preserve"> mimic, as far as practically possible, the then intended preparation process for Hyperpolarized Pyruvate (</w:t>
      </w:r>
      <w:r w:rsidR="002C4F05" w:rsidRPr="005F6CE7">
        <w:rPr>
          <w:vertAlign w:val="superscript"/>
        </w:rPr>
        <w:t>13</w:t>
      </w:r>
      <w:r w:rsidR="002C4F05">
        <w:t xml:space="preserve">C) </w:t>
      </w:r>
      <w:r w:rsidRPr="00C73849">
        <w:t>Injection. Initially</w:t>
      </w:r>
      <w:r w:rsidR="002C4F05">
        <w:t>,</w:t>
      </w:r>
      <w:r w:rsidRPr="00C73849">
        <w:t xml:space="preserve"> a test article of 500 mM (44 mg/ml) pyruvate and 0.85 mg/ml AH111501 in</w:t>
      </w:r>
      <w:r w:rsidRPr="00C73849">
        <w:rPr>
          <w:w w:val="99"/>
        </w:rPr>
        <w:t xml:space="preserve"> </w:t>
      </w:r>
      <w:r w:rsidRPr="00C73849">
        <w:t>200 mM TRIS with 0.1 mg/ml Na</w:t>
      </w:r>
      <w:r w:rsidRPr="00C73849">
        <w:rPr>
          <w:position w:val="-2"/>
          <w:sz w:val="16"/>
          <w:szCs w:val="16"/>
        </w:rPr>
        <w:t>2</w:t>
      </w:r>
      <w:r w:rsidRPr="00C73849">
        <w:t>EDTA and 360 mM NaOH was used in the nonclinical</w:t>
      </w:r>
      <w:r w:rsidRPr="00C73849">
        <w:rPr>
          <w:w w:val="99"/>
        </w:rPr>
        <w:t xml:space="preserve"> </w:t>
      </w:r>
      <w:r w:rsidRPr="00C73849">
        <w:t>studies. Two non-GLP studies of the cardiovascular effects of rapid (5 ml/s) intravenous</w:t>
      </w:r>
      <w:r w:rsidRPr="00C73849">
        <w:rPr>
          <w:w w:val="99"/>
        </w:rPr>
        <w:t xml:space="preserve"> </w:t>
      </w:r>
      <w:r w:rsidRPr="00C73849">
        <w:t xml:space="preserve">administration of the test article (without AH111501) demonstrated that the high osmolality (approx. 1000 </w:t>
      </w:r>
      <w:proofErr w:type="spellStart"/>
      <w:r w:rsidRPr="00C73849">
        <w:t>mOsmol</w:t>
      </w:r>
      <w:proofErr w:type="spellEnd"/>
      <w:r w:rsidRPr="00C73849">
        <w:t>/kg) contributed to effects on the cardiovascular system. A test article</w:t>
      </w:r>
      <w:r w:rsidR="00B932EA">
        <w:t xml:space="preserve"> </w:t>
      </w:r>
      <w:r w:rsidRPr="00C73849">
        <w:t>of 250 mM (22 mg/ml) pyruvate and 0.43 mg/ml AH111501 in 100 mM TRIS with 0.1 mg/ml</w:t>
      </w:r>
      <w:r w:rsidRPr="00C73849">
        <w:rPr>
          <w:w w:val="99"/>
        </w:rPr>
        <w:t xml:space="preserve"> </w:t>
      </w:r>
      <w:r w:rsidRPr="00C73849">
        <w:t>Na</w:t>
      </w:r>
      <w:r w:rsidRPr="00C73849">
        <w:rPr>
          <w:position w:val="-2"/>
          <w:sz w:val="16"/>
        </w:rPr>
        <w:t>2</w:t>
      </w:r>
      <w:r w:rsidRPr="00C73849">
        <w:t>EDTA and 180 mM NaOH was used for the remaining studies. This test article had an</w:t>
      </w:r>
      <w:r w:rsidRPr="00C73849">
        <w:rPr>
          <w:w w:val="99"/>
        </w:rPr>
        <w:t xml:space="preserve"> </w:t>
      </w:r>
      <w:r w:rsidRPr="00C73849">
        <w:t xml:space="preserve">osmolality of approx. 500 </w:t>
      </w:r>
      <w:proofErr w:type="spellStart"/>
      <w:r w:rsidRPr="00C73849">
        <w:t>mOsmol</w:t>
      </w:r>
      <w:proofErr w:type="spellEnd"/>
      <w:r w:rsidRPr="00C73849">
        <w:t>/kg.</w:t>
      </w:r>
    </w:p>
    <w:p w14:paraId="2C946A07" w14:textId="77777777" w:rsidR="00957F89" w:rsidRPr="00C73849" w:rsidRDefault="00957F89">
      <w:pPr>
        <w:spacing w:before="7"/>
        <w:rPr>
          <w:rFonts w:ascii="Times New Roman" w:eastAsia="Times New Roman" w:hAnsi="Times New Roman" w:cs="Times New Roman"/>
          <w:sz w:val="20"/>
          <w:szCs w:val="20"/>
        </w:rPr>
      </w:pPr>
    </w:p>
    <w:p w14:paraId="54B46409" w14:textId="77777777" w:rsidR="00957F89" w:rsidRPr="00C73849" w:rsidRDefault="00D92D87">
      <w:pPr>
        <w:pStyle w:val="BodyText"/>
        <w:ind w:right="151"/>
      </w:pPr>
      <w:r w:rsidRPr="00C73849">
        <w:t>In several studies a test item where AH111501 had been removed by solid phase extraction</w:t>
      </w:r>
      <w:r w:rsidRPr="00C73849">
        <w:rPr>
          <w:w w:val="99"/>
        </w:rPr>
        <w:t xml:space="preserve"> </w:t>
      </w:r>
      <w:r w:rsidRPr="00C73849">
        <w:t>following dissolution was used. This test item is referred to as “filtered test item” in the</w:t>
      </w:r>
      <w:r w:rsidRPr="00C73849">
        <w:rPr>
          <w:w w:val="99"/>
        </w:rPr>
        <w:t xml:space="preserve"> </w:t>
      </w:r>
      <w:r w:rsidRPr="00C73849">
        <w:t xml:space="preserve">following </w:t>
      </w:r>
      <w:r w:rsidRPr="00C73849">
        <w:lastRenderedPageBreak/>
        <w:t>text. Filtered test item contained approx. 0.4 µM AH111501.</w:t>
      </w:r>
    </w:p>
    <w:p w14:paraId="276E90C7" w14:textId="77777777" w:rsidR="00957F89" w:rsidRPr="00C73849" w:rsidRDefault="00957F89">
      <w:pPr>
        <w:spacing w:before="10"/>
        <w:rPr>
          <w:rFonts w:ascii="Times New Roman" w:eastAsia="Times New Roman" w:hAnsi="Times New Roman" w:cs="Times New Roman"/>
          <w:sz w:val="20"/>
          <w:szCs w:val="20"/>
        </w:rPr>
      </w:pPr>
    </w:p>
    <w:p w14:paraId="57B4DE29" w14:textId="0A2A2372" w:rsidR="00957F89" w:rsidRDefault="00D92D87">
      <w:pPr>
        <w:pStyle w:val="BodyText"/>
      </w:pPr>
      <w:r w:rsidRPr="00C73849">
        <w:t>All test item test articles were used within 4 h after</w:t>
      </w:r>
      <w:r w:rsidR="007E195F">
        <w:t xml:space="preserve"> of</w:t>
      </w:r>
      <w:r w:rsidRPr="00C73849">
        <w:t xml:space="preserve"> dissolution.</w:t>
      </w:r>
    </w:p>
    <w:p w14:paraId="50BBA9C1" w14:textId="77777777" w:rsidR="008D57ED" w:rsidRPr="00C73849" w:rsidRDefault="008D57ED">
      <w:pPr>
        <w:pStyle w:val="BodyText"/>
      </w:pPr>
    </w:p>
    <w:p w14:paraId="4A6C294E" w14:textId="4535B93A" w:rsidR="00957F89" w:rsidRPr="00C73849" w:rsidRDefault="00D92D87" w:rsidP="00F670E8">
      <w:pPr>
        <w:pStyle w:val="Heading4"/>
        <w:numPr>
          <w:ilvl w:val="3"/>
          <w:numId w:val="10"/>
        </w:numPr>
        <w:rPr>
          <w:rFonts w:eastAsia="Times New Roman" w:hAnsi="Times New Roman" w:cs="Times New Roman"/>
          <w:szCs w:val="24"/>
        </w:rPr>
      </w:pPr>
      <w:r w:rsidRPr="00C73849">
        <w:t>In vitro assays</w:t>
      </w:r>
    </w:p>
    <w:p w14:paraId="32796729" w14:textId="47BDB04D" w:rsidR="00957F89" w:rsidRPr="00C73849" w:rsidRDefault="00373523" w:rsidP="00373523">
      <w:pPr>
        <w:keepNext/>
        <w:keepLines/>
        <w:tabs>
          <w:tab w:val="left" w:pos="1223"/>
        </w:tabs>
        <w:spacing w:before="120"/>
        <w:ind w:left="142"/>
        <w:rPr>
          <w:rFonts w:ascii="Times New Roman" w:eastAsia="Times New Roman" w:hAnsi="Times New Roman" w:cs="Times New Roman"/>
          <w:sz w:val="24"/>
          <w:szCs w:val="24"/>
        </w:rPr>
      </w:pPr>
      <w:r>
        <w:rPr>
          <w:rFonts w:ascii="Times New Roman"/>
          <w:b/>
          <w:sz w:val="24"/>
        </w:rPr>
        <w:t xml:space="preserve">5.1.3.1.1. </w:t>
      </w:r>
      <w:r>
        <w:rPr>
          <w:rFonts w:ascii="Times New Roman"/>
          <w:b/>
          <w:sz w:val="24"/>
        </w:rPr>
        <w:tab/>
      </w:r>
      <w:r w:rsidR="00D92D87" w:rsidRPr="00C73849">
        <w:rPr>
          <w:rFonts w:ascii="Times New Roman"/>
          <w:b/>
          <w:sz w:val="24"/>
        </w:rPr>
        <w:t xml:space="preserve">RCC </w:t>
      </w:r>
      <w:r w:rsidR="00547D49">
        <w:rPr>
          <w:rFonts w:ascii="Times New Roman"/>
          <w:b/>
          <w:sz w:val="24"/>
        </w:rPr>
        <w:t>S</w:t>
      </w:r>
      <w:r w:rsidR="00D92D87" w:rsidRPr="00C73849">
        <w:rPr>
          <w:rFonts w:ascii="Times New Roman"/>
          <w:b/>
          <w:sz w:val="24"/>
        </w:rPr>
        <w:t xml:space="preserve">tudy 858776 (GE </w:t>
      </w:r>
      <w:r w:rsidR="006E30F3">
        <w:rPr>
          <w:rFonts w:ascii="Times New Roman"/>
          <w:b/>
          <w:sz w:val="24"/>
        </w:rPr>
        <w:t>S</w:t>
      </w:r>
      <w:r w:rsidR="00D92D87" w:rsidRPr="00C73849">
        <w:rPr>
          <w:rFonts w:ascii="Times New Roman"/>
          <w:b/>
          <w:sz w:val="24"/>
        </w:rPr>
        <w:t xml:space="preserve">tudy </w:t>
      </w:r>
      <w:r w:rsidR="006E30F3">
        <w:rPr>
          <w:rFonts w:ascii="Times New Roman"/>
          <w:b/>
          <w:sz w:val="24"/>
        </w:rPr>
        <w:t>N</w:t>
      </w:r>
      <w:r w:rsidR="00D92D87" w:rsidRPr="00C73849">
        <w:rPr>
          <w:rFonts w:ascii="Times New Roman"/>
          <w:b/>
          <w:sz w:val="24"/>
        </w:rPr>
        <w:t>umber B101021)</w:t>
      </w:r>
      <w:r w:rsidR="00B122EE">
        <w:rPr>
          <w:rFonts w:ascii="Times New Roman"/>
          <w:b/>
          <w:sz w:val="24"/>
        </w:rPr>
        <w:t xml:space="preserve"> </w:t>
      </w:r>
    </w:p>
    <w:p w14:paraId="767750DB" w14:textId="36417C48" w:rsidR="00957F89" w:rsidRPr="00C73849" w:rsidRDefault="00D92D87" w:rsidP="008D57ED">
      <w:pPr>
        <w:keepNext/>
        <w:keepLines/>
        <w:ind w:left="1222" w:right="151"/>
        <w:rPr>
          <w:rFonts w:ascii="Times New Roman" w:eastAsia="Times New Roman" w:hAnsi="Times New Roman" w:cs="Times New Roman"/>
          <w:sz w:val="24"/>
          <w:szCs w:val="24"/>
        </w:rPr>
      </w:pPr>
      <w:r w:rsidRPr="00C73849">
        <w:rPr>
          <w:rFonts w:ascii="Times New Roman"/>
          <w:b/>
          <w:sz w:val="24"/>
        </w:rPr>
        <w:t xml:space="preserve">Na-pyruvate and AH111501: Effect on HERG-1 </w:t>
      </w:r>
      <w:r w:rsidR="00547D49">
        <w:rPr>
          <w:rFonts w:ascii="Times New Roman"/>
          <w:b/>
          <w:sz w:val="24"/>
        </w:rPr>
        <w:t>T</w:t>
      </w:r>
      <w:r w:rsidRPr="00C73849">
        <w:rPr>
          <w:rFonts w:ascii="Times New Roman"/>
          <w:b/>
          <w:sz w:val="24"/>
        </w:rPr>
        <w:t xml:space="preserve">ail </w:t>
      </w:r>
      <w:r w:rsidR="00547D49">
        <w:rPr>
          <w:rFonts w:ascii="Times New Roman"/>
          <w:b/>
          <w:sz w:val="24"/>
        </w:rPr>
        <w:t>C</w:t>
      </w:r>
      <w:r w:rsidRPr="00C73849">
        <w:rPr>
          <w:rFonts w:ascii="Times New Roman"/>
          <w:b/>
          <w:sz w:val="24"/>
        </w:rPr>
        <w:t xml:space="preserve">urrents </w:t>
      </w:r>
      <w:r w:rsidR="00547D49">
        <w:rPr>
          <w:rFonts w:ascii="Times New Roman"/>
          <w:b/>
          <w:sz w:val="24"/>
        </w:rPr>
        <w:t>R</w:t>
      </w:r>
      <w:r w:rsidRPr="00C73849">
        <w:rPr>
          <w:rFonts w:ascii="Times New Roman"/>
          <w:b/>
          <w:sz w:val="24"/>
        </w:rPr>
        <w:t xml:space="preserve">ecorded from </w:t>
      </w:r>
      <w:r w:rsidR="00547D49">
        <w:rPr>
          <w:rFonts w:ascii="Times New Roman"/>
          <w:b/>
          <w:sz w:val="24"/>
        </w:rPr>
        <w:t>S</w:t>
      </w:r>
      <w:r w:rsidRPr="00C73849">
        <w:rPr>
          <w:rFonts w:ascii="Times New Roman"/>
          <w:b/>
          <w:sz w:val="24"/>
        </w:rPr>
        <w:t xml:space="preserve">tably </w:t>
      </w:r>
      <w:r w:rsidR="00547D49">
        <w:rPr>
          <w:rFonts w:ascii="Times New Roman"/>
          <w:b/>
          <w:sz w:val="24"/>
        </w:rPr>
        <w:t>T</w:t>
      </w:r>
      <w:r w:rsidRPr="00C73849">
        <w:rPr>
          <w:rFonts w:ascii="Times New Roman"/>
          <w:b/>
          <w:sz w:val="24"/>
        </w:rPr>
        <w:t>ransfected HEK 293 Cells (GLP)</w:t>
      </w:r>
    </w:p>
    <w:p w14:paraId="5A65CDE7" w14:textId="77777777" w:rsidR="00957F89" w:rsidRPr="00C73849" w:rsidRDefault="00957F89" w:rsidP="008D57ED">
      <w:pPr>
        <w:keepNext/>
        <w:keepLines/>
        <w:spacing w:before="5"/>
        <w:rPr>
          <w:rFonts w:ascii="Times New Roman" w:eastAsia="Times New Roman" w:hAnsi="Times New Roman" w:cs="Times New Roman"/>
          <w:b/>
          <w:bCs/>
          <w:sz w:val="20"/>
          <w:szCs w:val="20"/>
        </w:rPr>
      </w:pPr>
    </w:p>
    <w:p w14:paraId="0E9909F0" w14:textId="6BAC72E6" w:rsidR="00957F89" w:rsidRPr="00C73849" w:rsidRDefault="00D92D87" w:rsidP="005D3932">
      <w:pPr>
        <w:pStyle w:val="BodyText"/>
      </w:pPr>
      <w:r w:rsidRPr="00C73849">
        <w:t>hERG-1 tail currents elicited by a voltage protocol were recorded from stably transfected</w:t>
      </w:r>
      <w:r w:rsidR="00027679">
        <w:t xml:space="preserve"> </w:t>
      </w:r>
      <w:r w:rsidRPr="00C73849">
        <w:t>HEK 293 cells using the whole-cell patch-clamp technique. The test items were investigated at</w:t>
      </w:r>
      <w:r w:rsidRPr="00C73849">
        <w:rPr>
          <w:w w:val="99"/>
        </w:rPr>
        <w:t xml:space="preserve"> </w:t>
      </w:r>
      <w:r w:rsidRPr="00C73849">
        <w:t>nominal concentrations of 7.35 mg/ml for AH111501 and an initial target concentration of</w:t>
      </w:r>
      <w:r w:rsidR="00027679">
        <w:t xml:space="preserve"> </w:t>
      </w:r>
      <w:r w:rsidRPr="00C73849">
        <w:t>8 mg/ml for sodium pyruvate. A hyperosmolar control (22 mg/ml mannitol) and the reference</w:t>
      </w:r>
      <w:r w:rsidRPr="00C73849">
        <w:rPr>
          <w:w w:val="99"/>
        </w:rPr>
        <w:t xml:space="preserve"> </w:t>
      </w:r>
      <w:r w:rsidRPr="00C73849">
        <w:t>item E-4031 were investigated in separate groups of cells. Vehicle effects were investigated in</w:t>
      </w:r>
      <w:r w:rsidRPr="00C73849">
        <w:rPr>
          <w:w w:val="99"/>
        </w:rPr>
        <w:t xml:space="preserve"> </w:t>
      </w:r>
      <w:r w:rsidRPr="00C73849">
        <w:t>an additional group of cells. All recordings were performed at room temperature. hERG-1 tail</w:t>
      </w:r>
      <w:r w:rsidRPr="00C73849">
        <w:rPr>
          <w:w w:val="99"/>
        </w:rPr>
        <w:t xml:space="preserve"> </w:t>
      </w:r>
      <w:r w:rsidRPr="00C73849">
        <w:t>current amplitudes at the end of the application were compared to the tail current amplitudes at</w:t>
      </w:r>
      <w:r w:rsidRPr="00C73849">
        <w:rPr>
          <w:w w:val="99"/>
        </w:rPr>
        <w:t xml:space="preserve"> </w:t>
      </w:r>
      <w:r w:rsidRPr="00C73849">
        <w:t>the pre-treatment phase of the same cell (relative tail current).</w:t>
      </w:r>
    </w:p>
    <w:p w14:paraId="201EE8B2" w14:textId="77777777" w:rsidR="00957F89" w:rsidRPr="00C73849" w:rsidRDefault="00957F89" w:rsidP="005D3932">
      <w:pPr>
        <w:spacing w:before="10"/>
        <w:rPr>
          <w:rFonts w:ascii="Times New Roman" w:eastAsia="Times New Roman" w:hAnsi="Times New Roman" w:cs="Times New Roman"/>
          <w:sz w:val="20"/>
          <w:szCs w:val="20"/>
        </w:rPr>
      </w:pPr>
    </w:p>
    <w:p w14:paraId="5CD1CA75" w14:textId="77777777" w:rsidR="00957F89" w:rsidRPr="00C73849" w:rsidRDefault="00D92D87" w:rsidP="005D3932">
      <w:pPr>
        <w:pStyle w:val="BodyText"/>
        <w:ind w:right="248"/>
      </w:pPr>
      <w:r w:rsidRPr="00C73849">
        <w:t>Exposure levels of cells treated with sodium pyruvate could not be confirmed, as this test item</w:t>
      </w:r>
      <w:r w:rsidRPr="00C73849">
        <w:rPr>
          <w:w w:val="99"/>
        </w:rPr>
        <w:t xml:space="preserve"> </w:t>
      </w:r>
      <w:r w:rsidRPr="00C73849">
        <w:t>was found not to be stable while frozen. The study had to be repeated at another test site. At this site the initial planned test concentration of 8 mg/ml sodium pyruvate could not be assayed due to non-specific membrane effects observed right after perfusion to the patch-clamped cell.</w:t>
      </w:r>
      <w:r w:rsidRPr="00C73849">
        <w:rPr>
          <w:w w:val="99"/>
        </w:rPr>
        <w:t xml:space="preserve"> </w:t>
      </w:r>
      <w:r w:rsidRPr="00C73849">
        <w:t xml:space="preserve">The tail current inhibition present in these experiments was ascribed to an increase in the series resistance rather than an interaction of the test item with the </w:t>
      </w:r>
      <w:proofErr w:type="spellStart"/>
      <w:r w:rsidRPr="00C73849">
        <w:t>hERG</w:t>
      </w:r>
      <w:proofErr w:type="spellEnd"/>
      <w:r w:rsidRPr="00C73849">
        <w:t xml:space="preserve"> channel. Thus, sodium</w:t>
      </w:r>
      <w:r w:rsidRPr="00C73849">
        <w:rPr>
          <w:w w:val="99"/>
        </w:rPr>
        <w:t xml:space="preserve"> </w:t>
      </w:r>
      <w:r w:rsidRPr="00C73849">
        <w:t>pyruvate was tested at a lower concentration of 4 mg/ml.</w:t>
      </w:r>
    </w:p>
    <w:p w14:paraId="7750C384" w14:textId="77777777" w:rsidR="00957F89" w:rsidRPr="00C73849" w:rsidRDefault="00957F89" w:rsidP="005D3932">
      <w:pPr>
        <w:spacing w:before="10"/>
        <w:rPr>
          <w:rFonts w:ascii="Times New Roman" w:eastAsia="Times New Roman" w:hAnsi="Times New Roman" w:cs="Times New Roman"/>
          <w:sz w:val="20"/>
          <w:szCs w:val="20"/>
        </w:rPr>
      </w:pPr>
    </w:p>
    <w:p w14:paraId="70699710" w14:textId="77777777" w:rsidR="00957F89" w:rsidRPr="00C73849" w:rsidRDefault="00D92D87" w:rsidP="005D3932">
      <w:pPr>
        <w:pStyle w:val="BodyText"/>
        <w:spacing w:line="239" w:lineRule="auto"/>
        <w:ind w:right="405"/>
      </w:pPr>
      <w:r w:rsidRPr="00C73849">
        <w:t>In the initial recordings a mean relative tail current of 93.8% was seen for the vehicle, and a</w:t>
      </w:r>
      <w:r w:rsidRPr="00C73849">
        <w:rPr>
          <w:w w:val="99"/>
        </w:rPr>
        <w:t xml:space="preserve"> </w:t>
      </w:r>
      <w:r w:rsidRPr="00C73849">
        <w:t>mean relative tail current of 83.5% was observed in the cells treated with 7.35 mg/ml</w:t>
      </w:r>
      <w:r w:rsidRPr="00C73849">
        <w:rPr>
          <w:w w:val="99"/>
        </w:rPr>
        <w:t xml:space="preserve"> </w:t>
      </w:r>
      <w:r w:rsidRPr="00C73849">
        <w:t>AH111501. The relative tail current amplitude of the cells treated with the reference item</w:t>
      </w:r>
      <w:r w:rsidR="001E1911">
        <w:rPr>
          <w:w w:val="99"/>
        </w:rPr>
        <w:t xml:space="preserve"> </w:t>
      </w:r>
      <w:r w:rsidRPr="00C73849">
        <w:t xml:space="preserve">(100 </w:t>
      </w:r>
      <w:proofErr w:type="spellStart"/>
      <w:r w:rsidRPr="00C73849">
        <w:t>nM</w:t>
      </w:r>
      <w:proofErr w:type="spellEnd"/>
      <w:r w:rsidRPr="00C73849">
        <w:t xml:space="preserve"> E-4031) was 14.3%, supporting validity of the employed test system. In the second</w:t>
      </w:r>
      <w:r w:rsidRPr="00C73849">
        <w:rPr>
          <w:w w:val="99"/>
        </w:rPr>
        <w:t xml:space="preserve"> </w:t>
      </w:r>
      <w:r w:rsidRPr="00C73849">
        <w:t>series of experiments a mean relative tail current of 101.0% was noted in the cells treated with</w:t>
      </w:r>
      <w:r w:rsidRPr="00C73849">
        <w:rPr>
          <w:w w:val="99"/>
        </w:rPr>
        <w:t xml:space="preserve"> </w:t>
      </w:r>
      <w:r w:rsidRPr="00C73849">
        <w:t>4 mg/ml sodium pyruvate and a mean relative tail current of 96.8% was recorded in the cells</w:t>
      </w:r>
      <w:r w:rsidRPr="00C73849">
        <w:rPr>
          <w:w w:val="99"/>
        </w:rPr>
        <w:t xml:space="preserve"> </w:t>
      </w:r>
      <w:r w:rsidRPr="00C73849">
        <w:t xml:space="preserve">treated with the vehicle only. The positive control item, 100 </w:t>
      </w:r>
      <w:proofErr w:type="spellStart"/>
      <w:r w:rsidRPr="00C73849">
        <w:t>nM</w:t>
      </w:r>
      <w:proofErr w:type="spellEnd"/>
      <w:r w:rsidRPr="00C73849">
        <w:t xml:space="preserve"> E-4031, reduced the relative</w:t>
      </w:r>
      <w:r w:rsidRPr="00C73849">
        <w:rPr>
          <w:w w:val="99"/>
        </w:rPr>
        <w:t xml:space="preserve"> </w:t>
      </w:r>
      <w:r w:rsidRPr="00C73849">
        <w:t>tail current to 6.0% of the original level.</w:t>
      </w:r>
    </w:p>
    <w:p w14:paraId="1DD5213F" w14:textId="77777777" w:rsidR="00957F89" w:rsidRPr="00C73849" w:rsidRDefault="00957F89" w:rsidP="005D3932">
      <w:pPr>
        <w:spacing w:before="10"/>
        <w:rPr>
          <w:rFonts w:ascii="Times New Roman" w:eastAsia="Times New Roman" w:hAnsi="Times New Roman" w:cs="Times New Roman"/>
          <w:sz w:val="20"/>
          <w:szCs w:val="20"/>
        </w:rPr>
      </w:pPr>
    </w:p>
    <w:p w14:paraId="14693F09" w14:textId="77777777" w:rsidR="00957F89" w:rsidRPr="00C73849" w:rsidRDefault="00D92D87" w:rsidP="005D3932">
      <w:pPr>
        <w:pStyle w:val="BodyText"/>
        <w:ind w:right="264"/>
      </w:pPr>
      <w:r w:rsidRPr="00C73849">
        <w:t>The relative tail current amplitude of the groups treated with 8 mg/ml sodium pyruvate or with</w:t>
      </w:r>
      <w:r w:rsidRPr="00C73849">
        <w:rPr>
          <w:w w:val="99"/>
        </w:rPr>
        <w:t xml:space="preserve"> </w:t>
      </w:r>
      <w:r w:rsidRPr="00C73849">
        <w:t>the hyperosmolar control did not differ significantly from the vehicle group results in the initial</w:t>
      </w:r>
      <w:r w:rsidRPr="00C73849">
        <w:rPr>
          <w:w w:val="99"/>
        </w:rPr>
        <w:t xml:space="preserve"> </w:t>
      </w:r>
      <w:r w:rsidRPr="00C73849">
        <w:t>experiment. As such, there were no relevant test item-related findings in this study. However, 4 mg/ml sodium pyruvate is reported as the maximum concentration demonstrating no current</w:t>
      </w:r>
      <w:r w:rsidRPr="00C73849">
        <w:rPr>
          <w:w w:val="99"/>
        </w:rPr>
        <w:t xml:space="preserve"> </w:t>
      </w:r>
      <w:r w:rsidRPr="00C73849">
        <w:t>inhibition of the hERG-1 channel, as exposure could not be verified for the higher</w:t>
      </w:r>
      <w:r w:rsidRPr="00C73849">
        <w:rPr>
          <w:w w:val="99"/>
        </w:rPr>
        <w:t xml:space="preserve"> </w:t>
      </w:r>
      <w:r w:rsidRPr="00C73849">
        <w:t>concentration.</w:t>
      </w:r>
    </w:p>
    <w:p w14:paraId="24A40B3F" w14:textId="77777777" w:rsidR="00957F89" w:rsidRDefault="00957F89" w:rsidP="005D3932">
      <w:pPr>
        <w:spacing w:before="8"/>
      </w:pPr>
    </w:p>
    <w:p w14:paraId="44503499" w14:textId="04F73538" w:rsidR="00957F89" w:rsidRPr="00C73849" w:rsidRDefault="00D92D87" w:rsidP="00F670E8">
      <w:pPr>
        <w:pStyle w:val="Heading4"/>
        <w:numPr>
          <w:ilvl w:val="3"/>
          <w:numId w:val="10"/>
        </w:numPr>
        <w:rPr>
          <w:rFonts w:eastAsia="Times New Roman" w:hAnsi="Times New Roman" w:cs="Times New Roman"/>
          <w:szCs w:val="24"/>
        </w:rPr>
      </w:pPr>
      <w:r w:rsidRPr="00C73849">
        <w:t>Effects on the Cardiovascular System in the Conscious Dog</w:t>
      </w:r>
    </w:p>
    <w:p w14:paraId="53FE9AB6" w14:textId="7189059B" w:rsidR="0017076B" w:rsidRPr="0017076B" w:rsidRDefault="00373523" w:rsidP="00373523">
      <w:pPr>
        <w:pStyle w:val="ListParagraph"/>
        <w:keepNext/>
        <w:tabs>
          <w:tab w:val="left" w:pos="1223"/>
        </w:tabs>
        <w:spacing w:before="120"/>
        <w:rPr>
          <w:rFonts w:ascii="Times New Roman" w:eastAsia="Times New Roman" w:hAnsi="Times New Roman" w:cs="Times New Roman"/>
          <w:sz w:val="24"/>
          <w:szCs w:val="24"/>
        </w:rPr>
      </w:pPr>
      <w:r>
        <w:rPr>
          <w:rFonts w:ascii="Times New Roman"/>
          <w:b/>
          <w:sz w:val="24"/>
        </w:rPr>
        <w:t xml:space="preserve">5.1.3.2.1. </w:t>
      </w:r>
      <w:r>
        <w:rPr>
          <w:rFonts w:ascii="Times New Roman"/>
          <w:b/>
          <w:sz w:val="24"/>
        </w:rPr>
        <w:tab/>
      </w:r>
      <w:r w:rsidR="00D92D87" w:rsidRPr="005A4B55">
        <w:rPr>
          <w:rFonts w:ascii="Times New Roman"/>
          <w:b/>
          <w:sz w:val="24"/>
        </w:rPr>
        <w:t xml:space="preserve">RCC </w:t>
      </w:r>
      <w:r w:rsidR="006E30F3">
        <w:rPr>
          <w:rFonts w:ascii="Times New Roman"/>
          <w:b/>
          <w:sz w:val="24"/>
        </w:rPr>
        <w:t>S</w:t>
      </w:r>
      <w:r w:rsidR="00D92D87" w:rsidRPr="005A4B55">
        <w:rPr>
          <w:rFonts w:ascii="Times New Roman"/>
          <w:b/>
          <w:sz w:val="24"/>
        </w:rPr>
        <w:t xml:space="preserve">tudy 855869 (GE </w:t>
      </w:r>
      <w:r w:rsidR="006E30F3">
        <w:rPr>
          <w:rFonts w:ascii="Times New Roman"/>
          <w:b/>
          <w:sz w:val="24"/>
        </w:rPr>
        <w:t>S</w:t>
      </w:r>
      <w:r w:rsidR="00D92D87" w:rsidRPr="005A4B55">
        <w:rPr>
          <w:rFonts w:ascii="Times New Roman"/>
          <w:b/>
          <w:sz w:val="24"/>
        </w:rPr>
        <w:t xml:space="preserve">tudy </w:t>
      </w:r>
      <w:r w:rsidR="006E30F3">
        <w:rPr>
          <w:rFonts w:ascii="Times New Roman"/>
          <w:b/>
          <w:sz w:val="24"/>
        </w:rPr>
        <w:t>N</w:t>
      </w:r>
      <w:r w:rsidR="00D92D87" w:rsidRPr="005A4B55">
        <w:rPr>
          <w:rFonts w:ascii="Times New Roman"/>
          <w:b/>
          <w:sz w:val="24"/>
        </w:rPr>
        <w:t>umber B101019)</w:t>
      </w:r>
      <w:r w:rsidR="00A36C6D" w:rsidRPr="005A4B55">
        <w:rPr>
          <w:rFonts w:ascii="Times New Roman"/>
          <w:b/>
          <w:sz w:val="24"/>
        </w:rPr>
        <w:t xml:space="preserve"> </w:t>
      </w:r>
    </w:p>
    <w:p w14:paraId="69821CBE" w14:textId="07E9D7DC" w:rsidR="00A36C6D" w:rsidRPr="005A4B55" w:rsidRDefault="00D92D87" w:rsidP="00DD3CDA">
      <w:pPr>
        <w:pStyle w:val="ListParagraph"/>
        <w:keepNext/>
        <w:tabs>
          <w:tab w:val="left" w:pos="1223"/>
        </w:tabs>
        <w:ind w:left="1222"/>
        <w:rPr>
          <w:rFonts w:ascii="Times New Roman" w:eastAsia="Times New Roman" w:hAnsi="Times New Roman" w:cs="Times New Roman"/>
          <w:sz w:val="24"/>
          <w:szCs w:val="24"/>
        </w:rPr>
      </w:pPr>
      <w:r w:rsidRPr="005A4B55">
        <w:rPr>
          <w:rFonts w:ascii="Times New Roman"/>
          <w:b/>
          <w:sz w:val="24"/>
        </w:rPr>
        <w:t xml:space="preserve">AH111501 </w:t>
      </w:r>
      <w:r w:rsidR="006E30F3">
        <w:rPr>
          <w:rFonts w:ascii="Times New Roman"/>
          <w:b/>
          <w:sz w:val="24"/>
        </w:rPr>
        <w:t>D</w:t>
      </w:r>
      <w:r w:rsidRPr="005A4B55">
        <w:rPr>
          <w:rFonts w:ascii="Times New Roman"/>
          <w:b/>
          <w:sz w:val="24"/>
        </w:rPr>
        <w:t xml:space="preserve">issolved in 13C-AH110896: Effects on </w:t>
      </w:r>
      <w:r w:rsidR="006E30F3">
        <w:rPr>
          <w:rFonts w:ascii="Times New Roman"/>
          <w:b/>
          <w:sz w:val="24"/>
        </w:rPr>
        <w:t>C</w:t>
      </w:r>
      <w:r w:rsidRPr="005A4B55">
        <w:rPr>
          <w:rFonts w:ascii="Times New Roman"/>
          <w:b/>
          <w:sz w:val="24"/>
        </w:rPr>
        <w:t xml:space="preserve">ardiovascular and </w:t>
      </w:r>
      <w:r w:rsidR="006E30F3">
        <w:rPr>
          <w:rFonts w:ascii="Times New Roman"/>
          <w:b/>
          <w:sz w:val="24"/>
        </w:rPr>
        <w:t>R</w:t>
      </w:r>
      <w:r w:rsidRPr="005A4B55">
        <w:rPr>
          <w:rFonts w:ascii="Times New Roman"/>
          <w:b/>
          <w:sz w:val="24"/>
        </w:rPr>
        <w:t xml:space="preserve">espiratory </w:t>
      </w:r>
      <w:r w:rsidR="006E30F3">
        <w:rPr>
          <w:rFonts w:ascii="Times New Roman"/>
          <w:b/>
          <w:sz w:val="24"/>
        </w:rPr>
        <w:t>P</w:t>
      </w:r>
      <w:r w:rsidRPr="005A4B55">
        <w:rPr>
          <w:rFonts w:ascii="Times New Roman"/>
          <w:b/>
          <w:sz w:val="24"/>
        </w:rPr>
        <w:t xml:space="preserve">arameters in the </w:t>
      </w:r>
      <w:r w:rsidR="006E30F3">
        <w:rPr>
          <w:rFonts w:ascii="Times New Roman"/>
          <w:b/>
          <w:sz w:val="24"/>
        </w:rPr>
        <w:t>T</w:t>
      </w:r>
      <w:r w:rsidRPr="005A4B55">
        <w:rPr>
          <w:rFonts w:ascii="Times New Roman"/>
          <w:b/>
          <w:sz w:val="24"/>
        </w:rPr>
        <w:t xml:space="preserve">elemetered </w:t>
      </w:r>
      <w:r w:rsidR="006E30F3">
        <w:rPr>
          <w:rFonts w:ascii="Times New Roman"/>
          <w:b/>
          <w:sz w:val="24"/>
        </w:rPr>
        <w:t>D</w:t>
      </w:r>
      <w:r w:rsidRPr="005A4B55">
        <w:rPr>
          <w:rFonts w:ascii="Times New Roman"/>
          <w:b/>
          <w:sz w:val="24"/>
        </w:rPr>
        <w:t>og (GLP</w:t>
      </w:r>
    </w:p>
    <w:p w14:paraId="3F95A30E" w14:textId="77777777" w:rsidR="00957F89" w:rsidRPr="00C73849" w:rsidRDefault="00957F89" w:rsidP="005D3932">
      <w:pPr>
        <w:keepNext/>
        <w:ind w:left="1222" w:right="899"/>
        <w:rPr>
          <w:rFonts w:ascii="Times New Roman" w:eastAsia="Times New Roman" w:hAnsi="Times New Roman" w:cs="Times New Roman"/>
          <w:b/>
          <w:bCs/>
          <w:sz w:val="20"/>
          <w:szCs w:val="20"/>
        </w:rPr>
      </w:pPr>
    </w:p>
    <w:p w14:paraId="6A9D177E" w14:textId="77777777" w:rsidR="00957F89" w:rsidRDefault="00D92D87" w:rsidP="005D3932">
      <w:pPr>
        <w:pStyle w:val="BodyText"/>
        <w:ind w:right="311"/>
      </w:pPr>
      <w:r w:rsidRPr="00C73849">
        <w:t>Four beagle dogs were dosed intravenously by slow bolus injection (5-10 ml/min). All</w:t>
      </w:r>
      <w:r w:rsidRPr="00C73849">
        <w:rPr>
          <w:w w:val="99"/>
        </w:rPr>
        <w:t xml:space="preserve"> </w:t>
      </w:r>
      <w:r w:rsidRPr="00C73849">
        <w:t xml:space="preserve">treatments were given at a dose of 2.9 ml/kg </w:t>
      </w:r>
      <w:proofErr w:type="spellStart"/>
      <w:r w:rsidRPr="00C73849">
        <w:t>bw</w:t>
      </w:r>
      <w:proofErr w:type="spellEnd"/>
      <w:r w:rsidRPr="00C73849">
        <w:t xml:space="preserve">. The </w:t>
      </w:r>
      <w:r w:rsidR="0099381E" w:rsidRPr="00C73849">
        <w:t>period</w:t>
      </w:r>
      <w:r w:rsidRPr="00C73849">
        <w:t xml:space="preserve"> between each treatment</w:t>
      </w:r>
      <w:r w:rsidRPr="00C73849">
        <w:rPr>
          <w:w w:val="99"/>
        </w:rPr>
        <w:t xml:space="preserve"> </w:t>
      </w:r>
      <w:r w:rsidRPr="00C73849">
        <w:t>was at least three days. The dogs were treated with control item (0.9% saline), TRIS/EDTA</w:t>
      </w:r>
      <w:r w:rsidR="00027679">
        <w:t xml:space="preserve"> </w:t>
      </w:r>
      <w:r w:rsidRPr="00C73849">
        <w:t xml:space="preserve">vehicle control solution, </w:t>
      </w:r>
      <w:r w:rsidR="002A7BB9" w:rsidRPr="00C73849">
        <w:lastRenderedPageBreak/>
        <w:t>and test item containing 44.6 mg/ml [1-13C] pyruvate</w:t>
      </w:r>
      <w:r w:rsidRPr="00C73849">
        <w:t xml:space="preserve"> and 0.85 mg/ml</w:t>
      </w:r>
      <w:r w:rsidRPr="00C73849">
        <w:rPr>
          <w:w w:val="99"/>
        </w:rPr>
        <w:t xml:space="preserve"> </w:t>
      </w:r>
      <w:r w:rsidRPr="00C73849">
        <w:t xml:space="preserve">AH111501 and filtered test item. In addition, noradrenaline (5 µg/kg </w:t>
      </w:r>
      <w:proofErr w:type="spellStart"/>
      <w:r w:rsidRPr="00C73849">
        <w:t>bw</w:t>
      </w:r>
      <w:proofErr w:type="spellEnd"/>
      <w:r w:rsidRPr="00C73849">
        <w:t>) was used as a</w:t>
      </w:r>
      <w:r w:rsidRPr="00C73849">
        <w:rPr>
          <w:w w:val="99"/>
        </w:rPr>
        <w:t xml:space="preserve"> </w:t>
      </w:r>
      <w:r w:rsidRPr="00C73849">
        <w:t>positive control substance to test the sensitivity of the model. Blood pressures, heart rate and</w:t>
      </w:r>
      <w:r w:rsidRPr="00C73849">
        <w:rPr>
          <w:w w:val="99"/>
        </w:rPr>
        <w:t xml:space="preserve"> </w:t>
      </w:r>
      <w:r w:rsidRPr="00C73849">
        <w:t>electrocardiograms were monitored up to 120 min after dosing in the restrained animals.</w:t>
      </w:r>
    </w:p>
    <w:p w14:paraId="279B1A96" w14:textId="77777777" w:rsidR="00027679" w:rsidRPr="00C73849" w:rsidRDefault="00027679" w:rsidP="005D3932">
      <w:pPr>
        <w:pStyle w:val="BodyText"/>
        <w:ind w:right="311"/>
      </w:pPr>
    </w:p>
    <w:p w14:paraId="0457AFDB" w14:textId="77777777" w:rsidR="00957F89" w:rsidRPr="00C73849" w:rsidRDefault="00D92D87" w:rsidP="005D3932">
      <w:pPr>
        <w:pStyle w:val="BodyText"/>
        <w:ind w:right="588"/>
        <w:jc w:val="both"/>
      </w:pPr>
      <w:r w:rsidRPr="00C73849">
        <w:t>Clinical signs were monitored throughout the experiment and at least once on return of the</w:t>
      </w:r>
      <w:r w:rsidRPr="00C73849">
        <w:rPr>
          <w:w w:val="99"/>
        </w:rPr>
        <w:t xml:space="preserve"> </w:t>
      </w:r>
      <w:r w:rsidRPr="00C73849">
        <w:t>animals to their home cage. Respiratory rate and tidal volume were monitored. Blood was sampled to verify exposure and for pharmacokinetic analysis.</w:t>
      </w:r>
    </w:p>
    <w:p w14:paraId="3302235A" w14:textId="77777777" w:rsidR="00957F89" w:rsidRPr="00C73849" w:rsidRDefault="00957F89" w:rsidP="005D3932">
      <w:pPr>
        <w:spacing w:before="10"/>
        <w:rPr>
          <w:rFonts w:ascii="Times New Roman" w:eastAsia="Times New Roman" w:hAnsi="Times New Roman" w:cs="Times New Roman"/>
          <w:sz w:val="20"/>
          <w:szCs w:val="20"/>
        </w:rPr>
      </w:pPr>
    </w:p>
    <w:p w14:paraId="7412EF69" w14:textId="77777777" w:rsidR="00957F89" w:rsidRPr="00C73849" w:rsidRDefault="00D92D87" w:rsidP="005D3932">
      <w:pPr>
        <w:pStyle w:val="BodyText"/>
        <w:ind w:right="198"/>
      </w:pPr>
      <w:r w:rsidRPr="00C73849">
        <w:t>Administration of control item (0.9% saline) or vehicle control solution had no overt effects on the measured parameters. Apart from licking during application, animals remained symptom-</w:t>
      </w:r>
      <w:r w:rsidRPr="00C73849">
        <w:rPr>
          <w:w w:val="99"/>
        </w:rPr>
        <w:t xml:space="preserve"> </w:t>
      </w:r>
      <w:r w:rsidRPr="00C73849">
        <w:t>free after treatment with control item (0.9% saline) or vehicle control solution. Intravenous</w:t>
      </w:r>
      <w:r w:rsidRPr="00C73849">
        <w:rPr>
          <w:w w:val="99"/>
        </w:rPr>
        <w:t xml:space="preserve"> </w:t>
      </w:r>
      <w:r w:rsidRPr="00C73849">
        <w:t>injection of the test item containing AH111501 had no marked effects on the measured</w:t>
      </w:r>
      <w:r w:rsidRPr="00C73849">
        <w:rPr>
          <w:w w:val="99"/>
        </w:rPr>
        <w:t xml:space="preserve"> </w:t>
      </w:r>
      <w:r w:rsidRPr="00C73849">
        <w:t>parameters when compared to control item (0.9% saline). Likewise, there were no noticeable</w:t>
      </w:r>
      <w:r w:rsidRPr="00C73849">
        <w:rPr>
          <w:w w:val="99"/>
        </w:rPr>
        <w:t xml:space="preserve"> </w:t>
      </w:r>
      <w:r w:rsidRPr="00C73849">
        <w:t>effects when the test item containing AH111501 was compared to either vehicle control solution or to filtered test item. There were no changes in ECG traces indicative of any effect</w:t>
      </w:r>
      <w:r w:rsidRPr="00C73849">
        <w:rPr>
          <w:w w:val="99"/>
        </w:rPr>
        <w:t xml:space="preserve"> </w:t>
      </w:r>
      <w:r w:rsidRPr="00C73849">
        <w:t>of either test item. Some minor clinical signs, which included licking and slight ptosis, were</w:t>
      </w:r>
      <w:r w:rsidRPr="00C73849">
        <w:rPr>
          <w:w w:val="99"/>
        </w:rPr>
        <w:t xml:space="preserve"> </w:t>
      </w:r>
      <w:r w:rsidRPr="00C73849">
        <w:t>noted during dosing with test item. Intravenous injection of noradrenaline induced the</w:t>
      </w:r>
      <w:r w:rsidRPr="00C73849">
        <w:rPr>
          <w:w w:val="99"/>
        </w:rPr>
        <w:t xml:space="preserve"> </w:t>
      </w:r>
      <w:r w:rsidRPr="00C73849">
        <w:t>expected effects on the cardiovascular parameters, confirming the sensitivity of the test system.</w:t>
      </w:r>
    </w:p>
    <w:p w14:paraId="1577866F" w14:textId="77777777" w:rsidR="00957F89" w:rsidRPr="00C73849" w:rsidRDefault="00957F89" w:rsidP="005D3932">
      <w:pPr>
        <w:spacing w:before="2"/>
        <w:rPr>
          <w:rFonts w:ascii="Times New Roman" w:eastAsia="Times New Roman" w:hAnsi="Times New Roman" w:cs="Times New Roman"/>
          <w:sz w:val="21"/>
          <w:szCs w:val="21"/>
        </w:rPr>
      </w:pPr>
    </w:p>
    <w:p w14:paraId="256D0A65" w14:textId="77777777" w:rsidR="00957F89" w:rsidRPr="00C73849" w:rsidRDefault="00D92D87" w:rsidP="005D3932">
      <w:pPr>
        <w:pStyle w:val="BodyText"/>
        <w:spacing w:line="276" w:lineRule="exact"/>
        <w:ind w:right="227"/>
      </w:pPr>
      <w:r w:rsidRPr="00C73849">
        <w:t>The blood samples were analyzed for [1-</w:t>
      </w:r>
      <w:r w:rsidRPr="00C73849">
        <w:rPr>
          <w:position w:val="11"/>
          <w:sz w:val="16"/>
          <w:szCs w:val="16"/>
        </w:rPr>
        <w:t>13</w:t>
      </w:r>
      <w:proofErr w:type="gramStart"/>
      <w:r w:rsidRPr="00C73849">
        <w:t>C]pyruvate</w:t>
      </w:r>
      <w:proofErr w:type="gramEnd"/>
      <w:r w:rsidRPr="00C73849">
        <w:t xml:space="preserve"> and pyruvate and [1-</w:t>
      </w:r>
      <w:r w:rsidRPr="00C73849">
        <w:rPr>
          <w:position w:val="11"/>
          <w:sz w:val="16"/>
          <w:szCs w:val="16"/>
        </w:rPr>
        <w:t>13</w:t>
      </w:r>
      <w:r w:rsidRPr="00C73849">
        <w:t>C]lactate and</w:t>
      </w:r>
      <w:r w:rsidRPr="00C73849">
        <w:rPr>
          <w:w w:val="99"/>
        </w:rPr>
        <w:t xml:space="preserve"> </w:t>
      </w:r>
      <w:r w:rsidRPr="00C73849">
        <w:t>lactate. Following administration of [1-</w:t>
      </w:r>
      <w:r w:rsidRPr="00C73849">
        <w:rPr>
          <w:position w:val="11"/>
          <w:sz w:val="16"/>
          <w:szCs w:val="16"/>
        </w:rPr>
        <w:t>13</w:t>
      </w:r>
      <w:proofErr w:type="gramStart"/>
      <w:r w:rsidRPr="00C73849">
        <w:t>C]pyruvate</w:t>
      </w:r>
      <w:proofErr w:type="gramEnd"/>
      <w:r w:rsidRPr="00C73849">
        <w:t>, rapid metabolism into [1-</w:t>
      </w:r>
      <w:r w:rsidRPr="00C73849">
        <w:rPr>
          <w:position w:val="11"/>
          <w:sz w:val="16"/>
          <w:szCs w:val="16"/>
        </w:rPr>
        <w:t>13</w:t>
      </w:r>
      <w:r w:rsidRPr="00C73849">
        <w:t>C]lactate was observed. The combined blood concentrations of [1-</w:t>
      </w:r>
      <w:r w:rsidRPr="00C73849">
        <w:rPr>
          <w:position w:val="11"/>
          <w:sz w:val="16"/>
          <w:szCs w:val="16"/>
        </w:rPr>
        <w:t>13</w:t>
      </w:r>
      <w:proofErr w:type="gramStart"/>
      <w:r w:rsidRPr="00C73849">
        <w:t>C]pyruvate</w:t>
      </w:r>
      <w:proofErr w:type="gramEnd"/>
      <w:r w:rsidRPr="00C73849">
        <w:t xml:space="preserve"> and [1-</w:t>
      </w:r>
      <w:r w:rsidRPr="00C73849">
        <w:rPr>
          <w:position w:val="11"/>
          <w:sz w:val="16"/>
          <w:szCs w:val="16"/>
        </w:rPr>
        <w:t>13</w:t>
      </w:r>
      <w:r w:rsidRPr="00C73849">
        <w:t>C]lactate suggested that substantial elimination or distribution into tissues had taken place before the first blood</w:t>
      </w:r>
      <w:r w:rsidRPr="00C73849">
        <w:rPr>
          <w:w w:val="99"/>
        </w:rPr>
        <w:t xml:space="preserve"> </w:t>
      </w:r>
      <w:r w:rsidRPr="00C73849">
        <w:t>sampling time point (5 min). [1-</w:t>
      </w:r>
      <w:r w:rsidRPr="00C73849">
        <w:rPr>
          <w:position w:val="11"/>
          <w:sz w:val="16"/>
          <w:szCs w:val="16"/>
        </w:rPr>
        <w:t>13</w:t>
      </w:r>
      <w:proofErr w:type="gramStart"/>
      <w:r w:rsidRPr="00C73849">
        <w:t>C]pyruvate</w:t>
      </w:r>
      <w:proofErr w:type="gramEnd"/>
      <w:r w:rsidRPr="00C73849">
        <w:t xml:space="preserve"> was eliminated from the blood with an average</w:t>
      </w:r>
      <w:r w:rsidRPr="00C73849">
        <w:rPr>
          <w:w w:val="99"/>
        </w:rPr>
        <w:t xml:space="preserve"> </w:t>
      </w:r>
      <w:r w:rsidRPr="00C73849">
        <w:t>half-life of 14±3 min, with no significant difference between the treatment groups. The</w:t>
      </w:r>
      <w:r w:rsidRPr="00C73849">
        <w:rPr>
          <w:w w:val="99"/>
        </w:rPr>
        <w:t xml:space="preserve"> </w:t>
      </w:r>
      <w:r w:rsidRPr="00C73849">
        <w:t>average terminal elimination half-life of [1-</w:t>
      </w:r>
      <w:r w:rsidRPr="00C73849">
        <w:rPr>
          <w:position w:val="11"/>
          <w:sz w:val="16"/>
          <w:szCs w:val="16"/>
        </w:rPr>
        <w:t>13</w:t>
      </w:r>
      <w:proofErr w:type="gramStart"/>
      <w:r w:rsidRPr="00C73849">
        <w:t>C]lactate</w:t>
      </w:r>
      <w:proofErr w:type="gramEnd"/>
      <w:r w:rsidRPr="00C73849">
        <w:t xml:space="preserve"> was 8±2 min. The presence or absence</w:t>
      </w:r>
      <w:r w:rsidRPr="00C73849">
        <w:rPr>
          <w:w w:val="99"/>
        </w:rPr>
        <w:t xml:space="preserve"> </w:t>
      </w:r>
      <w:r w:rsidRPr="00C73849">
        <w:t>of AH111501 in the injection had no statistically significant effect on any of the examined</w:t>
      </w:r>
      <w:r w:rsidRPr="00C73849">
        <w:rPr>
          <w:w w:val="99"/>
        </w:rPr>
        <w:t xml:space="preserve"> </w:t>
      </w:r>
      <w:r w:rsidRPr="00C73849">
        <w:t>pharmacokinetic parameters.</w:t>
      </w:r>
    </w:p>
    <w:p w14:paraId="633495C3" w14:textId="77777777" w:rsidR="00957F89" w:rsidRPr="00C73849" w:rsidRDefault="00D92D87" w:rsidP="005D3932">
      <w:pPr>
        <w:pStyle w:val="BodyText"/>
        <w:spacing w:before="199"/>
        <w:ind w:right="151"/>
      </w:pPr>
      <w:r w:rsidRPr="00C73849">
        <w:t>In conclusion, slow intravenous administration of test item containing [1-</w:t>
      </w:r>
      <w:r w:rsidRPr="00C73849">
        <w:rPr>
          <w:position w:val="11"/>
          <w:sz w:val="16"/>
        </w:rPr>
        <w:t>13</w:t>
      </w:r>
      <w:proofErr w:type="gramStart"/>
      <w:r w:rsidRPr="00C73849">
        <w:t>C]pyruvate</w:t>
      </w:r>
      <w:proofErr w:type="gramEnd"/>
      <w:r w:rsidRPr="00C73849">
        <w:t xml:space="preserve"> and AH111501 at a dose of 2.9 ml/kg </w:t>
      </w:r>
      <w:proofErr w:type="spellStart"/>
      <w:r w:rsidRPr="00C73849">
        <w:t>bw</w:t>
      </w:r>
      <w:proofErr w:type="spellEnd"/>
      <w:r w:rsidRPr="00C73849">
        <w:t xml:space="preserve"> had no significant effects on the cardiovascular and</w:t>
      </w:r>
      <w:r w:rsidRPr="00C73849">
        <w:rPr>
          <w:w w:val="99"/>
        </w:rPr>
        <w:t xml:space="preserve"> </w:t>
      </w:r>
      <w:r w:rsidRPr="00C73849">
        <w:t>respiratory parameters monitored in dogs. When dose levels were expressed as Human</w:t>
      </w:r>
      <w:r w:rsidRPr="00C73849">
        <w:rPr>
          <w:w w:val="99"/>
        </w:rPr>
        <w:t xml:space="preserve"> </w:t>
      </w:r>
      <w:r w:rsidRPr="00C73849">
        <w:t xml:space="preserve">Equivalent Doses based on body surface area, they correspond to 72 mg/kg </w:t>
      </w:r>
      <w:proofErr w:type="spellStart"/>
      <w:r w:rsidRPr="00C73849">
        <w:t>bw</w:t>
      </w:r>
      <w:proofErr w:type="spellEnd"/>
      <w:r w:rsidRPr="00C73849">
        <w:t xml:space="preserve"> of</w:t>
      </w:r>
      <w:r w:rsidR="009617CD">
        <w:t xml:space="preserve"> </w:t>
      </w:r>
      <w:r w:rsidRPr="00C73849">
        <w:t>[1-</w:t>
      </w:r>
      <w:r w:rsidRPr="00C73849">
        <w:rPr>
          <w:position w:val="11"/>
          <w:sz w:val="16"/>
        </w:rPr>
        <w:t>13</w:t>
      </w:r>
      <w:proofErr w:type="gramStart"/>
      <w:r w:rsidRPr="00C73849">
        <w:t>C]pyruvate</w:t>
      </w:r>
      <w:proofErr w:type="gramEnd"/>
      <w:r w:rsidRPr="00C73849">
        <w:t xml:space="preserve"> and 1.4 mg/kg </w:t>
      </w:r>
      <w:proofErr w:type="spellStart"/>
      <w:r w:rsidRPr="00C73849">
        <w:t>bw</w:t>
      </w:r>
      <w:proofErr w:type="spellEnd"/>
      <w:r w:rsidRPr="00C73849">
        <w:t xml:space="preserve"> of AH111501.</w:t>
      </w:r>
    </w:p>
    <w:p w14:paraId="73624835" w14:textId="46607D0F" w:rsidR="00957F89" w:rsidRPr="00373523" w:rsidRDefault="00D92D87" w:rsidP="00F670E8">
      <w:pPr>
        <w:pStyle w:val="ListParagraph"/>
        <w:numPr>
          <w:ilvl w:val="4"/>
          <w:numId w:val="11"/>
        </w:numPr>
        <w:tabs>
          <w:tab w:val="left" w:pos="1224"/>
        </w:tabs>
        <w:spacing w:before="245"/>
        <w:ind w:left="0" w:firstLine="0"/>
        <w:rPr>
          <w:rFonts w:ascii="Times New Roman" w:eastAsia="Times New Roman" w:hAnsi="Times New Roman" w:cs="Times New Roman"/>
          <w:sz w:val="24"/>
          <w:szCs w:val="24"/>
        </w:rPr>
      </w:pPr>
      <w:proofErr w:type="spellStart"/>
      <w:r w:rsidRPr="00373523">
        <w:rPr>
          <w:rFonts w:ascii="Times New Roman"/>
          <w:b/>
          <w:sz w:val="24"/>
        </w:rPr>
        <w:t>Porsolt</w:t>
      </w:r>
      <w:proofErr w:type="spellEnd"/>
      <w:r w:rsidRPr="00373523">
        <w:rPr>
          <w:rFonts w:ascii="Times New Roman"/>
          <w:b/>
          <w:sz w:val="24"/>
        </w:rPr>
        <w:t xml:space="preserve"> study number: 06.075/5 (GE study number B101036)</w:t>
      </w:r>
    </w:p>
    <w:p w14:paraId="1C790873" w14:textId="77777777" w:rsidR="00957F89" w:rsidRPr="00C73849" w:rsidRDefault="00D92D87" w:rsidP="005D3932">
      <w:pPr>
        <w:keepNext/>
        <w:ind w:left="1222" w:right="311"/>
        <w:rPr>
          <w:rFonts w:ascii="Times New Roman" w:eastAsia="Times New Roman" w:hAnsi="Times New Roman" w:cs="Times New Roman"/>
          <w:sz w:val="24"/>
          <w:szCs w:val="24"/>
        </w:rPr>
      </w:pPr>
      <w:r w:rsidRPr="00C73849">
        <w:rPr>
          <w:rFonts w:ascii="Times New Roman"/>
          <w:b/>
          <w:sz w:val="24"/>
        </w:rPr>
        <w:t>Effects of rapid intravenous administration of a mixture of natural abundant pyruvic acid and 15 mM AH111501 dissolved in TRIS/EDTA dissolution medium on the cardiovascular function in the conscious telemetered dog (GLP)</w:t>
      </w:r>
    </w:p>
    <w:p w14:paraId="6A45EC88" w14:textId="77777777" w:rsidR="00957F89" w:rsidRPr="00C73849" w:rsidRDefault="00957F89" w:rsidP="005D3932">
      <w:pPr>
        <w:keepNext/>
        <w:spacing w:before="5"/>
        <w:rPr>
          <w:rFonts w:ascii="Times New Roman" w:eastAsia="Times New Roman" w:hAnsi="Times New Roman" w:cs="Times New Roman"/>
          <w:b/>
          <w:bCs/>
          <w:sz w:val="20"/>
          <w:szCs w:val="20"/>
        </w:rPr>
      </w:pPr>
    </w:p>
    <w:p w14:paraId="1790058F" w14:textId="310AB4B7" w:rsidR="00957F89" w:rsidRPr="00C73849" w:rsidRDefault="00D92D87" w:rsidP="005D3932">
      <w:pPr>
        <w:pStyle w:val="BodyText"/>
        <w:spacing w:before="69"/>
        <w:ind w:right="193"/>
      </w:pPr>
      <w:r w:rsidRPr="00C73849">
        <w:t>The effects of 250 mM pyruvate and 0.43 mg/ml AH111501 in TRIS/EDTA dissolution</w:t>
      </w:r>
      <w:r w:rsidRPr="00C73849">
        <w:rPr>
          <w:w w:val="99"/>
        </w:rPr>
        <w:t xml:space="preserve"> </w:t>
      </w:r>
      <w:r w:rsidRPr="00C73849">
        <w:t>medium on arterial blood pressure, heart rate and the main parameters of the electrocardiogram</w:t>
      </w:r>
      <w:r w:rsidRPr="00C73849">
        <w:rPr>
          <w:w w:val="99"/>
        </w:rPr>
        <w:t xml:space="preserve"> </w:t>
      </w:r>
      <w:r w:rsidRPr="00C73849">
        <w:t>were evaluated following rapid intravenous injection in the conscious male beagle dog. The</w:t>
      </w:r>
      <w:r w:rsidRPr="00C73849">
        <w:rPr>
          <w:w w:val="99"/>
        </w:rPr>
        <w:t xml:space="preserve"> </w:t>
      </w:r>
      <w:r w:rsidRPr="00C73849">
        <w:t>animals were monitored by telemetry. Each dog was administered: three doses of test item</w:t>
      </w:r>
      <w:r w:rsidRPr="00C73849">
        <w:rPr>
          <w:w w:val="99"/>
        </w:rPr>
        <w:t xml:space="preserve"> </w:t>
      </w:r>
      <w:r w:rsidRPr="00C73849">
        <w:t xml:space="preserve">containing AH111501 (1.4, 4.3 and 5.7 ml/kg </w:t>
      </w:r>
      <w:proofErr w:type="spellStart"/>
      <w:r w:rsidRPr="00C73849">
        <w:t>bw</w:t>
      </w:r>
      <w:proofErr w:type="spellEnd"/>
      <w:r w:rsidRPr="00C73849">
        <w:t>); three doses of filtered test item (1.4, 4.3 and</w:t>
      </w:r>
      <w:r w:rsidR="009617CD">
        <w:t xml:space="preserve"> </w:t>
      </w:r>
      <w:r w:rsidRPr="00C73849">
        <w:t xml:space="preserve">5.7 ml/kg </w:t>
      </w:r>
      <w:proofErr w:type="spellStart"/>
      <w:r w:rsidRPr="00C73849">
        <w:t>bw</w:t>
      </w:r>
      <w:proofErr w:type="spellEnd"/>
      <w:r w:rsidRPr="00C73849">
        <w:t xml:space="preserve">); and three controls (saline, osmotic control [mannitol] and TRIS/EDTA </w:t>
      </w:r>
      <w:r w:rsidR="002A7BB9" w:rsidRPr="00C73849">
        <w:t>vehicle control</w:t>
      </w:r>
      <w:r w:rsidRPr="00C73849">
        <w:t xml:space="preserve">; all at 4.3 ml/kg </w:t>
      </w:r>
      <w:proofErr w:type="spellStart"/>
      <w:r w:rsidRPr="00C73849">
        <w:t>bw</w:t>
      </w:r>
      <w:proofErr w:type="spellEnd"/>
      <w:r w:rsidRPr="00C73849">
        <w:t>). All doses were administered at 5 ml/s by power injector. The</w:t>
      </w:r>
      <w:r w:rsidRPr="00C73849">
        <w:rPr>
          <w:w w:val="99"/>
        </w:rPr>
        <w:t xml:space="preserve"> </w:t>
      </w:r>
      <w:r w:rsidRPr="00C73849">
        <w:t xml:space="preserve">dogs were assigned to the </w:t>
      </w:r>
      <w:r w:rsidRPr="00C73849">
        <w:lastRenderedPageBreak/>
        <w:t>various treatments in a random manner such that each dog had each</w:t>
      </w:r>
      <w:r w:rsidRPr="00C73849">
        <w:rPr>
          <w:w w:val="99"/>
        </w:rPr>
        <w:t xml:space="preserve"> </w:t>
      </w:r>
      <w:r w:rsidRPr="00C73849">
        <w:t xml:space="preserve">treatment once. Each animal was given a total of nine discreet </w:t>
      </w:r>
      <w:r w:rsidR="00AE0E43">
        <w:t>IV</w:t>
      </w:r>
      <w:r w:rsidR="00AE0E43" w:rsidRPr="00C73849">
        <w:t xml:space="preserve"> </w:t>
      </w:r>
      <w:r w:rsidRPr="00C73849">
        <w:t>bolus injections. There was a</w:t>
      </w:r>
      <w:r w:rsidRPr="00C73849">
        <w:rPr>
          <w:w w:val="99"/>
        </w:rPr>
        <w:t xml:space="preserve"> </w:t>
      </w:r>
      <w:r w:rsidRPr="00C73849">
        <w:t>minimum of 48 h wash-out between each single administration. Baseline values for the</w:t>
      </w:r>
      <w:r w:rsidRPr="00C73849">
        <w:rPr>
          <w:w w:val="99"/>
        </w:rPr>
        <w:t xml:space="preserve"> </w:t>
      </w:r>
      <w:r w:rsidRPr="00C73849">
        <w:t xml:space="preserve">measured parameters were reported before the start of injection (average of </w:t>
      </w:r>
      <w:proofErr w:type="gramStart"/>
      <w:r w:rsidRPr="00C73849">
        <w:t>-1 and -2 min</w:t>
      </w:r>
      <w:proofErr w:type="gramEnd"/>
      <w:r w:rsidRPr="00C73849">
        <w:rPr>
          <w:w w:val="99"/>
        </w:rPr>
        <w:t xml:space="preserve"> </w:t>
      </w:r>
      <w:r w:rsidRPr="00C73849">
        <w:t xml:space="preserve">values) and post-injection values were reported at 0.5, 1, 2, 3, 5, 10, 20 and 60 min after the start of administration. Samples of the test articles were analyzed for purity by </w:t>
      </w:r>
      <w:proofErr w:type="gramStart"/>
      <w:r w:rsidRPr="00C73849">
        <w:t>HPLC</w:t>
      </w:r>
      <w:proofErr w:type="gramEnd"/>
      <w:r w:rsidRPr="00C73849">
        <w:t xml:space="preserve"> and</w:t>
      </w:r>
      <w:r w:rsidR="001E1911">
        <w:rPr>
          <w:w w:val="99"/>
        </w:rPr>
        <w:t xml:space="preserve">   </w:t>
      </w:r>
      <w:r w:rsidRPr="00C73849">
        <w:t>selected samples were analyzed for purity by NMR. The pH and osmolality of all samples were measured. In addition, blood was sampled for pharmacokinetic analysis of pyruvate and</w:t>
      </w:r>
      <w:r w:rsidRPr="00C73849">
        <w:rPr>
          <w:w w:val="99"/>
        </w:rPr>
        <w:t xml:space="preserve"> </w:t>
      </w:r>
      <w:r w:rsidRPr="00C73849">
        <w:t>lactate at 3 min before and at 1, 5, 10, 30 and 60 min after the start of each administration.</w:t>
      </w:r>
    </w:p>
    <w:p w14:paraId="0B3204DC" w14:textId="77777777" w:rsidR="00957F89" w:rsidRPr="00C73849" w:rsidRDefault="00957F89" w:rsidP="005D3932">
      <w:pPr>
        <w:spacing w:before="10"/>
        <w:rPr>
          <w:rFonts w:ascii="Times New Roman" w:eastAsia="Times New Roman" w:hAnsi="Times New Roman" w:cs="Times New Roman"/>
          <w:sz w:val="20"/>
          <w:szCs w:val="20"/>
        </w:rPr>
      </w:pPr>
    </w:p>
    <w:p w14:paraId="18F13175" w14:textId="77777777" w:rsidR="00957F89" w:rsidRPr="00C73849" w:rsidRDefault="00D92D87" w:rsidP="005D3932">
      <w:pPr>
        <w:pStyle w:val="BodyText"/>
        <w:ind w:right="899"/>
      </w:pPr>
      <w:r w:rsidRPr="00C73849">
        <w:t>The purity profiles of the administered test articles were qualitatively consistent and appropriate for the study.</w:t>
      </w:r>
    </w:p>
    <w:p w14:paraId="78031E8E" w14:textId="77777777" w:rsidR="00957F89" w:rsidRPr="00C73849" w:rsidRDefault="00957F89" w:rsidP="005D3932">
      <w:pPr>
        <w:spacing w:before="1"/>
        <w:rPr>
          <w:rFonts w:ascii="Times New Roman" w:eastAsia="Times New Roman" w:hAnsi="Times New Roman" w:cs="Times New Roman"/>
          <w:sz w:val="21"/>
          <w:szCs w:val="21"/>
        </w:rPr>
      </w:pPr>
    </w:p>
    <w:p w14:paraId="2AB8319C" w14:textId="02C3A740" w:rsidR="00957F89" w:rsidRPr="00C73849" w:rsidRDefault="00D92D87" w:rsidP="005D3932">
      <w:pPr>
        <w:pStyle w:val="BodyText"/>
        <w:spacing w:line="237" w:lineRule="auto"/>
        <w:ind w:right="248"/>
      </w:pPr>
      <w:r w:rsidRPr="00C73849">
        <w:t>The bioanalytical data confirmed correct administration of the test item. Pyruvate was rapidly metabolized to lactate following intravenous injection, with high concentrations observed as early as 1 min post-dosing. T</w:t>
      </w:r>
      <w:r w:rsidRPr="00C73849">
        <w:rPr>
          <w:position w:val="-2"/>
          <w:sz w:val="16"/>
          <w:szCs w:val="16"/>
        </w:rPr>
        <w:t xml:space="preserve">max </w:t>
      </w:r>
      <w:r w:rsidRPr="00C73849">
        <w:t>was in the range of 1 to 10 min. The pharmacokinetics of pyruvate and lactate were calculated using non-compartmental analysis. The blood</w:t>
      </w:r>
      <w:r w:rsidRPr="00C73849">
        <w:rPr>
          <w:w w:val="99"/>
        </w:rPr>
        <w:t xml:space="preserve"> </w:t>
      </w:r>
      <w:r w:rsidRPr="00C73849">
        <w:t>concentrations of pyruvate and lactate were corrected for pre-dose levels of the analytes before</w:t>
      </w:r>
      <w:r w:rsidRPr="00C73849">
        <w:rPr>
          <w:w w:val="99"/>
        </w:rPr>
        <w:t xml:space="preserve"> </w:t>
      </w:r>
      <w:r w:rsidRPr="00C73849">
        <w:t>pharmacokinetic analysis. There were no statistically significant differences in C</w:t>
      </w:r>
      <w:r w:rsidRPr="00C73849">
        <w:rPr>
          <w:position w:val="-2"/>
          <w:sz w:val="16"/>
          <w:szCs w:val="16"/>
        </w:rPr>
        <w:t xml:space="preserve">max </w:t>
      </w:r>
      <w:r w:rsidRPr="00C73849">
        <w:t>or AUC</w:t>
      </w:r>
      <w:r w:rsidRPr="00C73849">
        <w:rPr>
          <w:position w:val="-2"/>
          <w:sz w:val="16"/>
          <w:szCs w:val="16"/>
        </w:rPr>
        <w:t xml:space="preserve">tot </w:t>
      </w:r>
      <w:r w:rsidRPr="00C73849">
        <w:t>between filtered and unfiltered test substance in any of the dose groups, suggesting that the</w:t>
      </w:r>
      <w:r w:rsidRPr="00C73849">
        <w:rPr>
          <w:w w:val="99"/>
        </w:rPr>
        <w:t xml:space="preserve"> </w:t>
      </w:r>
      <w:r w:rsidRPr="00C73849">
        <w:t>presence of AH111501 in the test article did not influence the blood concentration of pyruvate.</w:t>
      </w:r>
      <w:r w:rsidRPr="00C73849">
        <w:rPr>
          <w:w w:val="99"/>
        </w:rPr>
        <w:t xml:space="preserve"> </w:t>
      </w:r>
      <w:r w:rsidRPr="00C73849">
        <w:t>Pyruvate was eliminated from blood with an average elimination half-life of 18</w:t>
      </w:r>
      <w:r w:rsidRPr="00C73849">
        <w:rPr>
          <w:rFonts w:ascii="Symbol" w:eastAsia="Symbol" w:hAnsi="Symbol" w:cs="Symbol"/>
        </w:rPr>
        <w:t></w:t>
      </w:r>
      <w:r w:rsidRPr="00C73849">
        <w:t>11 min. Dose- normalized pyruvate data indicated that C</w:t>
      </w:r>
      <w:r w:rsidRPr="00C73849">
        <w:rPr>
          <w:position w:val="-2"/>
          <w:sz w:val="16"/>
          <w:szCs w:val="16"/>
        </w:rPr>
        <w:t xml:space="preserve">max </w:t>
      </w:r>
      <w:r w:rsidRPr="00C73849">
        <w:t>deviated negatively from proportionality in the</w:t>
      </w:r>
      <w:r w:rsidR="009617CD">
        <w:t xml:space="preserve"> </w:t>
      </w:r>
      <w:r w:rsidRPr="00C73849">
        <w:t xml:space="preserve">1.4 ml/kg </w:t>
      </w:r>
      <w:proofErr w:type="spellStart"/>
      <w:r w:rsidRPr="00C73849">
        <w:t>bw</w:t>
      </w:r>
      <w:proofErr w:type="spellEnd"/>
      <w:r w:rsidRPr="00C73849">
        <w:t xml:space="preserve"> dose group. AUC</w:t>
      </w:r>
      <w:r w:rsidRPr="00C73849">
        <w:rPr>
          <w:position w:val="-2"/>
          <w:sz w:val="16"/>
        </w:rPr>
        <w:t xml:space="preserve">tot </w:t>
      </w:r>
      <w:r w:rsidRPr="00C73849">
        <w:t>increased proportionally with dose. Dose-normalized lactate</w:t>
      </w:r>
      <w:r w:rsidRPr="00C73849">
        <w:rPr>
          <w:w w:val="99"/>
        </w:rPr>
        <w:t xml:space="preserve"> </w:t>
      </w:r>
      <w:r w:rsidRPr="00C73849">
        <w:t>data indicated that C</w:t>
      </w:r>
      <w:r w:rsidRPr="00C73849">
        <w:rPr>
          <w:position w:val="-2"/>
          <w:sz w:val="16"/>
        </w:rPr>
        <w:t xml:space="preserve">max </w:t>
      </w:r>
      <w:r w:rsidRPr="00C73849">
        <w:t>and AUC</w:t>
      </w:r>
      <w:r w:rsidRPr="00C73849">
        <w:rPr>
          <w:position w:val="-2"/>
          <w:sz w:val="16"/>
        </w:rPr>
        <w:t xml:space="preserve">tot </w:t>
      </w:r>
      <w:r w:rsidRPr="00C73849">
        <w:t>deviated positively from proportionality in the 1.4 ml/kg</w:t>
      </w:r>
      <w:r w:rsidR="001E1911">
        <w:rPr>
          <w:w w:val="99"/>
        </w:rPr>
        <w:t xml:space="preserve"> </w:t>
      </w:r>
      <w:proofErr w:type="spellStart"/>
      <w:r w:rsidRPr="00C73849">
        <w:t>bw</w:t>
      </w:r>
      <w:proofErr w:type="spellEnd"/>
      <w:r w:rsidRPr="00C73849">
        <w:t xml:space="preserve"> dose group. Due to the individual variation in data, the biological significance of these</w:t>
      </w:r>
      <w:r w:rsidRPr="00C73849">
        <w:rPr>
          <w:w w:val="99"/>
        </w:rPr>
        <w:t xml:space="preserve"> </w:t>
      </w:r>
      <w:r w:rsidRPr="00C73849">
        <w:t xml:space="preserve">findings is not known. For further pharmacokinetics data see section </w:t>
      </w:r>
      <w:r w:rsidR="001F6A2C" w:rsidRPr="005F6CE7">
        <w:rPr>
          <w:szCs w:val="22"/>
        </w:rPr>
        <w:t>5.2.8</w:t>
      </w:r>
      <w:r w:rsidR="001F6A2C">
        <w:rPr>
          <w:rFonts w:ascii="Calibri" w:hAnsi="Calibri"/>
          <w:sz w:val="24"/>
        </w:rPr>
        <w:t xml:space="preserve"> </w:t>
      </w:r>
      <w:r w:rsidRPr="00C73849">
        <w:t>Other</w:t>
      </w:r>
      <w:r w:rsidRPr="00C73849">
        <w:rPr>
          <w:w w:val="99"/>
        </w:rPr>
        <w:t xml:space="preserve"> </w:t>
      </w:r>
      <w:r w:rsidRPr="00C73849">
        <w:t>Pharmacokinetic Studies.</w:t>
      </w:r>
    </w:p>
    <w:p w14:paraId="7754099B" w14:textId="77777777" w:rsidR="00957F89" w:rsidRPr="00C73849" w:rsidRDefault="00957F89" w:rsidP="005D3932">
      <w:pPr>
        <w:spacing w:before="11"/>
        <w:rPr>
          <w:rFonts w:ascii="Times New Roman" w:eastAsia="Times New Roman" w:hAnsi="Times New Roman" w:cs="Times New Roman"/>
          <w:sz w:val="20"/>
          <w:szCs w:val="20"/>
        </w:rPr>
      </w:pPr>
    </w:p>
    <w:p w14:paraId="6E017AA3" w14:textId="77777777" w:rsidR="00957F89" w:rsidRPr="00C73849" w:rsidRDefault="00D92D87" w:rsidP="005D3932">
      <w:pPr>
        <w:pStyle w:val="BodyText"/>
        <w:ind w:right="316"/>
      </w:pPr>
      <w:r w:rsidRPr="00C73849">
        <w:t>Administration of saline caused a slight and non-significant increase in blood pressure of 6% over baseline and a larger, but still not significant, increase in heart rate of 23% over baseline</w:t>
      </w:r>
      <w:r w:rsidR="001E1911">
        <w:rPr>
          <w:w w:val="99"/>
        </w:rPr>
        <w:t xml:space="preserve"> </w:t>
      </w:r>
      <w:r w:rsidRPr="00C73849">
        <w:t>at 2 min after dosing. TRIS/EDTA vehicle control caused a significant increase in heart rate at</w:t>
      </w:r>
      <w:r w:rsidRPr="00C73849">
        <w:rPr>
          <w:w w:val="99"/>
        </w:rPr>
        <w:t xml:space="preserve"> </w:t>
      </w:r>
      <w:r w:rsidRPr="00C73849">
        <w:t>30 s when compared to baseline, but the effect was not significant when compared to saline.</w:t>
      </w:r>
      <w:r w:rsidR="009617CD">
        <w:t xml:space="preserve"> </w:t>
      </w:r>
      <w:r w:rsidRPr="00C73849">
        <w:t xml:space="preserve">The osmotic control caused a decrease in heart rate at 2 min after dosing which was significantly different from saline, but not from baseline. The test item containing </w:t>
      </w:r>
      <w:proofErr w:type="gramStart"/>
      <w:r w:rsidRPr="00C73849">
        <w:t>AH111501</w:t>
      </w:r>
      <w:proofErr w:type="gramEnd"/>
      <w:r w:rsidRPr="00C73849">
        <w:t xml:space="preserve"> and the filtered test item caused comparable effects. At doses of 4.3 and 5.7 ml/kg </w:t>
      </w:r>
      <w:proofErr w:type="spellStart"/>
      <w:r w:rsidRPr="00C73849">
        <w:t>bw</w:t>
      </w:r>
      <w:proofErr w:type="spellEnd"/>
      <w:r w:rsidRPr="00C73849">
        <w:t xml:space="preserve"> the test</w:t>
      </w:r>
      <w:r w:rsidRPr="00C73849">
        <w:rPr>
          <w:w w:val="99"/>
        </w:rPr>
        <w:t xml:space="preserve"> </w:t>
      </w:r>
      <w:r w:rsidRPr="00C73849">
        <w:t>articles caused a non-significant, transient and slight increase in arterial blood pressure. At 5.7 ml/kg, however, the slight increase was preceded by a non-significant, weak and transient</w:t>
      </w:r>
      <w:r w:rsidRPr="00C73849">
        <w:rPr>
          <w:w w:val="99"/>
        </w:rPr>
        <w:t xml:space="preserve"> </w:t>
      </w:r>
      <w:r w:rsidRPr="00C73849">
        <w:t xml:space="preserve">reduction in arterial blood pressure immediately after administration. The dose of 1.4 ml/kg of the filtered test article caused a slight decrease in heart rate at 2 min </w:t>
      </w:r>
      <w:r w:rsidR="0099381E" w:rsidRPr="00C73849">
        <w:t>like</w:t>
      </w:r>
      <w:r w:rsidRPr="00C73849">
        <w:t xml:space="preserve"> the effect</w:t>
      </w:r>
      <w:r w:rsidRPr="00C73849">
        <w:rPr>
          <w:w w:val="99"/>
        </w:rPr>
        <w:t xml:space="preserve"> </w:t>
      </w:r>
      <w:r w:rsidRPr="00C73849">
        <w:t>observed for the osmotic control. The decrease was significant compared to saline but not</w:t>
      </w:r>
      <w:r w:rsidRPr="00C73849">
        <w:rPr>
          <w:w w:val="99"/>
        </w:rPr>
        <w:t xml:space="preserve"> </w:t>
      </w:r>
      <w:r w:rsidRPr="00C73849">
        <w:t>significant when compared to baseline. Heart rate was significantly increased compared to</w:t>
      </w:r>
      <w:r w:rsidRPr="00C73849">
        <w:rPr>
          <w:w w:val="99"/>
        </w:rPr>
        <w:t xml:space="preserve"> </w:t>
      </w:r>
      <w:r w:rsidRPr="00C73849">
        <w:t xml:space="preserve">baseline by doses of 4.3 and 5.7 ml/kg for the test item containing AH111501 and 4.3 ml/kg of the filtered test article. The increases for the 5.7 ml/kg </w:t>
      </w:r>
      <w:proofErr w:type="spellStart"/>
      <w:r w:rsidRPr="00C73849">
        <w:t>bw</w:t>
      </w:r>
      <w:proofErr w:type="spellEnd"/>
      <w:r w:rsidRPr="00C73849">
        <w:t xml:space="preserve"> dose of test item containing</w:t>
      </w:r>
      <w:r w:rsidRPr="00C73849">
        <w:rPr>
          <w:w w:val="99"/>
        </w:rPr>
        <w:t xml:space="preserve"> </w:t>
      </w:r>
      <w:r w:rsidRPr="00C73849">
        <w:t xml:space="preserve">AH111501 and the 4.3 ml/kg </w:t>
      </w:r>
      <w:proofErr w:type="spellStart"/>
      <w:r w:rsidRPr="00C73849">
        <w:t>bw</w:t>
      </w:r>
      <w:proofErr w:type="spellEnd"/>
      <w:r w:rsidRPr="00C73849">
        <w:t xml:space="preserve"> dose of filtered test article were also significant when compared to saline. No substantial effects on the PR- or QT-intervals were observed after</w:t>
      </w:r>
      <w:r w:rsidR="00A36C6D" w:rsidRPr="00C73849">
        <w:t xml:space="preserve"> </w:t>
      </w:r>
      <w:r w:rsidRPr="00C73849">
        <w:t>administration of the pyruvate test articles. The test articles did not significantly modify the</w:t>
      </w:r>
      <w:r w:rsidRPr="00C73849">
        <w:rPr>
          <w:w w:val="99"/>
        </w:rPr>
        <w:t xml:space="preserve"> </w:t>
      </w:r>
      <w:r w:rsidRPr="00C73849">
        <w:t>QTc interval (Fridericia’s and van de Water’s formulae) as compared with physiological saline.</w:t>
      </w:r>
      <w:r w:rsidRPr="00C73849">
        <w:rPr>
          <w:w w:val="99"/>
        </w:rPr>
        <w:t xml:space="preserve"> </w:t>
      </w:r>
      <w:r w:rsidRPr="00C73849">
        <w:t xml:space="preserve">However, when compared with baseline, a significant lengthening of the QTc interval was observed when using the Fridericia’s formula at 4.3 and 5.7 ml/kg of the test article containing AH111501 and at 4.3 ml/kg </w:t>
      </w:r>
      <w:proofErr w:type="spellStart"/>
      <w:r w:rsidRPr="00C73849">
        <w:t>bw</w:t>
      </w:r>
      <w:proofErr w:type="spellEnd"/>
      <w:r w:rsidRPr="00C73849">
        <w:t xml:space="preserve"> of the filtered test article. This apparent lengthening was mainly ascribed to the delay in the QT-interval adaptation to the sudden </w:t>
      </w:r>
      <w:r w:rsidRPr="00C73849">
        <w:lastRenderedPageBreak/>
        <w:t>variation of heart rate.</w:t>
      </w:r>
      <w:r w:rsidRPr="00C73849">
        <w:rPr>
          <w:w w:val="99"/>
        </w:rPr>
        <w:t xml:space="preserve"> </w:t>
      </w:r>
      <w:r w:rsidRPr="00C73849">
        <w:t>In the presence of tachycardia without a clear reduction in the QT-interval (e.g. +47% in heart</w:t>
      </w:r>
      <w:r w:rsidRPr="00C73849">
        <w:rPr>
          <w:w w:val="99"/>
        </w:rPr>
        <w:t xml:space="preserve"> </w:t>
      </w:r>
      <w:r w:rsidRPr="00C73849">
        <w:t xml:space="preserve">rate and -3% in QT-interval at 30 s after injection of a dose of 5.7 ml/kg </w:t>
      </w:r>
      <w:proofErr w:type="spellStart"/>
      <w:r w:rsidRPr="00C73849">
        <w:t>bw</w:t>
      </w:r>
      <w:proofErr w:type="spellEnd"/>
      <w:r w:rsidRPr="00C73849">
        <w:t xml:space="preserve"> of unfiltered test</w:t>
      </w:r>
      <w:r w:rsidRPr="00C73849">
        <w:rPr>
          <w:w w:val="99"/>
        </w:rPr>
        <w:t xml:space="preserve"> </w:t>
      </w:r>
      <w:r w:rsidRPr="00C73849">
        <w:t>article), the formula used to correct the QT-interval does not appear to be totally efficient. In addition, this lengthening was very slight when van de Water’s formula was applied.</w:t>
      </w:r>
      <w:r w:rsidR="009617CD">
        <w:t xml:space="preserve"> </w:t>
      </w:r>
      <w:r w:rsidRPr="00C73849">
        <w:t>Therefore, this transient lengthening in the QTc interval (Fridericia’s formula) was considered</w:t>
      </w:r>
      <w:r w:rsidRPr="00C73849">
        <w:rPr>
          <w:w w:val="99"/>
        </w:rPr>
        <w:t xml:space="preserve"> </w:t>
      </w:r>
      <w:r w:rsidRPr="00C73849">
        <w:t>to have little, if any, biological relevance.</w:t>
      </w:r>
    </w:p>
    <w:p w14:paraId="49CABED1" w14:textId="77777777" w:rsidR="00957F89" w:rsidRPr="00C73849" w:rsidRDefault="00957F89" w:rsidP="005D3932">
      <w:pPr>
        <w:spacing w:before="10"/>
        <w:rPr>
          <w:rFonts w:ascii="Times New Roman" w:eastAsia="Times New Roman" w:hAnsi="Times New Roman" w:cs="Times New Roman"/>
          <w:sz w:val="20"/>
          <w:szCs w:val="20"/>
        </w:rPr>
      </w:pPr>
    </w:p>
    <w:p w14:paraId="02073EA8" w14:textId="736C98CD" w:rsidR="00957F89" w:rsidRPr="00C73849" w:rsidRDefault="00D92D87" w:rsidP="005D3932">
      <w:pPr>
        <w:pStyle w:val="BodyText"/>
        <w:ind w:right="466"/>
      </w:pPr>
      <w:r w:rsidRPr="00C73849">
        <w:t>At a dose of 1.4 ml/kg the test articles had no biologically relevant effects in the telemetered dog. The dose of 1.4 ml/kg 250 mM pyruvate with or without 0.43 mg/ml AH111501 in</w:t>
      </w:r>
      <w:r w:rsidRPr="00C73849">
        <w:rPr>
          <w:w w:val="99"/>
        </w:rPr>
        <w:t xml:space="preserve"> </w:t>
      </w:r>
      <w:r w:rsidRPr="00C73849">
        <w:t>TRIS/EDTA dissolution medium administered at 5 ml/s was therefore considered the No- Observed-Adverse-Effect-Level for this study.</w:t>
      </w:r>
    </w:p>
    <w:p w14:paraId="6AFB67A1" w14:textId="77777777" w:rsidR="00957F89" w:rsidRPr="00C73849" w:rsidRDefault="00957F89" w:rsidP="005D3932">
      <w:pPr>
        <w:spacing w:before="8"/>
        <w:rPr>
          <w:rFonts w:ascii="Times New Roman" w:eastAsia="Times New Roman" w:hAnsi="Times New Roman" w:cs="Times New Roman"/>
          <w:sz w:val="31"/>
          <w:szCs w:val="31"/>
        </w:rPr>
      </w:pPr>
    </w:p>
    <w:p w14:paraId="49C378F6" w14:textId="77777777" w:rsidR="00957F89" w:rsidRPr="00C73849" w:rsidRDefault="00D92D87" w:rsidP="005A4B55">
      <w:pPr>
        <w:pStyle w:val="Heading4"/>
        <w:rPr>
          <w:rFonts w:eastAsia="Times New Roman" w:hAnsi="Times New Roman" w:cs="Times New Roman"/>
          <w:szCs w:val="24"/>
        </w:rPr>
      </w:pPr>
      <w:r w:rsidRPr="00C73849">
        <w:t>5.1.3.3</w:t>
      </w:r>
      <w:r w:rsidRPr="00C73849">
        <w:tab/>
        <w:t>Effects on the Cardiovascular Systems (CVS) in the Pentobarbital/Fentanyl</w:t>
      </w:r>
      <w:r w:rsidRPr="00C73849">
        <w:rPr>
          <w:w w:val="99"/>
        </w:rPr>
        <w:t xml:space="preserve"> </w:t>
      </w:r>
      <w:r w:rsidRPr="00C73849">
        <w:t>Anesthetized Dog</w:t>
      </w:r>
    </w:p>
    <w:p w14:paraId="6B044E4E" w14:textId="77777777" w:rsidR="00957F89" w:rsidRPr="00C73849" w:rsidRDefault="00D92D87" w:rsidP="005D3932">
      <w:pPr>
        <w:tabs>
          <w:tab w:val="left" w:pos="1223"/>
        </w:tabs>
        <w:spacing w:before="120"/>
        <w:ind w:left="1368" w:hanging="1224"/>
        <w:rPr>
          <w:rFonts w:ascii="Times New Roman" w:eastAsia="Times New Roman" w:hAnsi="Times New Roman" w:cs="Times New Roman"/>
          <w:sz w:val="24"/>
          <w:szCs w:val="24"/>
        </w:rPr>
      </w:pPr>
      <w:r w:rsidRPr="00C73849">
        <w:rPr>
          <w:rFonts w:ascii="Times New Roman"/>
          <w:b/>
          <w:sz w:val="24"/>
        </w:rPr>
        <w:t>5.1.3.3.1</w:t>
      </w:r>
      <w:r w:rsidRPr="00C73849">
        <w:rPr>
          <w:rFonts w:ascii="Times New Roman"/>
          <w:b/>
          <w:sz w:val="24"/>
        </w:rPr>
        <w:tab/>
        <w:t>GE study number: B101026</w:t>
      </w:r>
      <w:r w:rsidR="009617CD">
        <w:rPr>
          <w:rFonts w:ascii="Times New Roman"/>
          <w:b/>
          <w:sz w:val="24"/>
        </w:rPr>
        <w:t xml:space="preserve"> </w:t>
      </w:r>
      <w:r w:rsidRPr="00C73849">
        <w:rPr>
          <w:rFonts w:ascii="Times New Roman"/>
          <w:b/>
          <w:sz w:val="24"/>
        </w:rPr>
        <w:t xml:space="preserve">Cardiovascular assessment in </w:t>
      </w:r>
      <w:r w:rsidR="002A7BB9" w:rsidRPr="00C73849">
        <w:rPr>
          <w:rFonts w:ascii="Times New Roman"/>
          <w:b/>
          <w:sz w:val="24"/>
        </w:rPr>
        <w:t>anaesthetized</w:t>
      </w:r>
      <w:r w:rsidRPr="00C73849">
        <w:rPr>
          <w:rFonts w:ascii="Times New Roman"/>
          <w:b/>
          <w:sz w:val="24"/>
        </w:rPr>
        <w:t xml:space="preserve"> dog of pyruvate administered at high injection rates (non-GLP)</w:t>
      </w:r>
    </w:p>
    <w:p w14:paraId="1F3CF77B" w14:textId="77777777" w:rsidR="00957F89" w:rsidRPr="00C73849" w:rsidRDefault="00957F89" w:rsidP="005D3932">
      <w:pPr>
        <w:spacing w:before="7"/>
        <w:rPr>
          <w:rFonts w:ascii="Times New Roman" w:eastAsia="Times New Roman" w:hAnsi="Times New Roman" w:cs="Times New Roman"/>
          <w:b/>
          <w:bCs/>
          <w:sz w:val="20"/>
          <w:szCs w:val="20"/>
        </w:rPr>
      </w:pPr>
    </w:p>
    <w:p w14:paraId="00EEE7F4" w14:textId="26F402C4" w:rsidR="00957F89" w:rsidRPr="00C73849" w:rsidRDefault="00D92D87" w:rsidP="005D3932">
      <w:pPr>
        <w:pStyle w:val="BodyText"/>
        <w:spacing w:line="238" w:lineRule="auto"/>
        <w:ind w:right="234"/>
      </w:pPr>
      <w:r w:rsidRPr="00C73849">
        <w:t>Five mongrel dogs were anesthetized with pentobarbital/fentanyl and mechanically ventilated. This anesthesia offers very stable baselines for blood pressures and heart rate allowing measurement of small changes from baseline. The anesthesia causes a suppression of the</w:t>
      </w:r>
      <w:r w:rsidRPr="00C73849">
        <w:rPr>
          <w:w w:val="99"/>
        </w:rPr>
        <w:t xml:space="preserve"> </w:t>
      </w:r>
      <w:r w:rsidRPr="00C73849">
        <w:t xml:space="preserve">baroreceptor </w:t>
      </w:r>
      <w:proofErr w:type="gramStart"/>
      <w:r w:rsidRPr="00C73849">
        <w:t>reflexes</w:t>
      </w:r>
      <w:proofErr w:type="gramEnd"/>
      <w:r w:rsidRPr="00C73849">
        <w:t xml:space="preserve"> and the dog anesthetized with pentobarbital/fentanyl is therefore</w:t>
      </w:r>
      <w:r w:rsidRPr="00C73849">
        <w:rPr>
          <w:w w:val="99"/>
        </w:rPr>
        <w:t xml:space="preserve"> </w:t>
      </w:r>
      <w:r w:rsidRPr="00C73849">
        <w:t>considered as a sensitive model for orthostatic hypotension. The dogs were instrumented for measurement of arterial blood pressure, pulmonary arterial pressure, lead II ECG and peripheral arterial flow. Exhaled O</w:t>
      </w:r>
      <w:r w:rsidRPr="00C73849">
        <w:rPr>
          <w:position w:val="-2"/>
          <w:sz w:val="16"/>
        </w:rPr>
        <w:t xml:space="preserve">2 </w:t>
      </w:r>
      <w:r w:rsidRPr="00C73849">
        <w:t>and CO</w:t>
      </w:r>
      <w:r w:rsidRPr="00C73849">
        <w:rPr>
          <w:position w:val="-2"/>
          <w:sz w:val="16"/>
        </w:rPr>
        <w:t xml:space="preserve">2 </w:t>
      </w:r>
      <w:r w:rsidRPr="00C73849">
        <w:t>were recorded. A test article of 500 mM pyruvate</w:t>
      </w:r>
      <w:r w:rsidRPr="00C73849">
        <w:rPr>
          <w:w w:val="99"/>
        </w:rPr>
        <w:t xml:space="preserve"> </w:t>
      </w:r>
      <w:r w:rsidRPr="00C73849">
        <w:t xml:space="preserve">in TRIS/EDTA dissolution medium (~990 </w:t>
      </w:r>
      <w:proofErr w:type="spellStart"/>
      <w:r w:rsidRPr="00C73849">
        <w:t>mOsm</w:t>
      </w:r>
      <w:proofErr w:type="spellEnd"/>
      <w:r w:rsidRPr="00C73849">
        <w:t>/kg) was administered at doses of 0.71, 1.43,</w:t>
      </w:r>
      <w:r w:rsidR="009617CD">
        <w:t xml:space="preserve"> </w:t>
      </w:r>
      <w:r w:rsidRPr="00C73849">
        <w:t>2.14</w:t>
      </w:r>
      <w:r w:rsidR="009617CD">
        <w:t xml:space="preserve">, </w:t>
      </w:r>
      <w:r w:rsidRPr="00C73849">
        <w:t>and 2.86 ml/kg as rapid intravenous bolus injections at 5 ml/s. The test article did not</w:t>
      </w:r>
      <w:r w:rsidRPr="00C73849">
        <w:rPr>
          <w:w w:val="99"/>
        </w:rPr>
        <w:t xml:space="preserve"> </w:t>
      </w:r>
      <w:r w:rsidRPr="00C73849">
        <w:t xml:space="preserve">contain any AH111501. Physiological saline, TRIS/EDTA vehicle control and an osmotically- matched glucose solution (~1030 </w:t>
      </w:r>
      <w:proofErr w:type="spellStart"/>
      <w:r w:rsidRPr="00C73849">
        <w:t>mOsm</w:t>
      </w:r>
      <w:proofErr w:type="spellEnd"/>
      <w:r w:rsidRPr="00C73849">
        <w:t>/kg) were used as controls at a volume of 2.86 ml/kg</w:t>
      </w:r>
      <w:r w:rsidRPr="00C73849">
        <w:rPr>
          <w:w w:val="99"/>
        </w:rPr>
        <w:t xml:space="preserve"> </w:t>
      </w:r>
      <w:proofErr w:type="spellStart"/>
      <w:r w:rsidRPr="00C73849">
        <w:t>bw</w:t>
      </w:r>
      <w:proofErr w:type="spellEnd"/>
      <w:r w:rsidRPr="00C73849">
        <w:t>. The measured responses were averaged over 15 s at 1 min before dosing and at 0.5, 1, 2, 3, 5, 10, 15 and 30 min after dosing. The data were normalized for baseline. To verify</w:t>
      </w:r>
      <w:r w:rsidR="001E1911">
        <w:t xml:space="preserve"> </w:t>
      </w:r>
      <w:r w:rsidRPr="00C73849">
        <w:t>exposure and for pharmacokinetic analysis, blood was sampled at 3 min before dosing and at 1, 3, 5, 10 and 15 min after start of injection of pyruvate, and at 3 min before dosing, and at 3 and</w:t>
      </w:r>
      <w:r w:rsidRPr="00C73849">
        <w:rPr>
          <w:w w:val="99"/>
        </w:rPr>
        <w:t xml:space="preserve"> </w:t>
      </w:r>
      <w:r w:rsidRPr="00C73849">
        <w:t>15 min after start of injection of control solutions.</w:t>
      </w:r>
    </w:p>
    <w:p w14:paraId="68452CF1" w14:textId="77777777" w:rsidR="00957F89" w:rsidRPr="00C73849" w:rsidRDefault="00957F89" w:rsidP="005D3932">
      <w:pPr>
        <w:spacing w:before="10"/>
        <w:rPr>
          <w:rFonts w:ascii="Times New Roman" w:eastAsia="Times New Roman" w:hAnsi="Times New Roman" w:cs="Times New Roman"/>
          <w:sz w:val="20"/>
          <w:szCs w:val="20"/>
        </w:rPr>
      </w:pPr>
    </w:p>
    <w:p w14:paraId="40DA0752" w14:textId="77777777" w:rsidR="00957F89" w:rsidRPr="00C73849" w:rsidRDefault="00D92D87" w:rsidP="005D3932">
      <w:pPr>
        <w:pStyle w:val="BodyText"/>
        <w:ind w:right="151"/>
      </w:pPr>
      <w:r w:rsidRPr="00C73849">
        <w:t>One female dog died shortly after receiving the first injection. The first dose in this individual</w:t>
      </w:r>
      <w:r w:rsidRPr="00C73849">
        <w:rPr>
          <w:w w:val="99"/>
        </w:rPr>
        <w:t xml:space="preserve"> </w:t>
      </w:r>
      <w:r w:rsidRPr="00C73849">
        <w:t>was 2.86 ml/kg pyruvate. This animal had received approximately 4.5 times as much</w:t>
      </w:r>
      <w:r w:rsidRPr="00C73849">
        <w:rPr>
          <w:w w:val="99"/>
        </w:rPr>
        <w:t xml:space="preserve"> </w:t>
      </w:r>
      <w:r w:rsidRPr="00C73849">
        <w:t>pentobarbital, and more than 1.6 times as much fentanyl per h when compared to the average</w:t>
      </w:r>
      <w:r w:rsidRPr="00C73849">
        <w:rPr>
          <w:w w:val="99"/>
        </w:rPr>
        <w:t xml:space="preserve"> </w:t>
      </w:r>
      <w:r w:rsidRPr="00C73849">
        <w:t>dose given to the other four dogs. The high doses of anesthetics are thought to have abolished</w:t>
      </w:r>
      <w:r w:rsidR="00A36C6D" w:rsidRPr="00C73849">
        <w:t xml:space="preserve"> </w:t>
      </w:r>
      <w:r w:rsidRPr="00C73849">
        <w:t>all cardiovascular compensatory mechanisms. Data from this animal were excluded from</w:t>
      </w:r>
      <w:r w:rsidRPr="00C73849">
        <w:rPr>
          <w:w w:val="99"/>
        </w:rPr>
        <w:t xml:space="preserve"> </w:t>
      </w:r>
      <w:r w:rsidRPr="00C73849">
        <w:t>analysis. The remaining 4 dogs received all treatments.</w:t>
      </w:r>
    </w:p>
    <w:p w14:paraId="0757BE11" w14:textId="77777777" w:rsidR="00957F89" w:rsidRPr="00C73849" w:rsidRDefault="00957F89" w:rsidP="005D3932">
      <w:pPr>
        <w:spacing w:before="10"/>
        <w:rPr>
          <w:rFonts w:ascii="Times New Roman" w:eastAsia="Times New Roman" w:hAnsi="Times New Roman" w:cs="Times New Roman"/>
          <w:sz w:val="20"/>
          <w:szCs w:val="20"/>
        </w:rPr>
      </w:pPr>
    </w:p>
    <w:p w14:paraId="4C234D85" w14:textId="77777777" w:rsidR="00957F89" w:rsidRPr="00C73849" w:rsidRDefault="00D92D87" w:rsidP="005D3932">
      <w:pPr>
        <w:pStyle w:val="BodyText"/>
        <w:ind w:right="311"/>
      </w:pPr>
      <w:r w:rsidRPr="00C73849">
        <w:t>Correct dosing was confirmed for all pyruvate administrations by analysis of blood samples for concentration of pyruvate and lactate. Pyruvate was rapidly metabolized to lactate, with a</w:t>
      </w:r>
      <w:r w:rsidRPr="00C73849">
        <w:rPr>
          <w:w w:val="99"/>
        </w:rPr>
        <w:t xml:space="preserve"> </w:t>
      </w:r>
      <w:r w:rsidRPr="00C73849">
        <w:t>lactate T</w:t>
      </w:r>
      <w:r w:rsidRPr="00C73849">
        <w:rPr>
          <w:position w:val="-2"/>
          <w:sz w:val="16"/>
        </w:rPr>
        <w:t xml:space="preserve">max </w:t>
      </w:r>
      <w:r w:rsidRPr="00C73849">
        <w:t>at approximately 5 min post-dosing.</w:t>
      </w:r>
    </w:p>
    <w:p w14:paraId="0161BBC4" w14:textId="7A1ADBBD" w:rsidR="00957F89" w:rsidRPr="00C73849" w:rsidRDefault="00D92D87" w:rsidP="005D3932">
      <w:pPr>
        <w:pStyle w:val="BodyText"/>
        <w:spacing w:before="230" w:line="276" w:lineRule="exact"/>
        <w:ind w:right="161"/>
      </w:pPr>
      <w:r w:rsidRPr="00C73849">
        <w:t>The pharmacokinetics of pyruvate and lactate were calculated using non-compartmental</w:t>
      </w:r>
      <w:r w:rsidRPr="00C73849">
        <w:rPr>
          <w:w w:val="99"/>
        </w:rPr>
        <w:t xml:space="preserve"> </w:t>
      </w:r>
      <w:r w:rsidRPr="00C73849">
        <w:t>analysis. The blood concentrations of pyruvate and lactate were corrected for pre-dose levels</w:t>
      </w:r>
      <w:r w:rsidRPr="00C73849">
        <w:rPr>
          <w:w w:val="99"/>
        </w:rPr>
        <w:t xml:space="preserve"> </w:t>
      </w:r>
      <w:r w:rsidRPr="00C73849">
        <w:t>before pharmacokinetic analysis. Systemic exposure to pyruvate, measured by C</w:t>
      </w:r>
      <w:r w:rsidRPr="00C73849">
        <w:rPr>
          <w:position w:val="-2"/>
          <w:sz w:val="16"/>
        </w:rPr>
        <w:t xml:space="preserve">max </w:t>
      </w:r>
      <w:r w:rsidRPr="00C73849">
        <w:t>and</w:t>
      </w:r>
      <w:r w:rsidR="001E1911">
        <w:rPr>
          <w:w w:val="99"/>
        </w:rPr>
        <w:t xml:space="preserve"> </w:t>
      </w:r>
      <w:r w:rsidRPr="00C73849">
        <w:t>AUC</w:t>
      </w:r>
      <w:r w:rsidRPr="00C73849">
        <w:rPr>
          <w:position w:val="-2"/>
          <w:sz w:val="16"/>
        </w:rPr>
        <w:t xml:space="preserve">tot </w:t>
      </w:r>
      <w:r w:rsidRPr="00C73849">
        <w:t xml:space="preserve">increased proportionally with dose, with the highest concentrations measured at the first sampling time </w:t>
      </w:r>
      <w:r w:rsidRPr="00C73849">
        <w:lastRenderedPageBreak/>
        <w:t>point (1 min post-dosing). The dose proportionality of lactate exposure was difficult to evaluate, as the concentrations observed in the lowest dose group were low compared to the variability in pre-dose lactate concentrations. However, both C</w:t>
      </w:r>
      <w:r w:rsidRPr="00C73849">
        <w:rPr>
          <w:position w:val="-2"/>
          <w:sz w:val="16"/>
        </w:rPr>
        <w:t xml:space="preserve">max </w:t>
      </w:r>
      <w:r w:rsidRPr="00C73849">
        <w:t>and AUC</w:t>
      </w:r>
      <w:r w:rsidRPr="00C73849">
        <w:rPr>
          <w:position w:val="-2"/>
          <w:sz w:val="16"/>
        </w:rPr>
        <w:t xml:space="preserve">tot </w:t>
      </w:r>
      <w:r w:rsidRPr="00C73849">
        <w:t>showed a negative deviation from proportionality at the highest dose level. For further</w:t>
      </w:r>
      <w:r w:rsidRPr="00C73849">
        <w:rPr>
          <w:w w:val="99"/>
        </w:rPr>
        <w:t xml:space="preserve"> </w:t>
      </w:r>
      <w:r w:rsidRPr="00C73849">
        <w:t xml:space="preserve">pharmacokinetics data </w:t>
      </w:r>
      <w:r w:rsidRPr="001F6A2C">
        <w:t xml:space="preserve">see section </w:t>
      </w:r>
      <w:r w:rsidR="001F6A2C" w:rsidRPr="005F6CE7">
        <w:rPr>
          <w:szCs w:val="22"/>
        </w:rPr>
        <w:t>5.2.8</w:t>
      </w:r>
      <w:r w:rsidR="001F6A2C" w:rsidRPr="005F6CE7">
        <w:rPr>
          <w:sz w:val="24"/>
        </w:rPr>
        <w:t xml:space="preserve"> </w:t>
      </w:r>
      <w:r w:rsidRPr="001F6A2C">
        <w:t>Other Pharmacokinetic Studies.</w:t>
      </w:r>
    </w:p>
    <w:p w14:paraId="1D6CF684" w14:textId="77777777" w:rsidR="00957F89" w:rsidRPr="00C73849" w:rsidRDefault="00957F89" w:rsidP="005D3932">
      <w:pPr>
        <w:spacing w:before="7"/>
        <w:rPr>
          <w:rFonts w:ascii="Times New Roman" w:eastAsia="Times New Roman" w:hAnsi="Times New Roman" w:cs="Times New Roman"/>
          <w:sz w:val="20"/>
          <w:szCs w:val="20"/>
        </w:rPr>
      </w:pPr>
    </w:p>
    <w:p w14:paraId="7839F527" w14:textId="77777777" w:rsidR="00957F89" w:rsidRPr="00C73849" w:rsidRDefault="00D92D87" w:rsidP="005D3932">
      <w:pPr>
        <w:pStyle w:val="BodyText"/>
        <w:ind w:right="248"/>
      </w:pPr>
      <w:r w:rsidRPr="00C73849">
        <w:t>The pyruvate test article was found to cause a dose-dependent acute decrease in systemic blood</w:t>
      </w:r>
      <w:r w:rsidRPr="00C73849">
        <w:rPr>
          <w:w w:val="99"/>
        </w:rPr>
        <w:t xml:space="preserve"> </w:t>
      </w:r>
      <w:r w:rsidRPr="00C73849">
        <w:t>pressure (30 s) immediately followed by a dose-dependent compensatory increase in heart rate</w:t>
      </w:r>
      <w:r w:rsidRPr="00C73849">
        <w:rPr>
          <w:w w:val="99"/>
        </w:rPr>
        <w:t xml:space="preserve"> </w:t>
      </w:r>
      <w:r w:rsidRPr="00C73849">
        <w:t>(1 min). The increases in heart rate were mirrored by increases in peripheral flow (1 min).</w:t>
      </w:r>
      <w:r w:rsidR="001E1911">
        <w:t xml:space="preserve"> </w:t>
      </w:r>
      <w:r w:rsidRPr="00C73849">
        <w:t>Pulmonary arterial pressure also increased in a dose-dependent manner with the peak effect at</w:t>
      </w:r>
      <w:r w:rsidRPr="00C73849">
        <w:rPr>
          <w:w w:val="99"/>
        </w:rPr>
        <w:t xml:space="preserve"> </w:t>
      </w:r>
      <w:r w:rsidRPr="00C73849">
        <w:t>2-3 min. Whereas the effects on blood pressure and flow were rapidly reversed, the effect on heart rate persisted for up to 10 min and the increase in pulmonary arterial pressure persisted</w:t>
      </w:r>
      <w:r w:rsidRPr="00C73849">
        <w:rPr>
          <w:w w:val="99"/>
        </w:rPr>
        <w:t xml:space="preserve"> </w:t>
      </w:r>
      <w:r w:rsidRPr="00C73849">
        <w:t>for up to 10-15 min. Whether the increase in pulmonary arterial pressure was a reflex effect</w:t>
      </w:r>
      <w:r w:rsidRPr="00C73849">
        <w:rPr>
          <w:w w:val="99"/>
        </w:rPr>
        <w:t xml:space="preserve"> </w:t>
      </w:r>
      <w:r w:rsidRPr="00C73849">
        <w:t>caused by an increase in cardiac output or due to an increase in vascular resistance over the</w:t>
      </w:r>
      <w:r w:rsidRPr="00C73849">
        <w:rPr>
          <w:w w:val="99"/>
        </w:rPr>
        <w:t xml:space="preserve"> </w:t>
      </w:r>
      <w:r w:rsidRPr="00C73849">
        <w:t>pulmonary system could not be judged from the measured parameters. A short-lasting dose- dependent prolongation of the QT/</w:t>
      </w:r>
      <w:proofErr w:type="spellStart"/>
      <w:r w:rsidRPr="00C73849">
        <w:t>QTcV</w:t>
      </w:r>
      <w:proofErr w:type="spellEnd"/>
      <w:r w:rsidRPr="00C73849">
        <w:t>-interval was observed after administration of pyruvate test article. No evidence of treatment-related arrhythmias was recorded.</w:t>
      </w:r>
      <w:r w:rsidR="009617CD">
        <w:t xml:space="preserve"> </w:t>
      </w:r>
      <w:r w:rsidRPr="00C73849">
        <w:t>Administration of TRIS/EDTA vehicle control caused an acute short-lasting decrease in blood</w:t>
      </w:r>
      <w:r w:rsidRPr="00C73849">
        <w:rPr>
          <w:w w:val="99"/>
        </w:rPr>
        <w:t xml:space="preserve"> </w:t>
      </w:r>
      <w:r w:rsidRPr="00C73849">
        <w:t xml:space="preserve">pressure. Administration of </w:t>
      </w:r>
      <w:proofErr w:type="gramStart"/>
      <w:r w:rsidRPr="00C73849">
        <w:t>osmotically-matched</w:t>
      </w:r>
      <w:proofErr w:type="gramEnd"/>
      <w:r w:rsidRPr="00C73849">
        <w:t xml:space="preserve"> glucose solution caused effects </w:t>
      </w:r>
      <w:r w:rsidR="002439E8" w:rsidRPr="00C73849">
        <w:t>like</w:t>
      </w:r>
      <w:r w:rsidRPr="00C73849">
        <w:rPr>
          <w:w w:val="99"/>
        </w:rPr>
        <w:t xml:space="preserve"> </w:t>
      </w:r>
      <w:r w:rsidRPr="00C73849">
        <w:t>those of pyruvate. In two animals the 2.14 ml/kg dose of pyruvate dose was repeated at a</w:t>
      </w:r>
      <w:r w:rsidRPr="00C73849">
        <w:rPr>
          <w:w w:val="99"/>
        </w:rPr>
        <w:t xml:space="preserve"> </w:t>
      </w:r>
      <w:r w:rsidRPr="00C73849">
        <w:t>reduced injection rate of 2 ml/s. The reduction in injection rate appeared to diminish the</w:t>
      </w:r>
      <w:r w:rsidRPr="00C73849">
        <w:rPr>
          <w:w w:val="99"/>
        </w:rPr>
        <w:t xml:space="preserve"> </w:t>
      </w:r>
      <w:r w:rsidRPr="00C73849">
        <w:t>effects on systemic arterial pressure and heart rate and to a lesser degree the effect on pulmonary arterial pressure.</w:t>
      </w:r>
    </w:p>
    <w:p w14:paraId="627EBE48" w14:textId="77777777" w:rsidR="00957F89" w:rsidRPr="00C73849" w:rsidRDefault="00957F89" w:rsidP="005D3932">
      <w:pPr>
        <w:spacing w:before="3"/>
        <w:rPr>
          <w:rFonts w:ascii="Times New Roman" w:eastAsia="Times New Roman" w:hAnsi="Times New Roman" w:cs="Times New Roman"/>
          <w:sz w:val="21"/>
          <w:szCs w:val="21"/>
        </w:rPr>
      </w:pPr>
    </w:p>
    <w:p w14:paraId="3356C1F9" w14:textId="77777777" w:rsidR="00957F89" w:rsidRPr="00C73849" w:rsidRDefault="00D92D87" w:rsidP="00F670E8">
      <w:pPr>
        <w:keepNext/>
        <w:numPr>
          <w:ilvl w:val="4"/>
          <w:numId w:val="2"/>
        </w:numPr>
        <w:tabs>
          <w:tab w:val="left" w:pos="1224"/>
        </w:tabs>
        <w:rPr>
          <w:rFonts w:ascii="Times New Roman" w:eastAsia="Times New Roman" w:hAnsi="Times New Roman" w:cs="Times New Roman"/>
          <w:sz w:val="24"/>
          <w:szCs w:val="24"/>
        </w:rPr>
      </w:pPr>
      <w:r w:rsidRPr="00C73849">
        <w:rPr>
          <w:rFonts w:ascii="Times New Roman"/>
          <w:b/>
          <w:sz w:val="24"/>
        </w:rPr>
        <w:t>GE study number: B101031</w:t>
      </w:r>
    </w:p>
    <w:p w14:paraId="225C43ED" w14:textId="77777777" w:rsidR="00957F89" w:rsidRPr="00C73849" w:rsidRDefault="00D92D87" w:rsidP="005D3932">
      <w:pPr>
        <w:ind w:left="1222" w:right="311"/>
        <w:rPr>
          <w:rFonts w:ascii="Times New Roman" w:eastAsia="Times New Roman" w:hAnsi="Times New Roman" w:cs="Times New Roman"/>
          <w:sz w:val="24"/>
          <w:szCs w:val="24"/>
        </w:rPr>
      </w:pPr>
      <w:r w:rsidRPr="00C73849">
        <w:rPr>
          <w:rFonts w:ascii="Times New Roman"/>
          <w:b/>
          <w:sz w:val="24"/>
        </w:rPr>
        <w:t xml:space="preserve">Mechanistic study of effects of 500 mM pyruvate on the cardiovascular system in </w:t>
      </w:r>
      <w:r w:rsidR="009617CD" w:rsidRPr="00C73849">
        <w:rPr>
          <w:rFonts w:ascii="Times New Roman"/>
          <w:b/>
          <w:sz w:val="24"/>
        </w:rPr>
        <w:t>anaesthetized</w:t>
      </w:r>
      <w:r w:rsidRPr="00C73849">
        <w:rPr>
          <w:rFonts w:ascii="Times New Roman"/>
          <w:b/>
          <w:sz w:val="24"/>
        </w:rPr>
        <w:t xml:space="preserve"> male dogs (non-GLP)</w:t>
      </w:r>
    </w:p>
    <w:p w14:paraId="48A6A61A" w14:textId="77777777" w:rsidR="00957F89" w:rsidRPr="00C73849" w:rsidRDefault="00957F89" w:rsidP="005D3932">
      <w:pPr>
        <w:spacing w:before="5"/>
        <w:rPr>
          <w:rFonts w:ascii="Times New Roman" w:eastAsia="Times New Roman" w:hAnsi="Times New Roman" w:cs="Times New Roman"/>
          <w:b/>
          <w:bCs/>
          <w:sz w:val="20"/>
          <w:szCs w:val="20"/>
        </w:rPr>
      </w:pPr>
    </w:p>
    <w:p w14:paraId="3C3F0677" w14:textId="78EB3BD2" w:rsidR="00957F89" w:rsidRPr="00C73849" w:rsidRDefault="00D92D87" w:rsidP="005D3932">
      <w:pPr>
        <w:pStyle w:val="BodyText"/>
        <w:spacing w:before="69"/>
        <w:ind w:right="158"/>
      </w:pPr>
      <w:r w:rsidRPr="00C73849">
        <w:t>Hemodynamic effects of injections of a 500 mM pyruvate test article in TRIS/EDTA</w:t>
      </w:r>
      <w:r w:rsidRPr="00C73849">
        <w:rPr>
          <w:w w:val="99"/>
        </w:rPr>
        <w:t xml:space="preserve"> </w:t>
      </w:r>
      <w:r w:rsidRPr="00C73849">
        <w:t>dissolution medium were studied in an open-chest model in three heavily instrumented,</w:t>
      </w:r>
      <w:r w:rsidRPr="00C73849">
        <w:rPr>
          <w:w w:val="99"/>
        </w:rPr>
        <w:t xml:space="preserve"> </w:t>
      </w:r>
      <w:r w:rsidRPr="00C73849">
        <w:t xml:space="preserve">pentobarbital/fentanyl anesthetized dogs. The model allowed for continuous measurement of cardiac output. Femoral arterial flow was measured a </w:t>
      </w:r>
      <w:r w:rsidR="006E30F3" w:rsidRPr="00D80715">
        <w:t xml:space="preserve">cannula </w:t>
      </w:r>
      <w:r w:rsidRPr="00C73849">
        <w:t>was placed downstream in</w:t>
      </w:r>
      <w:r w:rsidRPr="00C73849">
        <w:rPr>
          <w:w w:val="99"/>
        </w:rPr>
        <w:t xml:space="preserve"> </w:t>
      </w:r>
      <w:r w:rsidRPr="00C73849">
        <w:t>the same artery for performing local injections. Systemic and pulmonary arterial blood</w:t>
      </w:r>
      <w:r w:rsidRPr="00C73849">
        <w:rPr>
          <w:w w:val="99"/>
        </w:rPr>
        <w:t xml:space="preserve"> </w:t>
      </w:r>
      <w:r w:rsidRPr="00C73849">
        <w:t>pressures were measured. The left-ventricular end-diastolic pressure was measured as a</w:t>
      </w:r>
      <w:r w:rsidRPr="00C73849">
        <w:rPr>
          <w:w w:val="99"/>
        </w:rPr>
        <w:t xml:space="preserve"> </w:t>
      </w:r>
      <w:r w:rsidRPr="00C73849">
        <w:t>surrogate for pulmonary venous pressure. Heart rate was generated from ECG lead II. No assessment of the ECG trace was done. A catheter was inserted in the left atrium. By</w:t>
      </w:r>
      <w:r w:rsidR="00A36C6D" w:rsidRPr="00C73849">
        <w:t xml:space="preserve"> </w:t>
      </w:r>
      <w:r w:rsidRPr="00C73849">
        <w:t xml:space="preserve">administering test item directly into the left </w:t>
      </w:r>
      <w:r w:rsidR="002439E8" w:rsidRPr="00C73849">
        <w:t>atrium,</w:t>
      </w:r>
      <w:r w:rsidRPr="00C73849">
        <w:t xml:space="preserve"> the pulmonary system was circumvented in</w:t>
      </w:r>
      <w:r w:rsidRPr="00C73849">
        <w:rPr>
          <w:w w:val="99"/>
        </w:rPr>
        <w:t xml:space="preserve"> </w:t>
      </w:r>
      <w:r w:rsidRPr="00C73849">
        <w:t>the first pass. Doses of the test article were diluted with water for injection (WFI) to</w:t>
      </w:r>
      <w:r w:rsidR="001E1911">
        <w:rPr>
          <w:w w:val="99"/>
        </w:rPr>
        <w:t xml:space="preserve"> </w:t>
      </w:r>
      <w:r w:rsidRPr="00C73849">
        <w:t>isotonicity and administered at comparable dose-rates (mg/s) to the hyperosmotic solution both</w:t>
      </w:r>
      <w:r w:rsidRPr="00C73849">
        <w:rPr>
          <w:w w:val="99"/>
        </w:rPr>
        <w:t xml:space="preserve"> </w:t>
      </w:r>
      <w:r w:rsidRPr="00C73849">
        <w:t>systemically (intravenously) and locally (arterially). The appropriate saline volume controls</w:t>
      </w:r>
      <w:r w:rsidRPr="00C73849">
        <w:rPr>
          <w:w w:val="99"/>
        </w:rPr>
        <w:t xml:space="preserve"> </w:t>
      </w:r>
      <w:r w:rsidRPr="00C73849">
        <w:t>were administered. Effects of the isotonic solutions were considered to reflect pyruvate effects</w:t>
      </w:r>
      <w:r w:rsidRPr="00C73849">
        <w:rPr>
          <w:w w:val="99"/>
        </w:rPr>
        <w:t xml:space="preserve"> </w:t>
      </w:r>
      <w:r w:rsidRPr="00C73849">
        <w:t xml:space="preserve">and volume effects. A dose of 2 ml/kg </w:t>
      </w:r>
      <w:proofErr w:type="spellStart"/>
      <w:r w:rsidRPr="00C73849">
        <w:t>bw</w:t>
      </w:r>
      <w:proofErr w:type="spellEnd"/>
      <w:r w:rsidRPr="00C73849">
        <w:t xml:space="preserve"> was administered at both 2 and 5 ml/s in each dog. Some samples of the administered test articles were obtained and analyzed for purity by HPLC, pH and osmolality.</w:t>
      </w:r>
    </w:p>
    <w:p w14:paraId="58E7E6F5" w14:textId="77777777" w:rsidR="00957F89" w:rsidRPr="00C73849" w:rsidRDefault="00957F89" w:rsidP="005D3932">
      <w:pPr>
        <w:spacing w:before="10"/>
        <w:rPr>
          <w:rFonts w:ascii="Times New Roman" w:eastAsia="Times New Roman" w:hAnsi="Times New Roman" w:cs="Times New Roman"/>
          <w:sz w:val="20"/>
          <w:szCs w:val="20"/>
        </w:rPr>
      </w:pPr>
    </w:p>
    <w:p w14:paraId="53943C24" w14:textId="77777777" w:rsidR="00957F89" w:rsidRPr="00C73849" w:rsidRDefault="0019133B" w:rsidP="005D3932">
      <w:pPr>
        <w:pStyle w:val="BodyText"/>
        <w:ind w:right="311"/>
      </w:pPr>
      <w:r w:rsidRPr="00C73849">
        <w:t>Most of</w:t>
      </w:r>
      <w:r w:rsidR="00D92D87" w:rsidRPr="00C73849">
        <w:t xml:space="preserve"> the test article samples (13 of 18 samples) had a purity of more than 90% area.</w:t>
      </w:r>
      <w:r w:rsidR="00D92D87" w:rsidRPr="00C73849">
        <w:rPr>
          <w:w w:val="99"/>
        </w:rPr>
        <w:t xml:space="preserve"> </w:t>
      </w:r>
      <w:r w:rsidR="00D92D87" w:rsidRPr="00C73849">
        <w:t xml:space="preserve">The lowest measured purity was 78% area. The osmolality was approximately 1000 </w:t>
      </w:r>
      <w:proofErr w:type="spellStart"/>
      <w:r w:rsidR="00D92D87" w:rsidRPr="00C73849">
        <w:t>mOsm</w:t>
      </w:r>
      <w:proofErr w:type="spellEnd"/>
      <w:r w:rsidR="00D92D87" w:rsidRPr="00C73849">
        <w:t>/kg</w:t>
      </w:r>
      <w:r w:rsidR="00D92D87" w:rsidRPr="00C73849">
        <w:rPr>
          <w:w w:val="99"/>
        </w:rPr>
        <w:t xml:space="preserve"> </w:t>
      </w:r>
      <w:r w:rsidR="00D92D87" w:rsidRPr="00C73849">
        <w:t xml:space="preserve">for the hypertonic test articles and 280 </w:t>
      </w:r>
      <w:proofErr w:type="spellStart"/>
      <w:r w:rsidR="00D92D87" w:rsidRPr="00C73849">
        <w:t>mOsm</w:t>
      </w:r>
      <w:proofErr w:type="spellEnd"/>
      <w:r w:rsidR="00D92D87" w:rsidRPr="00C73849">
        <w:t>/kg for the isotonic test articles. pH varied from</w:t>
      </w:r>
      <w:r w:rsidR="00D92D87" w:rsidRPr="00C73849">
        <w:rPr>
          <w:w w:val="99"/>
        </w:rPr>
        <w:t xml:space="preserve"> </w:t>
      </w:r>
      <w:r w:rsidR="00D92D87" w:rsidRPr="00C73849">
        <w:t>5.6 to 8.0.</w:t>
      </w:r>
    </w:p>
    <w:p w14:paraId="78D40392" w14:textId="77777777" w:rsidR="00957F89" w:rsidRPr="00C73849" w:rsidRDefault="00957F89" w:rsidP="005D3932">
      <w:pPr>
        <w:spacing w:before="10"/>
        <w:rPr>
          <w:rFonts w:ascii="Times New Roman" w:eastAsia="Times New Roman" w:hAnsi="Times New Roman" w:cs="Times New Roman"/>
          <w:sz w:val="20"/>
          <w:szCs w:val="20"/>
        </w:rPr>
      </w:pPr>
    </w:p>
    <w:p w14:paraId="7899F7B7" w14:textId="7362DDD3" w:rsidR="00957F89" w:rsidRPr="00C73849" w:rsidRDefault="00D92D87" w:rsidP="005D3932">
      <w:pPr>
        <w:pStyle w:val="BodyText"/>
        <w:ind w:right="175"/>
      </w:pPr>
      <w:r w:rsidRPr="00C73849">
        <w:t>Systemic administration of the hypertonic pyruvate test article caused an acute drop in arterial</w:t>
      </w:r>
      <w:r w:rsidRPr="00C73849">
        <w:rPr>
          <w:w w:val="99"/>
        </w:rPr>
        <w:t xml:space="preserve"> </w:t>
      </w:r>
      <w:r w:rsidRPr="00C73849">
        <w:t>blood pressure, in accordance with Study B101026. A secondary moderate increase in arterial</w:t>
      </w:r>
      <w:r w:rsidRPr="00C73849">
        <w:rPr>
          <w:w w:val="99"/>
        </w:rPr>
        <w:t xml:space="preserve"> </w:t>
      </w:r>
      <w:r w:rsidRPr="00C73849">
        <w:t>pressure of up to 10% over baseline was observed at approximately 5 min after administration.</w:t>
      </w:r>
      <w:r w:rsidRPr="00C73849">
        <w:rPr>
          <w:w w:val="99"/>
        </w:rPr>
        <w:t xml:space="preserve"> </w:t>
      </w:r>
      <w:r w:rsidRPr="00C73849">
        <w:lastRenderedPageBreak/>
        <w:t>When the hypertonic test article was injected in an artery in the periphery an acute local</w:t>
      </w:r>
      <w:r w:rsidRPr="00C73849">
        <w:rPr>
          <w:w w:val="99"/>
        </w:rPr>
        <w:t xml:space="preserve"> </w:t>
      </w:r>
      <w:r w:rsidRPr="00C73849">
        <w:t>increase in flow was induced indicating local vasodilation. The increase in flow was solely dependent on the osmolality of the test article, as injection of the same dose of pyruvate in an</w:t>
      </w:r>
      <w:r w:rsidRPr="00C73849">
        <w:rPr>
          <w:w w:val="99"/>
        </w:rPr>
        <w:t xml:space="preserve"> </w:t>
      </w:r>
      <w:r w:rsidRPr="00C73849">
        <w:t>isotonic test article over the same time (i.e. at a higher injection rate [ml/s]) caused no increase in local flow when compared to a volume control. However, when comparable doses of pyruvate in hypertonic and isotonic test articles were administered intravenously at the same</w:t>
      </w:r>
      <w:r w:rsidRPr="00C73849">
        <w:rPr>
          <w:w w:val="99"/>
        </w:rPr>
        <w:t xml:space="preserve"> </w:t>
      </w:r>
      <w:r w:rsidRPr="00C73849">
        <w:t>dose-rate, there were only minor differences in response. This finding of different effects of local versus systemic administration can possibly be explained by pyruvate being metabolized</w:t>
      </w:r>
      <w:r w:rsidRPr="00C73849">
        <w:rPr>
          <w:w w:val="99"/>
        </w:rPr>
        <w:t xml:space="preserve"> </w:t>
      </w:r>
      <w:r w:rsidRPr="00C73849">
        <w:t>to lactate which is known to be a vasodilator. This might take place during contact with blood</w:t>
      </w:r>
      <w:r w:rsidRPr="00C73849">
        <w:rPr>
          <w:w w:val="99"/>
        </w:rPr>
        <w:t xml:space="preserve"> </w:t>
      </w:r>
      <w:r w:rsidRPr="00C73849">
        <w:t>[Romijn et al 1994], explaining the difference between central and peripheral injection</w:t>
      </w:r>
      <w:r w:rsidRPr="00C73849">
        <w:rPr>
          <w:w w:val="99"/>
        </w:rPr>
        <w:t xml:space="preserve"> </w:t>
      </w:r>
      <w:r w:rsidRPr="00C73849">
        <w:t>responses.</w:t>
      </w:r>
    </w:p>
    <w:p w14:paraId="45C1151A" w14:textId="77777777" w:rsidR="00957F89" w:rsidRPr="00C73849" w:rsidRDefault="00957F89" w:rsidP="005D3932">
      <w:pPr>
        <w:spacing w:before="8"/>
        <w:rPr>
          <w:rFonts w:ascii="Times New Roman" w:eastAsia="Times New Roman" w:hAnsi="Times New Roman" w:cs="Times New Roman"/>
          <w:sz w:val="20"/>
          <w:szCs w:val="20"/>
        </w:rPr>
      </w:pPr>
    </w:p>
    <w:p w14:paraId="1B535665" w14:textId="0EF0B8BA" w:rsidR="00957F89" w:rsidRPr="00C73849" w:rsidRDefault="00D92D87" w:rsidP="005D3932">
      <w:pPr>
        <w:pStyle w:val="BodyText"/>
        <w:ind w:right="309"/>
      </w:pPr>
      <w:r w:rsidRPr="00C73849">
        <w:t>There was a consistent and acute rise in aortic flow of about 20% to 25% after intravenous</w:t>
      </w:r>
      <w:r w:rsidRPr="00C73849">
        <w:rPr>
          <w:w w:val="99"/>
        </w:rPr>
        <w:t xml:space="preserve"> </w:t>
      </w:r>
      <w:r w:rsidRPr="00C73849">
        <w:t>injections of 2 ml/kg 500 mM pyruvate compared to an increase of approx. 16% after injection</w:t>
      </w:r>
      <w:r w:rsidRPr="00C73849">
        <w:rPr>
          <w:w w:val="99"/>
        </w:rPr>
        <w:t xml:space="preserve"> </w:t>
      </w:r>
      <w:r w:rsidRPr="00C73849">
        <w:t>of 2 ml/kg saline. This increase indicates that no adverse effect on the heart’s pumping</w:t>
      </w:r>
      <w:r w:rsidRPr="00C73849">
        <w:rPr>
          <w:w w:val="99"/>
        </w:rPr>
        <w:t xml:space="preserve"> </w:t>
      </w:r>
      <w:r w:rsidRPr="00C73849">
        <w:t>function occurred following administration of pyruvate. The cardiac workload was calculated</w:t>
      </w:r>
      <w:r w:rsidRPr="00C73849">
        <w:rPr>
          <w:w w:val="99"/>
        </w:rPr>
        <w:t xml:space="preserve"> </w:t>
      </w:r>
      <w:r w:rsidRPr="00C73849">
        <w:t>as the product of beat-by-beat averages of aortic flow and arterial pressure. This parameter can</w:t>
      </w:r>
      <w:r w:rsidRPr="00C73849">
        <w:rPr>
          <w:w w:val="99"/>
        </w:rPr>
        <w:t xml:space="preserve"> </w:t>
      </w:r>
      <w:r w:rsidRPr="00C73849">
        <w:t>be considered an indicator for the relative oxygen demand of the myocardium. The typical</w:t>
      </w:r>
      <w:r w:rsidRPr="00C73849">
        <w:rPr>
          <w:w w:val="99"/>
        </w:rPr>
        <w:t xml:space="preserve"> </w:t>
      </w:r>
      <w:r w:rsidRPr="00C73849">
        <w:t>pattern consisted of an initial reduction in cardiac work, followed by a sustained elevation of up to 30% above baseline. The dip coincided with the initial drop in blood pressure, while the</w:t>
      </w:r>
      <w:r w:rsidRPr="00C73849">
        <w:rPr>
          <w:w w:val="99"/>
        </w:rPr>
        <w:t xml:space="preserve"> </w:t>
      </w:r>
      <w:r w:rsidRPr="00C73849">
        <w:t xml:space="preserve">increase in cardiac work occurred in the </w:t>
      </w:r>
      <w:proofErr w:type="gramStart"/>
      <w:r w:rsidRPr="00C73849">
        <w:t>time period</w:t>
      </w:r>
      <w:proofErr w:type="gramEnd"/>
      <w:r w:rsidRPr="00C73849">
        <w:t xml:space="preserve"> with moderately elevated arterial pressure and elevated aortic flow. Injection of 2 ml/kg of saline produced a sustained increase in power of some 20%, without the initial dip.</w:t>
      </w:r>
    </w:p>
    <w:p w14:paraId="67263343" w14:textId="77777777" w:rsidR="00957F89" w:rsidRPr="00C73849" w:rsidRDefault="00957F89" w:rsidP="005D3932">
      <w:pPr>
        <w:spacing w:before="10"/>
        <w:rPr>
          <w:rFonts w:ascii="Times New Roman" w:eastAsia="Times New Roman" w:hAnsi="Times New Roman" w:cs="Times New Roman"/>
          <w:sz w:val="20"/>
          <w:szCs w:val="20"/>
        </w:rPr>
      </w:pPr>
    </w:p>
    <w:p w14:paraId="3F8971A0" w14:textId="77777777" w:rsidR="00957F89" w:rsidRPr="00C73849" w:rsidRDefault="00D92D87" w:rsidP="005D3932">
      <w:pPr>
        <w:pStyle w:val="BodyText"/>
        <w:ind w:right="311"/>
      </w:pPr>
      <w:r w:rsidRPr="00C73849">
        <w:t>There was a close correlation between the increase in cardiac output and the observed increase</w:t>
      </w:r>
      <w:r w:rsidRPr="00C73849">
        <w:rPr>
          <w:w w:val="99"/>
        </w:rPr>
        <w:t xml:space="preserve"> </w:t>
      </w:r>
      <w:r w:rsidRPr="00C73849">
        <w:t>in pulmonary arterial pressure, indicating that the increase in pulmonary arterial pressure was a</w:t>
      </w:r>
      <w:r w:rsidRPr="00C73849">
        <w:rPr>
          <w:w w:val="99"/>
        </w:rPr>
        <w:t xml:space="preserve"> </w:t>
      </w:r>
      <w:r w:rsidRPr="00C73849">
        <w:t>reflex of increased flow. Small increases in pulmonary venous pressure were observed</w:t>
      </w:r>
      <w:r w:rsidRPr="00C73849">
        <w:rPr>
          <w:w w:val="99"/>
        </w:rPr>
        <w:t xml:space="preserve"> </w:t>
      </w:r>
      <w:r w:rsidRPr="00C73849">
        <w:t>following administration of up to 2 ml/kg of 500 mM pyruvate. The increases were well</w:t>
      </w:r>
      <w:r w:rsidRPr="00C73849">
        <w:rPr>
          <w:w w:val="99"/>
        </w:rPr>
        <w:t xml:space="preserve"> </w:t>
      </w:r>
      <w:r w:rsidRPr="00C73849">
        <w:t>within the range of normal physiological variation that occurs in response to postural changes. No evidence of increased resistance over the pulmonary circulation was observed. When</w:t>
      </w:r>
      <w:r w:rsidR="00752B33">
        <w:t xml:space="preserve"> </w:t>
      </w:r>
      <w:r w:rsidRPr="00C73849">
        <w:t xml:space="preserve">bypassing the lung by injecting directly into the left atrium, no substantial difference was seen in pulmonary resistance at the relevant time interval for </w:t>
      </w:r>
      <w:proofErr w:type="gramStart"/>
      <w:r w:rsidRPr="00C73849">
        <w:t>first-pass</w:t>
      </w:r>
      <w:proofErr w:type="gramEnd"/>
      <w:r w:rsidRPr="00C73849">
        <w:t>. The effect on the systemic</w:t>
      </w:r>
      <w:r w:rsidRPr="00C73849">
        <w:rPr>
          <w:w w:val="99"/>
        </w:rPr>
        <w:t xml:space="preserve"> </w:t>
      </w:r>
      <w:r w:rsidRPr="00C73849">
        <w:t>blood pressure was somewhat increased, probably due to reduced mixing of the injected bolus</w:t>
      </w:r>
      <w:r w:rsidRPr="00C73849">
        <w:rPr>
          <w:w w:val="99"/>
        </w:rPr>
        <w:t xml:space="preserve"> </w:t>
      </w:r>
      <w:r w:rsidRPr="00C73849">
        <w:t xml:space="preserve">with blood resulting in a higher concentration in </w:t>
      </w:r>
      <w:proofErr w:type="gramStart"/>
      <w:r w:rsidRPr="00C73849">
        <w:t>first-pass</w:t>
      </w:r>
      <w:proofErr w:type="gramEnd"/>
      <w:r w:rsidRPr="00C73849">
        <w:t>. Reducing the rate of injection from</w:t>
      </w:r>
      <w:r w:rsidRPr="00C73849">
        <w:rPr>
          <w:w w:val="99"/>
        </w:rPr>
        <w:t xml:space="preserve"> </w:t>
      </w:r>
      <w:r w:rsidRPr="00C73849">
        <w:t xml:space="preserve">5 to 2 ml/s lessened the effect on systemic blood </w:t>
      </w:r>
      <w:proofErr w:type="gramStart"/>
      <w:r w:rsidRPr="00C73849">
        <w:t>pressure, but</w:t>
      </w:r>
      <w:proofErr w:type="gramEnd"/>
      <w:r w:rsidRPr="00C73849">
        <w:t xml:space="preserve"> had little effect on the changes seen for pulmonary arterial and venous pressures.</w:t>
      </w:r>
    </w:p>
    <w:p w14:paraId="16D8CA43" w14:textId="77777777" w:rsidR="00957F89" w:rsidRPr="00C73849" w:rsidRDefault="00957F89" w:rsidP="005D3932">
      <w:pPr>
        <w:spacing w:before="3"/>
        <w:rPr>
          <w:rFonts w:ascii="Times New Roman" w:eastAsia="Times New Roman" w:hAnsi="Times New Roman" w:cs="Times New Roman"/>
          <w:sz w:val="21"/>
          <w:szCs w:val="21"/>
        </w:rPr>
      </w:pPr>
    </w:p>
    <w:p w14:paraId="15D43C97" w14:textId="77777777" w:rsidR="00957F89" w:rsidRPr="00C73849" w:rsidRDefault="00D92D87" w:rsidP="00F670E8">
      <w:pPr>
        <w:numPr>
          <w:ilvl w:val="4"/>
          <w:numId w:val="2"/>
        </w:numPr>
        <w:tabs>
          <w:tab w:val="left" w:pos="1224"/>
        </w:tabs>
        <w:rPr>
          <w:rFonts w:ascii="Times New Roman" w:eastAsia="Times New Roman" w:hAnsi="Times New Roman" w:cs="Times New Roman"/>
          <w:sz w:val="24"/>
          <w:szCs w:val="24"/>
        </w:rPr>
      </w:pPr>
      <w:proofErr w:type="spellStart"/>
      <w:r w:rsidRPr="00C73849">
        <w:rPr>
          <w:rFonts w:ascii="Times New Roman"/>
          <w:b/>
          <w:sz w:val="24"/>
        </w:rPr>
        <w:t>Porsolt</w:t>
      </w:r>
      <w:proofErr w:type="spellEnd"/>
      <w:r w:rsidRPr="00C73849">
        <w:rPr>
          <w:rFonts w:ascii="Times New Roman"/>
          <w:b/>
          <w:sz w:val="24"/>
        </w:rPr>
        <w:t xml:space="preserve"> study number: 06.076/6 (GE study number B101037)</w:t>
      </w:r>
    </w:p>
    <w:p w14:paraId="0A2534F1" w14:textId="77777777" w:rsidR="00957F89" w:rsidRPr="00C73849" w:rsidRDefault="00D92D87" w:rsidP="005D3932">
      <w:pPr>
        <w:ind w:left="1222" w:right="151"/>
        <w:rPr>
          <w:rFonts w:ascii="Times New Roman" w:eastAsia="Times New Roman" w:hAnsi="Times New Roman" w:cs="Times New Roman"/>
          <w:sz w:val="24"/>
          <w:szCs w:val="24"/>
        </w:rPr>
      </w:pPr>
      <w:r w:rsidRPr="00C73849">
        <w:rPr>
          <w:rFonts w:ascii="Times New Roman"/>
          <w:b/>
          <w:sz w:val="24"/>
        </w:rPr>
        <w:t>Safety pharmacology study of hemodynamic effects of a mixture of natural</w:t>
      </w:r>
      <w:r w:rsidRPr="00C73849">
        <w:rPr>
          <w:rFonts w:ascii="Times New Roman"/>
          <w:b/>
          <w:w w:val="99"/>
          <w:sz w:val="24"/>
        </w:rPr>
        <w:t xml:space="preserve"> </w:t>
      </w:r>
      <w:r w:rsidRPr="00C73849">
        <w:rPr>
          <w:rFonts w:ascii="Times New Roman"/>
          <w:b/>
          <w:sz w:val="24"/>
        </w:rPr>
        <w:t>abundant pyruvic acid and 15 mM AH111501 dissolved in TRIS/EDTA dissolution medium after intravenous administration in the anesthetized dog (GLP)</w:t>
      </w:r>
    </w:p>
    <w:p w14:paraId="506CAAFC" w14:textId="77777777" w:rsidR="00957F89" w:rsidRPr="00C73849" w:rsidRDefault="00957F89" w:rsidP="005D3932">
      <w:pPr>
        <w:spacing w:before="9"/>
        <w:rPr>
          <w:rFonts w:ascii="Times New Roman" w:eastAsia="Times New Roman" w:hAnsi="Times New Roman" w:cs="Times New Roman"/>
          <w:b/>
          <w:bCs/>
          <w:sz w:val="20"/>
          <w:szCs w:val="20"/>
        </w:rPr>
      </w:pPr>
    </w:p>
    <w:p w14:paraId="73E8708B" w14:textId="77777777" w:rsidR="00957F89" w:rsidRDefault="00D92D87" w:rsidP="005D3932">
      <w:pPr>
        <w:pStyle w:val="BodyText"/>
        <w:spacing w:line="276" w:lineRule="exact"/>
        <w:ind w:right="216"/>
      </w:pPr>
      <w:r w:rsidRPr="00C73849">
        <w:t>The effects of 250 mM pyruvate and 0.43 mg/ml AH111501 in TRIS/EDTA dissolution</w:t>
      </w:r>
      <w:r w:rsidRPr="00C73849">
        <w:rPr>
          <w:w w:val="99"/>
        </w:rPr>
        <w:t xml:space="preserve"> </w:t>
      </w:r>
      <w:r w:rsidRPr="00C73849">
        <w:t>medium on systemic, cardiac, and pulmonary hemodynamics were evaluated following rapid</w:t>
      </w:r>
      <w:r w:rsidRPr="00C73849">
        <w:rPr>
          <w:w w:val="99"/>
        </w:rPr>
        <w:t xml:space="preserve"> </w:t>
      </w:r>
      <w:r w:rsidRPr="00C73849">
        <w:t>intravenous injection (5 ml/s) by a power injector in four anesthetized male beagle dogs. The</w:t>
      </w:r>
      <w:r w:rsidRPr="00C73849">
        <w:rPr>
          <w:w w:val="99"/>
        </w:rPr>
        <w:t xml:space="preserve"> </w:t>
      </w:r>
      <w:r w:rsidRPr="00C73849">
        <w:t xml:space="preserve">first dose administered to all animals was a dose of filtered test item (4.3 ml/kg </w:t>
      </w:r>
      <w:proofErr w:type="spellStart"/>
      <w:r w:rsidRPr="00C73849">
        <w:t>bw</w:t>
      </w:r>
      <w:proofErr w:type="spellEnd"/>
      <w:r w:rsidRPr="00C73849">
        <w:t xml:space="preserve">), following this dose three doses of test item containing AH111501 (1.4, 4.3 and 5.7 ml/kg </w:t>
      </w:r>
      <w:proofErr w:type="spellStart"/>
      <w:r w:rsidRPr="00C73849">
        <w:t>bw</w:t>
      </w:r>
      <w:proofErr w:type="spellEnd"/>
      <w:r w:rsidRPr="00C73849">
        <w:t>) and three</w:t>
      </w:r>
      <w:r w:rsidRPr="00C73849">
        <w:rPr>
          <w:w w:val="99"/>
        </w:rPr>
        <w:t xml:space="preserve"> </w:t>
      </w:r>
      <w:r w:rsidRPr="00C73849">
        <w:t xml:space="preserve">controls (saline, osmotic control [mannitol] and TRIS/EDTA vehicle control, all 4.3 ml/kg </w:t>
      </w:r>
      <w:proofErr w:type="spellStart"/>
      <w:r w:rsidRPr="00C73849">
        <w:t>bw</w:t>
      </w:r>
      <w:proofErr w:type="spellEnd"/>
      <w:r w:rsidRPr="00C73849">
        <w:t xml:space="preserve">) were administered. Each dog received each treatment once, and between two administrations of the test item, a vehicle control was administered. Each dog was given a total of seven discrete </w:t>
      </w:r>
      <w:r w:rsidRPr="00C73849">
        <w:lastRenderedPageBreak/>
        <w:t>intravenous boluses on one dosing day, at intervals of 45 min. The dogs were</w:t>
      </w:r>
      <w:r w:rsidRPr="00C73849">
        <w:rPr>
          <w:w w:val="99"/>
        </w:rPr>
        <w:t xml:space="preserve"> </w:t>
      </w:r>
      <w:r w:rsidRPr="00C73849">
        <w:t>instrumented for measurement of systemic and pulmonary arterial blood pressures. Continuous</w:t>
      </w:r>
      <w:r w:rsidRPr="00C73849">
        <w:rPr>
          <w:w w:val="99"/>
        </w:rPr>
        <w:t xml:space="preserve"> </w:t>
      </w:r>
      <w:r w:rsidRPr="00C73849">
        <w:t xml:space="preserve">recording of the left ventricular pressure was used for calculation of </w:t>
      </w:r>
      <w:proofErr w:type="spellStart"/>
      <w:r w:rsidRPr="00C73849">
        <w:t>dP</w:t>
      </w:r>
      <w:proofErr w:type="spellEnd"/>
      <w:r w:rsidRPr="00C73849">
        <w:t>/dt</w:t>
      </w:r>
      <w:r w:rsidRPr="00C73849">
        <w:rPr>
          <w:position w:val="-2"/>
          <w:sz w:val="16"/>
        </w:rPr>
        <w:t>max</w:t>
      </w:r>
      <w:r w:rsidRPr="00C73849">
        <w:t>, and the left-</w:t>
      </w:r>
      <w:r w:rsidRPr="00C73849">
        <w:rPr>
          <w:w w:val="99"/>
        </w:rPr>
        <w:t xml:space="preserve"> </w:t>
      </w:r>
      <w:r w:rsidRPr="00C73849">
        <w:t>ventricular end-diastolic pressure was used as a surrogate for pulmonary venous pressure.</w:t>
      </w:r>
    </w:p>
    <w:p w14:paraId="37326D06" w14:textId="77777777" w:rsidR="00752B33" w:rsidRPr="00C73849" w:rsidRDefault="00752B33" w:rsidP="005D3932">
      <w:pPr>
        <w:pStyle w:val="BodyText"/>
        <w:spacing w:line="276" w:lineRule="exact"/>
        <w:ind w:right="216"/>
      </w:pPr>
    </w:p>
    <w:p w14:paraId="248D41A5" w14:textId="77777777" w:rsidR="00957F89" w:rsidRPr="00C73849" w:rsidRDefault="00D92D87" w:rsidP="005D3932">
      <w:pPr>
        <w:pStyle w:val="BodyText"/>
        <w:spacing w:line="239" w:lineRule="auto"/>
        <w:ind w:right="311"/>
      </w:pPr>
      <w:r w:rsidRPr="00C73849">
        <w:t>Femoral and carotid arterial flow was measured. Cardiac output was measured by thermodilution. Heart rate was generated from ECG lead II. The measurements were reported before the start of injection (-5 min) and at 0.5, 1, 2, 5, 10, 20, 30 and 40 min after start of administration. Blood was sampled before and after the start of injection to verify correct</w:t>
      </w:r>
      <w:r w:rsidRPr="00C73849">
        <w:rPr>
          <w:w w:val="99"/>
        </w:rPr>
        <w:t xml:space="preserve"> </w:t>
      </w:r>
      <w:r w:rsidRPr="00C73849">
        <w:t xml:space="preserve">administration. Samples of the test article were analyzed for purity by </w:t>
      </w:r>
      <w:proofErr w:type="gramStart"/>
      <w:r w:rsidRPr="00C73849">
        <w:t>HPLC</w:t>
      </w:r>
      <w:proofErr w:type="gramEnd"/>
      <w:r w:rsidRPr="00C73849">
        <w:t xml:space="preserve"> and selected</w:t>
      </w:r>
      <w:r w:rsidRPr="00C73849">
        <w:rPr>
          <w:w w:val="99"/>
        </w:rPr>
        <w:t xml:space="preserve"> </w:t>
      </w:r>
      <w:r w:rsidRPr="00C73849">
        <w:t xml:space="preserve">samples were analyzed for purity by NMR. In </w:t>
      </w:r>
      <w:r w:rsidR="0019133B" w:rsidRPr="00C73849">
        <w:t>addition,</w:t>
      </w:r>
      <w:r w:rsidRPr="00C73849">
        <w:t xml:space="preserve"> pH and osmolality were measured for all samples.</w:t>
      </w:r>
      <w:r w:rsidR="00752B33">
        <w:t xml:space="preserve"> </w:t>
      </w:r>
      <w:r w:rsidR="002A7BB9">
        <w:t>T</w:t>
      </w:r>
      <w:r w:rsidRPr="00C73849">
        <w:t>he purity profile for the administered test articles was qualitatively consistent and appropriate</w:t>
      </w:r>
      <w:r w:rsidRPr="00C73849">
        <w:rPr>
          <w:w w:val="99"/>
        </w:rPr>
        <w:t xml:space="preserve"> </w:t>
      </w:r>
      <w:r w:rsidRPr="00C73849">
        <w:t>for the study. Correct dosing was confirmed by blood analysis.</w:t>
      </w:r>
    </w:p>
    <w:p w14:paraId="5A1C0ED6" w14:textId="77777777" w:rsidR="00957F89" w:rsidRPr="00C73849" w:rsidRDefault="00957F89" w:rsidP="005D3932">
      <w:pPr>
        <w:spacing w:before="2"/>
        <w:rPr>
          <w:rFonts w:ascii="Times New Roman" w:eastAsia="Times New Roman" w:hAnsi="Times New Roman" w:cs="Times New Roman"/>
          <w:sz w:val="21"/>
          <w:szCs w:val="21"/>
        </w:rPr>
      </w:pPr>
    </w:p>
    <w:p w14:paraId="017214EB" w14:textId="77777777" w:rsidR="00957F89" w:rsidRPr="00C73849" w:rsidRDefault="00D92D87" w:rsidP="005D3932">
      <w:pPr>
        <w:pStyle w:val="BodyText"/>
        <w:spacing w:line="276" w:lineRule="exact"/>
        <w:ind w:right="343"/>
      </w:pPr>
      <w:r w:rsidRPr="00C73849">
        <w:t>Administration of test item containing 0.43 mg/ml AH111501 caused an acute dose-dependent</w:t>
      </w:r>
      <w:r w:rsidRPr="00C73849">
        <w:rPr>
          <w:w w:val="99"/>
        </w:rPr>
        <w:t xml:space="preserve"> </w:t>
      </w:r>
      <w:r w:rsidRPr="00C73849">
        <w:t>peripheral vasodilation triggering a reduction in systemic arterial blood pressure, reflex</w:t>
      </w:r>
      <w:r w:rsidRPr="00C73849">
        <w:rPr>
          <w:w w:val="99"/>
        </w:rPr>
        <w:t xml:space="preserve"> </w:t>
      </w:r>
      <w:r w:rsidRPr="00C73849">
        <w:t xml:space="preserve">tachycardia and an increase in cardiac output. </w:t>
      </w:r>
      <w:proofErr w:type="spellStart"/>
      <w:r w:rsidRPr="00C73849">
        <w:t>dP</w:t>
      </w:r>
      <w:proofErr w:type="spellEnd"/>
      <w:r w:rsidRPr="00C73849">
        <w:t>/dt</w:t>
      </w:r>
      <w:r w:rsidRPr="00C73849">
        <w:rPr>
          <w:position w:val="-2"/>
          <w:sz w:val="16"/>
        </w:rPr>
        <w:t>max</w:t>
      </w:r>
      <w:r w:rsidRPr="00C73849">
        <w:t>, which is an index of myocardial</w:t>
      </w:r>
      <w:r w:rsidRPr="00C73849">
        <w:rPr>
          <w:w w:val="99"/>
        </w:rPr>
        <w:t xml:space="preserve"> </w:t>
      </w:r>
      <w:r w:rsidRPr="00C73849">
        <w:t>contractility, was transiently decreased at the same time as the arterial blood pressure was reduced. Left cardiac work (an index of myocardial work) was unchanged for about the first</w:t>
      </w:r>
      <w:r w:rsidRPr="00C73849">
        <w:rPr>
          <w:w w:val="99"/>
        </w:rPr>
        <w:t xml:space="preserve"> </w:t>
      </w:r>
      <w:r w:rsidRPr="00C73849">
        <w:t>minute after dosing. Left-ventricular end-diastolic pressure and pulmonary arterial blood</w:t>
      </w:r>
      <w:r w:rsidRPr="00C73849">
        <w:rPr>
          <w:w w:val="99"/>
        </w:rPr>
        <w:t xml:space="preserve"> </w:t>
      </w:r>
      <w:r w:rsidRPr="00C73849">
        <w:t>pressure increased, with peak effects at 1 and 5 min, respectively. Systolic ejection time was increased with a peak at 2 min. After the acute phase, systemic arterial blood pressure,</w:t>
      </w:r>
      <w:r w:rsidR="001E1911">
        <w:t xml:space="preserve"> </w:t>
      </w:r>
      <w:proofErr w:type="spellStart"/>
      <w:r w:rsidRPr="00C73849">
        <w:t>dP</w:t>
      </w:r>
      <w:proofErr w:type="spellEnd"/>
      <w:r w:rsidRPr="00C73849">
        <w:t>/dt</w:t>
      </w:r>
      <w:r w:rsidRPr="00C73849">
        <w:rPr>
          <w:position w:val="-2"/>
          <w:sz w:val="16"/>
        </w:rPr>
        <w:t xml:space="preserve">max </w:t>
      </w:r>
      <w:r w:rsidRPr="00C73849">
        <w:t>and left cardiac work increased with peak effect around 5 min. Stroke volume was also increased and peaked around 10 min. This finding suggests that the observed persistent</w:t>
      </w:r>
      <w:r w:rsidRPr="00C73849">
        <w:rPr>
          <w:w w:val="99"/>
        </w:rPr>
        <w:t xml:space="preserve"> </w:t>
      </w:r>
      <w:r w:rsidRPr="00C73849">
        <w:t>increase in cardiac output was due to an increase in myocardial contractility together with</w:t>
      </w:r>
      <w:r w:rsidR="001E1911">
        <w:t xml:space="preserve"> </w:t>
      </w:r>
      <w:r w:rsidRPr="00C73849">
        <w:t>concomitant tachycardia. Cerebral blood flow increased with peak effect between 2 to 5 min,</w:t>
      </w:r>
      <w:r w:rsidRPr="00C73849">
        <w:rPr>
          <w:w w:val="99"/>
        </w:rPr>
        <w:t xml:space="preserve"> </w:t>
      </w:r>
      <w:r w:rsidRPr="00C73849">
        <w:t xml:space="preserve">presumably </w:t>
      </w:r>
      <w:r w:rsidR="0084619E" w:rsidRPr="00C73849">
        <w:t>because of</w:t>
      </w:r>
      <w:r w:rsidRPr="00C73849">
        <w:t xml:space="preserve"> the increased cardiac output. The PR interval was transiently shortened, at the same time as heart rate peaked. The QTc (van de Water’s formula) interval</w:t>
      </w:r>
      <w:r w:rsidRPr="00C73849">
        <w:rPr>
          <w:w w:val="99"/>
        </w:rPr>
        <w:t xml:space="preserve"> </w:t>
      </w:r>
      <w:r w:rsidRPr="00C73849">
        <w:t>was transiently lengthened after administration. Filtered test item, evaluated at 4.3 ml/kg</w:t>
      </w:r>
      <w:r w:rsidRPr="00C73849">
        <w:rPr>
          <w:w w:val="99"/>
        </w:rPr>
        <w:t xml:space="preserve"> </w:t>
      </w:r>
      <w:r w:rsidRPr="00C73849">
        <w:t xml:space="preserve">showed effects </w:t>
      </w:r>
      <w:r w:rsidR="0084619E" w:rsidRPr="00C73849">
        <w:t>like</w:t>
      </w:r>
      <w:r w:rsidRPr="00C73849">
        <w:t xml:space="preserve"> those observed for pyruvate containing 0.43 mg/ml AH111501 at the</w:t>
      </w:r>
      <w:r w:rsidRPr="00C73849">
        <w:rPr>
          <w:w w:val="99"/>
        </w:rPr>
        <w:t xml:space="preserve"> </w:t>
      </w:r>
      <w:r w:rsidRPr="00C73849">
        <w:t>same dose level. However, despite the similar fall in total peripheral resistance caused by the</w:t>
      </w:r>
      <w:r w:rsidRPr="00C73849">
        <w:rPr>
          <w:w w:val="99"/>
        </w:rPr>
        <w:t xml:space="preserve"> </w:t>
      </w:r>
      <w:r w:rsidRPr="00C73849">
        <w:t>filtered and the unfiltered test articles (-40% versus -41%, respectively), the hypotension was slightly less pronounced in the filtered test item-treated group (-13% versus -24% for filtered</w:t>
      </w:r>
      <w:r w:rsidRPr="00C73849">
        <w:rPr>
          <w:w w:val="99"/>
        </w:rPr>
        <w:t xml:space="preserve"> </w:t>
      </w:r>
      <w:r w:rsidRPr="00C73849">
        <w:t>vs. unfiltered, respectively), presumably because of a greater reflex tachycardia (+41% versus</w:t>
      </w:r>
      <w:r w:rsidR="00752B33">
        <w:t xml:space="preserve"> </w:t>
      </w:r>
      <w:r w:rsidRPr="00C73849">
        <w:t xml:space="preserve">+31% for filtered vs. unfiltered, respectively). </w:t>
      </w:r>
      <w:r w:rsidR="0084619E" w:rsidRPr="00C73849">
        <w:t>Furthermore,</w:t>
      </w:r>
      <w:r w:rsidRPr="00C73849">
        <w:t xml:space="preserve"> it was observed that left cardiac</w:t>
      </w:r>
      <w:r w:rsidRPr="00C73849">
        <w:rPr>
          <w:w w:val="99"/>
        </w:rPr>
        <w:t xml:space="preserve"> </w:t>
      </w:r>
      <w:r w:rsidRPr="00C73849">
        <w:t>work increased immediately after administration of filtered test item. This was contrary to the</w:t>
      </w:r>
      <w:r w:rsidRPr="00C73849">
        <w:rPr>
          <w:w w:val="99"/>
        </w:rPr>
        <w:t xml:space="preserve"> </w:t>
      </w:r>
      <w:r w:rsidRPr="00C73849">
        <w:t>observation for test item containing AH111501 at the same dose.</w:t>
      </w:r>
    </w:p>
    <w:p w14:paraId="10992170" w14:textId="77777777" w:rsidR="00957F89" w:rsidRPr="00C73849" w:rsidRDefault="00957F89" w:rsidP="005D3932">
      <w:pPr>
        <w:spacing w:before="10"/>
        <w:rPr>
          <w:rFonts w:ascii="Times New Roman" w:eastAsia="Times New Roman" w:hAnsi="Times New Roman" w:cs="Times New Roman"/>
          <w:sz w:val="20"/>
          <w:szCs w:val="20"/>
        </w:rPr>
      </w:pPr>
    </w:p>
    <w:p w14:paraId="5DA483A7" w14:textId="43EB7A8E" w:rsidR="00957F89" w:rsidRDefault="00D92D87" w:rsidP="005D3932">
      <w:pPr>
        <w:pStyle w:val="BodyText"/>
        <w:ind w:right="311"/>
      </w:pPr>
      <w:r w:rsidRPr="00C73849">
        <w:t>The injection of 1.4 ml/kg of test item containing AH111501 caused small but significant</w:t>
      </w:r>
      <w:r w:rsidRPr="00C73849">
        <w:rPr>
          <w:w w:val="99"/>
        </w:rPr>
        <w:t xml:space="preserve"> </w:t>
      </w:r>
      <w:r w:rsidRPr="00C73849">
        <w:t>decreases of 10% in mean aortic pressure and 7% in systolic aortic pressure at 30 s when compared to baseline. The decrease in mean aortic pressure was not significant when compared to saline control (4.3 ml/kg) whereas the decrease in systolic aortic pressure was significant. No other significant effects were observed for this dose when compared to saline</w:t>
      </w:r>
      <w:r w:rsidRPr="00C73849">
        <w:rPr>
          <w:w w:val="99"/>
        </w:rPr>
        <w:t xml:space="preserve"> </w:t>
      </w:r>
      <w:r w:rsidRPr="00C73849">
        <w:t>control. The dose of 1.4 ml/kg 250 mM pyruvate and 0.43 mg/ml AH111501 in TRIS/EDTA</w:t>
      </w:r>
      <w:r w:rsidRPr="00C73849">
        <w:rPr>
          <w:w w:val="99"/>
        </w:rPr>
        <w:t xml:space="preserve"> </w:t>
      </w:r>
      <w:r w:rsidRPr="00C73849">
        <w:t>dissolution medium was therefore considered the No-Observed-Adverse-Effect–Level</w:t>
      </w:r>
      <w:r w:rsidR="00E63961">
        <w:t xml:space="preserve"> </w:t>
      </w:r>
      <w:r w:rsidR="00E63961" w:rsidRPr="00C73849">
        <w:t>(NOAEL</w:t>
      </w:r>
      <w:r w:rsidR="00E63961">
        <w:t>)</w:t>
      </w:r>
      <w:r w:rsidRPr="00C73849">
        <w:t xml:space="preserve"> for this</w:t>
      </w:r>
      <w:r w:rsidRPr="00C73849">
        <w:rPr>
          <w:w w:val="99"/>
        </w:rPr>
        <w:t xml:space="preserve"> </w:t>
      </w:r>
      <w:r w:rsidRPr="00C73849">
        <w:t>study.</w:t>
      </w:r>
    </w:p>
    <w:p w14:paraId="77484DF8" w14:textId="77777777" w:rsidR="00422216" w:rsidRPr="00C73849" w:rsidRDefault="00422216" w:rsidP="005D3932">
      <w:pPr>
        <w:pStyle w:val="BodyText"/>
        <w:ind w:right="311"/>
      </w:pPr>
    </w:p>
    <w:p w14:paraId="5F39BEE9" w14:textId="017F7C41" w:rsidR="00422216" w:rsidRDefault="00422216">
      <w:pPr>
        <w:rPr>
          <w:rFonts w:ascii="Times New Roman" w:eastAsia="Times New Roman" w:hAnsi="Times New Roman" w:cs="Times New Roman"/>
          <w:sz w:val="21"/>
          <w:szCs w:val="21"/>
        </w:rPr>
      </w:pPr>
      <w:r>
        <w:rPr>
          <w:rFonts w:ascii="Times New Roman" w:eastAsia="Times New Roman" w:hAnsi="Times New Roman" w:cs="Times New Roman"/>
          <w:sz w:val="21"/>
          <w:szCs w:val="21"/>
        </w:rPr>
        <w:br w:type="page"/>
      </w:r>
    </w:p>
    <w:p w14:paraId="51FCD5A7" w14:textId="77777777" w:rsidR="00957F89" w:rsidRPr="00C73849" w:rsidRDefault="00D92D87" w:rsidP="00422216">
      <w:pPr>
        <w:keepNext/>
        <w:numPr>
          <w:ilvl w:val="4"/>
          <w:numId w:val="2"/>
        </w:numPr>
        <w:tabs>
          <w:tab w:val="left" w:pos="1224"/>
        </w:tabs>
        <w:rPr>
          <w:rFonts w:ascii="Times New Roman" w:eastAsia="Times New Roman" w:hAnsi="Times New Roman" w:cs="Times New Roman"/>
          <w:sz w:val="24"/>
          <w:szCs w:val="24"/>
        </w:rPr>
      </w:pPr>
      <w:proofErr w:type="spellStart"/>
      <w:r w:rsidRPr="00C73849">
        <w:rPr>
          <w:rFonts w:ascii="Times New Roman"/>
          <w:b/>
          <w:sz w:val="24"/>
        </w:rPr>
        <w:lastRenderedPageBreak/>
        <w:t>Porsolt</w:t>
      </w:r>
      <w:proofErr w:type="spellEnd"/>
      <w:r w:rsidRPr="00C73849">
        <w:rPr>
          <w:rFonts w:ascii="Times New Roman"/>
          <w:b/>
          <w:sz w:val="24"/>
        </w:rPr>
        <w:t xml:space="preserve"> study number: 06.434/4 (GE study number: B101049)</w:t>
      </w:r>
    </w:p>
    <w:p w14:paraId="6B9D5416" w14:textId="77777777" w:rsidR="00957F89" w:rsidRPr="00C73849" w:rsidRDefault="00D92D87" w:rsidP="00422216">
      <w:pPr>
        <w:keepNext/>
        <w:widowControl/>
        <w:ind w:left="1224" w:right="317"/>
        <w:rPr>
          <w:rFonts w:ascii="Times New Roman" w:eastAsia="Times New Roman" w:hAnsi="Times New Roman" w:cs="Times New Roman"/>
          <w:sz w:val="24"/>
          <w:szCs w:val="24"/>
        </w:rPr>
      </w:pPr>
      <w:r w:rsidRPr="00C73849">
        <w:rPr>
          <w:rFonts w:ascii="Times New Roman"/>
          <w:b/>
          <w:sz w:val="24"/>
        </w:rPr>
        <w:t>Safety pharmacology study of hemodynamic effects after intravenous administration in the anesthetized dog of a mixture of natural abundant pyruvic acid and 15 mM AH111501 dissolved in TRIS/EDTA dissolution medium with AH111501 subsequently removed by solid phase extraction (GLP)</w:t>
      </w:r>
    </w:p>
    <w:p w14:paraId="0DAFC9D4" w14:textId="77777777" w:rsidR="00957F89" w:rsidRPr="00C73849" w:rsidRDefault="00957F89" w:rsidP="005D3932">
      <w:pPr>
        <w:spacing w:before="3"/>
        <w:rPr>
          <w:rFonts w:ascii="Times New Roman" w:eastAsia="Times New Roman" w:hAnsi="Times New Roman" w:cs="Times New Roman"/>
          <w:b/>
          <w:bCs/>
          <w:sz w:val="20"/>
          <w:szCs w:val="20"/>
        </w:rPr>
      </w:pPr>
    </w:p>
    <w:p w14:paraId="2BDE8AFB" w14:textId="3BC98243" w:rsidR="00957F89" w:rsidRDefault="00D92D87" w:rsidP="005D3932">
      <w:pPr>
        <w:pStyle w:val="BodyText"/>
        <w:ind w:right="150"/>
      </w:pPr>
      <w:r w:rsidRPr="00C73849">
        <w:t xml:space="preserve">The study was a follow-up to </w:t>
      </w:r>
      <w:proofErr w:type="spellStart"/>
      <w:r w:rsidRPr="00C73849">
        <w:t>Porsolt</w:t>
      </w:r>
      <w:proofErr w:type="spellEnd"/>
      <w:r w:rsidRPr="00C73849">
        <w:t xml:space="preserve"> Study 06.076/6. The objective of the study was to</w:t>
      </w:r>
      <w:r w:rsidR="001E1911">
        <w:rPr>
          <w:w w:val="99"/>
        </w:rPr>
        <w:t xml:space="preserve"> </w:t>
      </w:r>
      <w:r w:rsidRPr="00C73849">
        <w:t xml:space="preserve">explore the dose-effect relationship for doses from 1.4 to 4.3 ml/kg </w:t>
      </w:r>
      <w:proofErr w:type="spellStart"/>
      <w:r w:rsidRPr="00C73849">
        <w:t>bw</w:t>
      </w:r>
      <w:proofErr w:type="spellEnd"/>
      <w:r w:rsidRPr="00C73849">
        <w:t xml:space="preserve"> of filtered test item on cardiovascular parameters in the pentobarbital/fentanyl anesthetized dog. Because no decrease</w:t>
      </w:r>
      <w:r w:rsidRPr="00C73849">
        <w:rPr>
          <w:w w:val="99"/>
        </w:rPr>
        <w:t xml:space="preserve"> </w:t>
      </w:r>
      <w:r w:rsidRPr="00C73849">
        <w:t>was observed in carotid arterial flow following administration of the pyruvate test articles in</w:t>
      </w:r>
      <w:r w:rsidRPr="00C73849">
        <w:rPr>
          <w:w w:val="99"/>
        </w:rPr>
        <w:t xml:space="preserve"> </w:t>
      </w:r>
      <w:r w:rsidRPr="00C73849">
        <w:t>Study 06.076/6, and the flow moreover was moderately increased with increases in cardiac</w:t>
      </w:r>
      <w:r w:rsidRPr="00C73849">
        <w:rPr>
          <w:w w:val="99"/>
        </w:rPr>
        <w:t xml:space="preserve"> </w:t>
      </w:r>
      <w:r w:rsidRPr="00C73849">
        <w:t>output ensuring adequate blood supply to the brain, this parameter was not monitored in this</w:t>
      </w:r>
      <w:r w:rsidRPr="00C73849">
        <w:rPr>
          <w:w w:val="99"/>
        </w:rPr>
        <w:t xml:space="preserve"> </w:t>
      </w:r>
      <w:r w:rsidRPr="00C73849">
        <w:t>study. All other instrumentation was kept as in Study 06.076/6. Ejection time was not</w:t>
      </w:r>
      <w:r w:rsidRPr="00C73849">
        <w:rPr>
          <w:w w:val="99"/>
        </w:rPr>
        <w:t xml:space="preserve"> </w:t>
      </w:r>
      <w:r w:rsidRPr="00C73849">
        <w:t>measured from the aortic blood pressure trace in the present study. Left-ventricular end</w:t>
      </w:r>
      <w:r w:rsidRPr="00C73849">
        <w:rPr>
          <w:w w:val="99"/>
        </w:rPr>
        <w:t xml:space="preserve"> </w:t>
      </w:r>
      <w:r w:rsidRPr="00C73849">
        <w:t>diastolic pressure was again used as a marker for pulmonary venous pressure. The same</w:t>
      </w:r>
      <w:r w:rsidRPr="00C73849">
        <w:rPr>
          <w:w w:val="99"/>
        </w:rPr>
        <w:t xml:space="preserve"> </w:t>
      </w:r>
      <w:r w:rsidRPr="00C73849">
        <w:t>sampling time points were used as in Study 06.076/6. Filtered test item and saline volume</w:t>
      </w:r>
      <w:r w:rsidRPr="00C73849">
        <w:rPr>
          <w:w w:val="99"/>
        </w:rPr>
        <w:t xml:space="preserve"> </w:t>
      </w:r>
      <w:r w:rsidRPr="00C73849">
        <w:t>controls were administered at doses of 1.4, 2.1, 2.9, 3.6 and 4.3 ml/kg at 5 ml/s with a power injector giving in total 10 discrete injections per dog. A wash-out period of 45 min was applied</w:t>
      </w:r>
      <w:r w:rsidRPr="00C73849">
        <w:rPr>
          <w:w w:val="99"/>
        </w:rPr>
        <w:t xml:space="preserve"> </w:t>
      </w:r>
      <w:r w:rsidRPr="00C73849">
        <w:t>between all injections. Each dog received each treatment once, and the dosing sequence</w:t>
      </w:r>
      <w:r w:rsidRPr="00C73849">
        <w:rPr>
          <w:w w:val="99"/>
        </w:rPr>
        <w:t xml:space="preserve"> </w:t>
      </w:r>
      <w:r w:rsidRPr="00C73849">
        <w:t>alternated between administrations of the filtered test item and saline. The administrations</w:t>
      </w:r>
      <w:r w:rsidR="001E1911">
        <w:rPr>
          <w:w w:val="99"/>
        </w:rPr>
        <w:t xml:space="preserve"> </w:t>
      </w:r>
      <w:r w:rsidRPr="00C73849">
        <w:t>were paired so that the total volume of the filtered test item plus the following control was 5.7-</w:t>
      </w:r>
      <w:r w:rsidR="00752B33">
        <w:t xml:space="preserve"> </w:t>
      </w:r>
      <w:r w:rsidRPr="00C73849">
        <w:t>5.8 ml/kg.</w:t>
      </w:r>
    </w:p>
    <w:p w14:paraId="1386852B" w14:textId="77777777" w:rsidR="00752B33" w:rsidRPr="00C73849" w:rsidRDefault="00752B33" w:rsidP="005D3932">
      <w:pPr>
        <w:pStyle w:val="BodyText"/>
        <w:ind w:right="150"/>
      </w:pPr>
    </w:p>
    <w:p w14:paraId="2AAF8F20" w14:textId="77777777" w:rsidR="00957F89" w:rsidRPr="00C73849" w:rsidRDefault="00D92D87" w:rsidP="005D3932">
      <w:pPr>
        <w:pStyle w:val="BodyText"/>
        <w:spacing w:before="69"/>
        <w:ind w:right="352"/>
      </w:pPr>
      <w:r w:rsidRPr="00C73849">
        <w:t>Area under curve (AUC) was calculated for the duration of the peak effects of mean aortic</w:t>
      </w:r>
      <w:r w:rsidRPr="00C73849">
        <w:rPr>
          <w:w w:val="99"/>
        </w:rPr>
        <w:t xml:space="preserve"> </w:t>
      </w:r>
      <w:r w:rsidRPr="00C73849">
        <w:t>blood pressure, left-ventricular end-diastolic pressure, pulmonary arterial pressure, heart rate,</w:t>
      </w:r>
      <w:r w:rsidRPr="00C73849">
        <w:rPr>
          <w:w w:val="99"/>
        </w:rPr>
        <w:t xml:space="preserve"> </w:t>
      </w:r>
      <w:r w:rsidRPr="00C73849">
        <w:t>cardiac output, total peripheral resistance, stroke volume and left cardiac work. The duration</w:t>
      </w:r>
      <w:r w:rsidR="001E1911">
        <w:rPr>
          <w:w w:val="99"/>
        </w:rPr>
        <w:t xml:space="preserve"> </w:t>
      </w:r>
      <w:r w:rsidRPr="00C73849">
        <w:t xml:space="preserve">of the peak effect for the different parameters was determined in advance, </w:t>
      </w:r>
      <w:r w:rsidR="0084619E" w:rsidRPr="00C73849">
        <w:t>based on</w:t>
      </w:r>
      <w:r w:rsidRPr="00C73849">
        <w:t xml:space="preserve"> data</w:t>
      </w:r>
      <w:r w:rsidRPr="00C73849">
        <w:rPr>
          <w:w w:val="99"/>
        </w:rPr>
        <w:t xml:space="preserve"> </w:t>
      </w:r>
      <w:r w:rsidRPr="00C73849">
        <w:t>from Study 06.076/6. AUC calculations were made for absolute change from baseline values.</w:t>
      </w:r>
    </w:p>
    <w:p w14:paraId="2C128390" w14:textId="77777777" w:rsidR="00957F89" w:rsidRPr="00C73849" w:rsidRDefault="00957F89" w:rsidP="005D3932">
      <w:pPr>
        <w:spacing w:before="10"/>
        <w:rPr>
          <w:rFonts w:ascii="Times New Roman" w:eastAsia="Times New Roman" w:hAnsi="Times New Roman" w:cs="Times New Roman"/>
          <w:sz w:val="20"/>
          <w:szCs w:val="20"/>
        </w:rPr>
      </w:pPr>
    </w:p>
    <w:p w14:paraId="5D4DE2FC" w14:textId="77777777" w:rsidR="00957F89" w:rsidRPr="00C73849" w:rsidRDefault="00D92D87" w:rsidP="005D3932">
      <w:pPr>
        <w:pStyle w:val="BodyText"/>
        <w:ind w:right="151"/>
      </w:pPr>
      <w:r w:rsidRPr="00C73849">
        <w:t>The purity profile for the administered test articles was qualitatively consistent and appropriate</w:t>
      </w:r>
      <w:r w:rsidRPr="00C73849">
        <w:rPr>
          <w:w w:val="99"/>
        </w:rPr>
        <w:t xml:space="preserve"> </w:t>
      </w:r>
      <w:r w:rsidRPr="00C73849">
        <w:t>for the study. Correct dosing was confirmed by blood analysis.</w:t>
      </w:r>
    </w:p>
    <w:p w14:paraId="1009B5D1" w14:textId="77777777" w:rsidR="00957F89" w:rsidRPr="00C73849" w:rsidRDefault="00957F89" w:rsidP="005D3932">
      <w:pPr>
        <w:spacing w:before="10"/>
        <w:rPr>
          <w:rFonts w:ascii="Times New Roman" w:eastAsia="Times New Roman" w:hAnsi="Times New Roman" w:cs="Times New Roman"/>
          <w:sz w:val="20"/>
          <w:szCs w:val="20"/>
        </w:rPr>
      </w:pPr>
    </w:p>
    <w:p w14:paraId="5F90C55A" w14:textId="77777777" w:rsidR="00957F89" w:rsidRPr="00C73849" w:rsidRDefault="00D92D87" w:rsidP="005D3932">
      <w:pPr>
        <w:pStyle w:val="BodyText"/>
        <w:ind w:right="311"/>
      </w:pPr>
      <w:r w:rsidRPr="00C73849">
        <w:t>As seen in Study 06.076/6 rapid bolus injections of pyruvate test article caused acute dose-</w:t>
      </w:r>
      <w:r w:rsidRPr="00C73849">
        <w:rPr>
          <w:w w:val="99"/>
        </w:rPr>
        <w:t xml:space="preserve"> </w:t>
      </w:r>
      <w:r w:rsidRPr="00C73849">
        <w:t>dependent peripheral vasodilation, triggering dose-dependent acute decreases in systemic</w:t>
      </w:r>
      <w:r w:rsidRPr="00C73849">
        <w:rPr>
          <w:w w:val="99"/>
        </w:rPr>
        <w:t xml:space="preserve"> </w:t>
      </w:r>
      <w:r w:rsidRPr="00C73849">
        <w:t>arterial blood pressure and compensatory increases in heart rate. An acute and prolonged increase in cardiac output was observed. Left cardiac work increased immediately after</w:t>
      </w:r>
      <w:r w:rsidRPr="00C73849">
        <w:rPr>
          <w:w w:val="99"/>
        </w:rPr>
        <w:t xml:space="preserve"> </w:t>
      </w:r>
      <w:r w:rsidRPr="00C73849">
        <w:t xml:space="preserve">administration. The initial increases (at 30 s) in cardiac work were </w:t>
      </w:r>
      <w:r w:rsidR="0084619E" w:rsidRPr="00C73849">
        <w:t>like</w:t>
      </w:r>
      <w:r w:rsidRPr="00C73849">
        <w:t xml:space="preserve"> the increases observed with the respective saline controls. In Study 06.076/6 a similar pattern was seen for the filtered test article whereas the increase did not occur before 1 to 2 min after administration</w:t>
      </w:r>
      <w:r w:rsidRPr="00C73849">
        <w:rPr>
          <w:w w:val="99"/>
        </w:rPr>
        <w:t xml:space="preserve"> </w:t>
      </w:r>
      <w:r w:rsidRPr="00C73849">
        <w:t>of the test article containing 0.43 mg/ml AH111501.</w:t>
      </w:r>
    </w:p>
    <w:p w14:paraId="4FEFF0E6" w14:textId="77777777" w:rsidR="00957F89" w:rsidRPr="00C73849" w:rsidRDefault="00957F89" w:rsidP="005D3932">
      <w:pPr>
        <w:spacing w:before="10"/>
        <w:rPr>
          <w:rFonts w:ascii="Times New Roman" w:eastAsia="Times New Roman" w:hAnsi="Times New Roman" w:cs="Times New Roman"/>
          <w:sz w:val="20"/>
          <w:szCs w:val="20"/>
        </w:rPr>
      </w:pPr>
    </w:p>
    <w:p w14:paraId="30EDF29F" w14:textId="2F26ACE1" w:rsidR="00957F89" w:rsidRPr="00C73849" w:rsidRDefault="00D92D87" w:rsidP="005D3932">
      <w:pPr>
        <w:pStyle w:val="BodyText"/>
        <w:spacing w:before="6" w:line="233" w:lineRule="auto"/>
        <w:ind w:right="311"/>
      </w:pPr>
      <w:r w:rsidRPr="00C73849">
        <w:t>Considering the measured effects as changes from baseline, the magnitude of the peak effect</w:t>
      </w:r>
      <w:r w:rsidRPr="00C73849">
        <w:rPr>
          <w:w w:val="99"/>
        </w:rPr>
        <w:t xml:space="preserve"> </w:t>
      </w:r>
      <w:r w:rsidRPr="00C73849">
        <w:t>compared to that of the appropriate saline control, and AUC (where available) compared to the</w:t>
      </w:r>
      <w:r w:rsidRPr="00C73849">
        <w:rPr>
          <w:w w:val="99"/>
        </w:rPr>
        <w:t xml:space="preserve"> </w:t>
      </w:r>
      <w:r w:rsidRPr="00C73849">
        <w:t xml:space="preserve">appropriate saline control, the effect level was 2.1 ml/kg </w:t>
      </w:r>
      <w:proofErr w:type="spellStart"/>
      <w:r w:rsidRPr="00C73849">
        <w:t>bw</w:t>
      </w:r>
      <w:proofErr w:type="spellEnd"/>
      <w:r w:rsidRPr="00C73849">
        <w:t xml:space="preserve"> of pyruvate in this study.</w:t>
      </w:r>
      <w:r w:rsidR="00502015">
        <w:t xml:space="preserve"> </w:t>
      </w:r>
      <w:r w:rsidRPr="00C73849">
        <w:t xml:space="preserve">The dose of 1.4 ml/kg </w:t>
      </w:r>
      <w:proofErr w:type="spellStart"/>
      <w:r w:rsidRPr="00C73849">
        <w:t>bw</w:t>
      </w:r>
      <w:proofErr w:type="spellEnd"/>
      <w:r w:rsidRPr="00C73849">
        <w:t xml:space="preserve"> of pyruvate caused minor but statistically significant peak effects</w:t>
      </w:r>
      <w:r w:rsidRPr="00C73849">
        <w:rPr>
          <w:w w:val="99"/>
        </w:rPr>
        <w:t xml:space="preserve"> </w:t>
      </w:r>
      <w:r w:rsidRPr="00C73849">
        <w:t>when compared to the saline volume control. It caused an acute decrease in mean aortic</w:t>
      </w:r>
      <w:r w:rsidRPr="00C73849">
        <w:rPr>
          <w:w w:val="99"/>
        </w:rPr>
        <w:t xml:space="preserve"> </w:t>
      </w:r>
      <w:r w:rsidRPr="00C73849">
        <w:t>pressure of 8% for test item and 2% for saline (equal to -8 and -2 mmHg, respectively).</w:t>
      </w:r>
      <w:r w:rsidR="003731FB">
        <w:t xml:space="preserve"> </w:t>
      </w:r>
      <w:r w:rsidRPr="00C73849">
        <w:t>AUC</w:t>
      </w:r>
      <w:r w:rsidRPr="00C73849">
        <w:rPr>
          <w:position w:val="-2"/>
          <w:sz w:val="16"/>
          <w:szCs w:val="16"/>
        </w:rPr>
        <w:t xml:space="preserve">- 5 to 2 min </w:t>
      </w:r>
      <w:r w:rsidRPr="00C73849">
        <w:t>for mean aortic pressure was, however, not significantly different between the</w:t>
      </w:r>
      <w:r w:rsidRPr="00C73849">
        <w:rPr>
          <w:w w:val="99"/>
        </w:rPr>
        <w:t xml:space="preserve"> </w:t>
      </w:r>
      <w:r w:rsidRPr="00C73849">
        <w:t>two treatments. Administration of the dose caused an acute increase in left-ventricular end diastolic pressure of 2 mmHg compared to 1 mmHg for the saline control, but this difference</w:t>
      </w:r>
      <w:r w:rsidRPr="00C73849">
        <w:rPr>
          <w:w w:val="99"/>
        </w:rPr>
        <w:t xml:space="preserve"> </w:t>
      </w:r>
      <w:r w:rsidRPr="00C73849">
        <w:t xml:space="preserve">was not significant as </w:t>
      </w:r>
      <w:r w:rsidRPr="00C73849">
        <w:lastRenderedPageBreak/>
        <w:t>regards the AUC</w:t>
      </w:r>
      <w:r w:rsidRPr="00C73849">
        <w:rPr>
          <w:position w:val="-2"/>
          <w:sz w:val="16"/>
          <w:szCs w:val="16"/>
        </w:rPr>
        <w:t>–5 to 5 min</w:t>
      </w:r>
      <w:r w:rsidRPr="00C73849">
        <w:t>. For pyruvate, the decrease in systemic blood</w:t>
      </w:r>
      <w:r w:rsidRPr="00C73849">
        <w:rPr>
          <w:w w:val="99"/>
        </w:rPr>
        <w:t xml:space="preserve"> </w:t>
      </w:r>
      <w:r w:rsidRPr="00C73849">
        <w:t xml:space="preserve">pressure caused a decrease in </w:t>
      </w:r>
      <w:proofErr w:type="spellStart"/>
      <w:r w:rsidRPr="00C73849">
        <w:t>dP</w:t>
      </w:r>
      <w:proofErr w:type="spellEnd"/>
      <w:r w:rsidRPr="00C73849">
        <w:t>/dt</w:t>
      </w:r>
      <w:r w:rsidRPr="00C73849">
        <w:rPr>
          <w:position w:val="-2"/>
          <w:sz w:val="16"/>
          <w:szCs w:val="16"/>
        </w:rPr>
        <w:t xml:space="preserve">max </w:t>
      </w:r>
      <w:r w:rsidRPr="00C73849">
        <w:t>of 15% whereas saline control caused a decrease of 3%. Pyruvate caused a significant acute increase in heart rate of 17% compared to 5% for saline.</w:t>
      </w:r>
      <w:r w:rsidR="00752B33">
        <w:t xml:space="preserve"> </w:t>
      </w:r>
      <w:r w:rsidRPr="00C73849">
        <w:t>This effect was also significant for AUC</w:t>
      </w:r>
      <w:r w:rsidRPr="00C73849">
        <w:rPr>
          <w:position w:val="-2"/>
          <w:sz w:val="16"/>
          <w:szCs w:val="16"/>
        </w:rPr>
        <w:t>–5 to 20 min</w:t>
      </w:r>
      <w:r w:rsidRPr="00C73849">
        <w:t>. The rapid change in heart rate caused a</w:t>
      </w:r>
      <w:r w:rsidRPr="00C73849">
        <w:rPr>
          <w:w w:val="99"/>
        </w:rPr>
        <w:t xml:space="preserve"> </w:t>
      </w:r>
      <w:r w:rsidRPr="00C73849">
        <w:t xml:space="preserve">slight increase in </w:t>
      </w:r>
      <w:proofErr w:type="spellStart"/>
      <w:r w:rsidRPr="00C73849">
        <w:t>QTcV</w:t>
      </w:r>
      <w:proofErr w:type="spellEnd"/>
      <w:r w:rsidRPr="00C73849">
        <w:t xml:space="preserve"> of 4% (equal to 13 </w:t>
      </w:r>
      <w:proofErr w:type="spellStart"/>
      <w:r w:rsidRPr="00C73849">
        <w:t>ms</w:t>
      </w:r>
      <w:proofErr w:type="spellEnd"/>
      <w:r w:rsidRPr="00C73849">
        <w:t xml:space="preserve">) compared to 2% (equal to 6 </w:t>
      </w:r>
      <w:proofErr w:type="spellStart"/>
      <w:r w:rsidRPr="00C73849">
        <w:t>ms</w:t>
      </w:r>
      <w:proofErr w:type="spellEnd"/>
      <w:r w:rsidRPr="00C73849">
        <w:t>) for saline. For peripheral resistance, pulmonary arterial pressure, cardiac output, left cardiac work and stroke</w:t>
      </w:r>
      <w:r w:rsidRPr="00C73849">
        <w:rPr>
          <w:w w:val="99"/>
        </w:rPr>
        <w:t xml:space="preserve"> </w:t>
      </w:r>
      <w:r w:rsidRPr="00C73849">
        <w:t>volume as well as for the PR-and QT-intervals there were no effects when compared to the</w:t>
      </w:r>
      <w:r w:rsidRPr="00C73849">
        <w:rPr>
          <w:w w:val="99"/>
        </w:rPr>
        <w:t xml:space="preserve"> </w:t>
      </w:r>
      <w:r w:rsidRPr="00C73849">
        <w:t>volume control. However, as the effects described above are considered well within</w:t>
      </w:r>
      <w:r w:rsidRPr="00C73849">
        <w:rPr>
          <w:w w:val="99"/>
        </w:rPr>
        <w:t xml:space="preserve"> </w:t>
      </w:r>
      <w:r w:rsidRPr="00C73849">
        <w:t xml:space="preserve">normal physiological variation, the dose of 1.4 ml/kg </w:t>
      </w:r>
      <w:proofErr w:type="spellStart"/>
      <w:r w:rsidRPr="00C73849">
        <w:t>bw</w:t>
      </w:r>
      <w:proofErr w:type="spellEnd"/>
      <w:r w:rsidRPr="00C73849">
        <w:t xml:space="preserve"> of filtered test item </w:t>
      </w:r>
      <w:proofErr w:type="gramStart"/>
      <w:r w:rsidRPr="00C73849">
        <w:t>was considered to</w:t>
      </w:r>
      <w:r w:rsidRPr="00C73849">
        <w:rPr>
          <w:w w:val="99"/>
        </w:rPr>
        <w:t xml:space="preserve"> </w:t>
      </w:r>
      <w:r w:rsidRPr="00C73849">
        <w:t>be</w:t>
      </w:r>
      <w:proofErr w:type="gramEnd"/>
      <w:r w:rsidRPr="00C73849">
        <w:t xml:space="preserve"> the No-Observed-Adverse-Effect–Level </w:t>
      </w:r>
      <w:r w:rsidR="0049749F" w:rsidRPr="00C73849">
        <w:t>(NOAEL</w:t>
      </w:r>
      <w:r w:rsidR="0049749F">
        <w:t>)</w:t>
      </w:r>
      <w:r w:rsidR="00870EAC">
        <w:t xml:space="preserve"> </w:t>
      </w:r>
      <w:r w:rsidRPr="00C73849">
        <w:t>for this study.</w:t>
      </w:r>
    </w:p>
    <w:p w14:paraId="33819DBF" w14:textId="77777777" w:rsidR="00957F89" w:rsidRPr="00C73849" w:rsidRDefault="00957F89" w:rsidP="005D3932">
      <w:pPr>
        <w:spacing w:before="5"/>
        <w:rPr>
          <w:rFonts w:ascii="Times New Roman" w:eastAsia="Times New Roman" w:hAnsi="Times New Roman" w:cs="Times New Roman"/>
          <w:sz w:val="31"/>
          <w:szCs w:val="31"/>
        </w:rPr>
      </w:pPr>
    </w:p>
    <w:p w14:paraId="0E8D7604" w14:textId="77777777" w:rsidR="00957F89" w:rsidRPr="00C73849" w:rsidRDefault="00D92D87" w:rsidP="005A4B55">
      <w:pPr>
        <w:pStyle w:val="Heading4"/>
        <w:rPr>
          <w:rFonts w:eastAsia="Times New Roman" w:hAnsi="Times New Roman" w:cs="Times New Roman"/>
          <w:szCs w:val="24"/>
        </w:rPr>
      </w:pPr>
      <w:r w:rsidRPr="00C73849">
        <w:t>5.1.3.4</w:t>
      </w:r>
      <w:r w:rsidRPr="00C73849">
        <w:tab/>
        <w:t>Effects on the Central Nervous System (CNS) and general physiology</w:t>
      </w:r>
    </w:p>
    <w:p w14:paraId="63F531D2" w14:textId="77777777" w:rsidR="00957F89" w:rsidRPr="00C73849" w:rsidRDefault="00D92D87" w:rsidP="005D3932">
      <w:pPr>
        <w:tabs>
          <w:tab w:val="left" w:pos="1222"/>
        </w:tabs>
        <w:spacing w:before="120"/>
        <w:ind w:left="142"/>
        <w:rPr>
          <w:rFonts w:ascii="Times New Roman" w:eastAsia="Times New Roman" w:hAnsi="Times New Roman" w:cs="Times New Roman"/>
          <w:sz w:val="24"/>
          <w:szCs w:val="24"/>
        </w:rPr>
      </w:pPr>
      <w:r w:rsidRPr="00C73849">
        <w:rPr>
          <w:rFonts w:ascii="Times New Roman"/>
          <w:b/>
          <w:sz w:val="24"/>
        </w:rPr>
        <w:t>5.1.3.4.1</w:t>
      </w:r>
      <w:r w:rsidRPr="00C73849">
        <w:rPr>
          <w:rFonts w:ascii="Times New Roman"/>
          <w:b/>
          <w:sz w:val="24"/>
        </w:rPr>
        <w:tab/>
        <w:t>RCC study 855869 (GE study number: B101011)</w:t>
      </w:r>
    </w:p>
    <w:p w14:paraId="5085323C" w14:textId="77777777" w:rsidR="00957F89" w:rsidRPr="00C73849" w:rsidRDefault="00D92D87" w:rsidP="005D3932">
      <w:pPr>
        <w:ind w:left="1222" w:right="151"/>
        <w:rPr>
          <w:rFonts w:ascii="Times New Roman" w:eastAsia="Times New Roman" w:hAnsi="Times New Roman" w:cs="Times New Roman"/>
          <w:sz w:val="24"/>
          <w:szCs w:val="24"/>
        </w:rPr>
      </w:pPr>
      <w:r w:rsidRPr="00C73849">
        <w:rPr>
          <w:rFonts w:ascii="Times New Roman"/>
          <w:b/>
          <w:sz w:val="24"/>
        </w:rPr>
        <w:t>AH111501 dissolved in 12C-AH110896: Modified Irwin screen test in the rat</w:t>
      </w:r>
      <w:r w:rsidRPr="00C73849">
        <w:rPr>
          <w:rFonts w:ascii="Times New Roman"/>
          <w:b/>
          <w:w w:val="99"/>
          <w:sz w:val="24"/>
        </w:rPr>
        <w:t xml:space="preserve"> </w:t>
      </w:r>
      <w:r w:rsidRPr="00C73849">
        <w:rPr>
          <w:rFonts w:ascii="Times New Roman"/>
          <w:b/>
          <w:sz w:val="24"/>
        </w:rPr>
        <w:t>(GLP)</w:t>
      </w:r>
    </w:p>
    <w:p w14:paraId="20E505AF" w14:textId="77777777" w:rsidR="00957F89" w:rsidRPr="00C73849" w:rsidRDefault="00957F89" w:rsidP="005D3932">
      <w:pPr>
        <w:spacing w:before="5"/>
        <w:rPr>
          <w:rFonts w:ascii="Times New Roman" w:eastAsia="Times New Roman" w:hAnsi="Times New Roman" w:cs="Times New Roman"/>
          <w:b/>
          <w:bCs/>
          <w:sz w:val="20"/>
          <w:szCs w:val="20"/>
        </w:rPr>
      </w:pPr>
    </w:p>
    <w:p w14:paraId="0D17D4E8" w14:textId="77777777" w:rsidR="00957F89" w:rsidRPr="00C73849" w:rsidRDefault="00D92D87" w:rsidP="005D3932">
      <w:pPr>
        <w:pStyle w:val="BodyText"/>
      </w:pPr>
      <w:r w:rsidRPr="00C73849">
        <w:t>Two test items were used in this study. Test item containing 500 mM (44 mg/ml) pyruvate and</w:t>
      </w:r>
    </w:p>
    <w:p w14:paraId="664F82F3" w14:textId="79C2F8BE" w:rsidR="00957F89" w:rsidRPr="00C73849" w:rsidRDefault="00D92D87" w:rsidP="005D3932">
      <w:pPr>
        <w:pStyle w:val="BodyText"/>
        <w:spacing w:before="69"/>
        <w:ind w:right="311"/>
      </w:pPr>
      <w:r w:rsidRPr="00C73849">
        <w:t>0.85 mg/ml AH111501 in TRIS/EDTA dissolution medium and filtered test item. Male Wistar</w:t>
      </w:r>
      <w:r w:rsidR="00AE6106" w:rsidRPr="00C73849">
        <w:t xml:space="preserve"> </w:t>
      </w:r>
      <w:r w:rsidRPr="00C73849">
        <w:t>rats were assessed for behavioral changes after a single administration of test item containing</w:t>
      </w:r>
      <w:r w:rsidRPr="00C73849">
        <w:rPr>
          <w:w w:val="99"/>
        </w:rPr>
        <w:t xml:space="preserve"> </w:t>
      </w:r>
      <w:r w:rsidRPr="00C73849">
        <w:t xml:space="preserve">AH111501 at dose levels of 1, 3 or 5 ml/kg </w:t>
      </w:r>
      <w:proofErr w:type="spellStart"/>
      <w:r w:rsidRPr="00C73849">
        <w:t>bw</w:t>
      </w:r>
      <w:proofErr w:type="spellEnd"/>
      <w:r w:rsidRPr="00C73849">
        <w:t>. The control item (0.9 % saline), TRIS/EDTA</w:t>
      </w:r>
      <w:r w:rsidRPr="00C73849">
        <w:rPr>
          <w:w w:val="99"/>
        </w:rPr>
        <w:t xml:space="preserve"> </w:t>
      </w:r>
      <w:r w:rsidRPr="00C73849">
        <w:t>vehicle control solution and the filtered test item were only administered at doses of 5 ml/kg</w:t>
      </w:r>
      <w:r w:rsidRPr="00C73849">
        <w:rPr>
          <w:w w:val="99"/>
        </w:rPr>
        <w:t xml:space="preserve"> </w:t>
      </w:r>
      <w:proofErr w:type="spellStart"/>
      <w:r w:rsidRPr="00C73849">
        <w:t>bw</w:t>
      </w:r>
      <w:proofErr w:type="spellEnd"/>
      <w:r w:rsidRPr="00C73849">
        <w:t xml:space="preserve"> Observations included home-cage assessments as well as the response to a new environment (arena) and handling by a technician. Observations were made before dosing, shortly after dosing and at 15 min, and 1 and 2 h after administration.</w:t>
      </w:r>
    </w:p>
    <w:p w14:paraId="135F86BC" w14:textId="77777777" w:rsidR="00957F89" w:rsidRPr="00C73849" w:rsidRDefault="00957F89" w:rsidP="005D3932">
      <w:pPr>
        <w:spacing w:before="10"/>
        <w:rPr>
          <w:rFonts w:ascii="Times New Roman" w:eastAsia="Times New Roman" w:hAnsi="Times New Roman" w:cs="Times New Roman"/>
          <w:sz w:val="20"/>
          <w:szCs w:val="20"/>
        </w:rPr>
      </w:pPr>
    </w:p>
    <w:p w14:paraId="52C0A7B2" w14:textId="47CD9C64" w:rsidR="00957F89" w:rsidRPr="00C73849" w:rsidRDefault="00D92D87" w:rsidP="005D3932">
      <w:pPr>
        <w:pStyle w:val="BodyText"/>
        <w:ind w:right="311"/>
      </w:pPr>
      <w:r w:rsidRPr="00C73849">
        <w:t>A dose-dependent increase in the appearance of a blue colored tail tip was recorded in all</w:t>
      </w:r>
      <w:r w:rsidRPr="00C73849">
        <w:rPr>
          <w:w w:val="99"/>
        </w:rPr>
        <w:t xml:space="preserve"> </w:t>
      </w:r>
      <w:r w:rsidRPr="00C73849">
        <w:t>animals treated with test item containing AH111501. This was not observed in animals that</w:t>
      </w:r>
      <w:r w:rsidRPr="00C73849">
        <w:rPr>
          <w:w w:val="99"/>
        </w:rPr>
        <w:t xml:space="preserve"> </w:t>
      </w:r>
      <w:r w:rsidRPr="00C73849">
        <w:t xml:space="preserve">received the filtered test item. There was a significant increase in the incidence of </w:t>
      </w:r>
      <w:r w:rsidR="002A7BB9" w:rsidRPr="00060C19">
        <w:t>meiosis</w:t>
      </w:r>
      <w:r w:rsidRPr="00C73849">
        <w:rPr>
          <w:w w:val="99"/>
        </w:rPr>
        <w:t xml:space="preserve"> </w:t>
      </w:r>
      <w:r w:rsidRPr="00C73849">
        <w:t xml:space="preserve">immediately after treatment with vehicle control solution when compared to saline-treated animals. This observation was also evident in all animals treated with 5 ml/kg </w:t>
      </w:r>
      <w:proofErr w:type="spellStart"/>
      <w:r w:rsidRPr="00C73849">
        <w:t>bw</w:t>
      </w:r>
      <w:proofErr w:type="spellEnd"/>
      <w:r w:rsidRPr="00C73849">
        <w:t xml:space="preserve"> of the test</w:t>
      </w:r>
      <w:r w:rsidRPr="00C73849">
        <w:rPr>
          <w:w w:val="99"/>
        </w:rPr>
        <w:t xml:space="preserve"> </w:t>
      </w:r>
      <w:r w:rsidRPr="00C73849">
        <w:t xml:space="preserve">item containing AH111501 or filtered test item. This effect </w:t>
      </w:r>
      <w:proofErr w:type="gramStart"/>
      <w:r w:rsidRPr="00C73849">
        <w:t>was considered to be</w:t>
      </w:r>
      <w:proofErr w:type="gramEnd"/>
      <w:r w:rsidRPr="00C73849">
        <w:t xml:space="preserve"> vehicle</w:t>
      </w:r>
      <w:r w:rsidRPr="00C73849">
        <w:rPr>
          <w:w w:val="99"/>
        </w:rPr>
        <w:t xml:space="preserve"> </w:t>
      </w:r>
      <w:r w:rsidRPr="00C73849">
        <w:t>related.</w:t>
      </w:r>
    </w:p>
    <w:p w14:paraId="43EE49DB" w14:textId="77777777" w:rsidR="00957F89" w:rsidRPr="00C73849" w:rsidRDefault="00957F89" w:rsidP="005D3932">
      <w:pPr>
        <w:spacing w:before="10"/>
        <w:rPr>
          <w:rFonts w:ascii="Times New Roman" w:eastAsia="Times New Roman" w:hAnsi="Times New Roman" w:cs="Times New Roman"/>
          <w:sz w:val="20"/>
          <w:szCs w:val="20"/>
        </w:rPr>
      </w:pPr>
    </w:p>
    <w:p w14:paraId="27942982" w14:textId="77777777" w:rsidR="00957F89" w:rsidRPr="00C73849" w:rsidRDefault="00D92D87" w:rsidP="005D3932">
      <w:pPr>
        <w:pStyle w:val="BodyText"/>
        <w:ind w:right="157"/>
      </w:pPr>
      <w:r w:rsidRPr="00C73849">
        <w:t>In conclusion, intravenous administration of test item containing AH111501 and filtered test</w:t>
      </w:r>
      <w:r w:rsidRPr="00C73849">
        <w:rPr>
          <w:w w:val="99"/>
        </w:rPr>
        <w:t xml:space="preserve"> </w:t>
      </w:r>
      <w:r w:rsidRPr="00C73849">
        <w:t xml:space="preserve">item up to doses of 5 ml/kg </w:t>
      </w:r>
      <w:proofErr w:type="spellStart"/>
      <w:r w:rsidRPr="00C73849">
        <w:t>bw</w:t>
      </w:r>
      <w:proofErr w:type="spellEnd"/>
      <w:r w:rsidRPr="00C73849">
        <w:t xml:space="preserve"> had no significant effects on the behavior of male Wistar rats</w:t>
      </w:r>
      <w:r w:rsidRPr="00C73849">
        <w:rPr>
          <w:w w:val="99"/>
        </w:rPr>
        <w:t xml:space="preserve"> </w:t>
      </w:r>
      <w:r w:rsidRPr="00C73849">
        <w:t>when evaluated in a modified Irwin screen test. When dose levels were expressed as Human</w:t>
      </w:r>
      <w:r w:rsidRPr="00C73849">
        <w:rPr>
          <w:w w:val="99"/>
        </w:rPr>
        <w:t xml:space="preserve"> </w:t>
      </w:r>
      <w:r w:rsidRPr="00C73849">
        <w:t xml:space="preserve">Equivalent Doses based on body surface area, this corresponds to 36 mg/kg </w:t>
      </w:r>
      <w:proofErr w:type="spellStart"/>
      <w:r w:rsidRPr="00C73849">
        <w:t>bw</w:t>
      </w:r>
      <w:proofErr w:type="spellEnd"/>
      <w:r w:rsidRPr="00C73849">
        <w:t xml:space="preserve"> of pyruvate and</w:t>
      </w:r>
    </w:p>
    <w:p w14:paraId="7A09169F" w14:textId="77777777" w:rsidR="00957F89" w:rsidRPr="00C73849" w:rsidRDefault="00D92D87" w:rsidP="005D3932">
      <w:pPr>
        <w:pStyle w:val="BodyText"/>
      </w:pPr>
      <w:r w:rsidRPr="00C73849">
        <w:t xml:space="preserve">0.7 mg/kg </w:t>
      </w:r>
      <w:proofErr w:type="spellStart"/>
      <w:r w:rsidRPr="00C73849">
        <w:t>bw</w:t>
      </w:r>
      <w:proofErr w:type="spellEnd"/>
      <w:r w:rsidRPr="00C73849">
        <w:t xml:space="preserve"> of AH111501.</w:t>
      </w:r>
    </w:p>
    <w:p w14:paraId="49B5CD05" w14:textId="77777777" w:rsidR="00957F89" w:rsidRPr="00C73849" w:rsidRDefault="00957F89" w:rsidP="005D3932">
      <w:pPr>
        <w:spacing w:before="3"/>
        <w:rPr>
          <w:rFonts w:ascii="Times New Roman" w:eastAsia="Times New Roman" w:hAnsi="Times New Roman" w:cs="Times New Roman"/>
          <w:sz w:val="21"/>
          <w:szCs w:val="21"/>
        </w:rPr>
      </w:pPr>
    </w:p>
    <w:p w14:paraId="5E870B03" w14:textId="77777777" w:rsidR="00957F89" w:rsidRPr="00C73849" w:rsidRDefault="00D92D87" w:rsidP="005D3932">
      <w:pPr>
        <w:tabs>
          <w:tab w:val="left" w:pos="1222"/>
        </w:tabs>
        <w:ind w:left="142"/>
        <w:rPr>
          <w:rFonts w:ascii="Times New Roman" w:eastAsia="Times New Roman" w:hAnsi="Times New Roman" w:cs="Times New Roman"/>
          <w:sz w:val="24"/>
          <w:szCs w:val="24"/>
        </w:rPr>
      </w:pPr>
      <w:r w:rsidRPr="00C73849">
        <w:rPr>
          <w:rFonts w:ascii="Times New Roman"/>
          <w:b/>
          <w:sz w:val="24"/>
        </w:rPr>
        <w:t>5.1.3.4.2</w:t>
      </w:r>
      <w:r w:rsidRPr="00C73849">
        <w:rPr>
          <w:rFonts w:ascii="Times New Roman"/>
          <w:b/>
          <w:sz w:val="24"/>
        </w:rPr>
        <w:tab/>
      </w:r>
      <w:proofErr w:type="spellStart"/>
      <w:r w:rsidRPr="00C73849">
        <w:rPr>
          <w:rFonts w:ascii="Times New Roman"/>
          <w:b/>
          <w:sz w:val="24"/>
        </w:rPr>
        <w:t>Porsolt</w:t>
      </w:r>
      <w:proofErr w:type="spellEnd"/>
      <w:r w:rsidRPr="00C73849">
        <w:rPr>
          <w:rFonts w:ascii="Times New Roman"/>
          <w:b/>
          <w:sz w:val="24"/>
        </w:rPr>
        <w:t xml:space="preserve"> study number: 06.210/5 (GE study number: B101039)</w:t>
      </w:r>
    </w:p>
    <w:p w14:paraId="7DBE55E4" w14:textId="77777777" w:rsidR="00957F89" w:rsidRPr="00C73849" w:rsidRDefault="00D92D87" w:rsidP="005D3932">
      <w:pPr>
        <w:ind w:left="1222" w:right="709"/>
        <w:jc w:val="both"/>
        <w:rPr>
          <w:rFonts w:ascii="Times New Roman" w:eastAsia="Times New Roman" w:hAnsi="Times New Roman" w:cs="Times New Roman"/>
          <w:sz w:val="24"/>
          <w:szCs w:val="24"/>
        </w:rPr>
      </w:pPr>
      <w:r w:rsidRPr="00C73849">
        <w:rPr>
          <w:rFonts w:ascii="Times New Roman"/>
          <w:b/>
          <w:sz w:val="24"/>
        </w:rPr>
        <w:t>Evaluation of a mixture of natural abundant pyruvic acid and AH111501 dissolved in TRIS/EDTA dissolution medium on EEG and behavior in the</w:t>
      </w:r>
      <w:r w:rsidRPr="00C73849">
        <w:rPr>
          <w:rFonts w:ascii="Times New Roman"/>
          <w:b/>
          <w:w w:val="99"/>
          <w:sz w:val="24"/>
        </w:rPr>
        <w:t xml:space="preserve"> </w:t>
      </w:r>
      <w:r w:rsidRPr="00C73849">
        <w:rPr>
          <w:rFonts w:ascii="Times New Roman"/>
          <w:b/>
          <w:sz w:val="24"/>
        </w:rPr>
        <w:t>conscious dog (</w:t>
      </w:r>
      <w:proofErr w:type="gramStart"/>
      <w:r w:rsidRPr="00C73849">
        <w:rPr>
          <w:rFonts w:ascii="Times New Roman"/>
          <w:b/>
          <w:sz w:val="24"/>
        </w:rPr>
        <w:t>Non-GLP</w:t>
      </w:r>
      <w:proofErr w:type="gramEnd"/>
      <w:r w:rsidRPr="00C73849">
        <w:rPr>
          <w:rFonts w:ascii="Times New Roman"/>
          <w:b/>
          <w:sz w:val="24"/>
        </w:rPr>
        <w:t>)</w:t>
      </w:r>
    </w:p>
    <w:p w14:paraId="09F209F0" w14:textId="77777777" w:rsidR="00957F89" w:rsidRPr="00C73849" w:rsidRDefault="00957F89" w:rsidP="005D3932">
      <w:pPr>
        <w:spacing w:before="5"/>
        <w:rPr>
          <w:rFonts w:ascii="Times New Roman" w:eastAsia="Times New Roman" w:hAnsi="Times New Roman" w:cs="Times New Roman"/>
          <w:b/>
          <w:bCs/>
          <w:sz w:val="20"/>
          <w:szCs w:val="20"/>
        </w:rPr>
      </w:pPr>
    </w:p>
    <w:p w14:paraId="2573E447" w14:textId="35F57C79" w:rsidR="00957F89" w:rsidRPr="00C73849" w:rsidRDefault="00D92D87" w:rsidP="005D3932">
      <w:pPr>
        <w:pStyle w:val="BodyText"/>
        <w:spacing w:line="239" w:lineRule="auto"/>
        <w:ind w:right="305"/>
      </w:pPr>
      <w:r w:rsidRPr="00C73849">
        <w:t>The potential effects of 250 mM pyruvate and 0.43 mg/ml AH111501 in TRIS/EDTA</w:t>
      </w:r>
      <w:r w:rsidRPr="00C73849">
        <w:rPr>
          <w:w w:val="99"/>
        </w:rPr>
        <w:t xml:space="preserve"> </w:t>
      </w:r>
      <w:r w:rsidRPr="00C73849">
        <w:t>dissolution medium on general behavior and EEG activity was assessed in three non-naïve</w:t>
      </w:r>
      <w:r w:rsidRPr="00C73849">
        <w:rPr>
          <w:w w:val="99"/>
        </w:rPr>
        <w:t xml:space="preserve"> </w:t>
      </w:r>
      <w:r w:rsidRPr="00C73849">
        <w:t xml:space="preserve">conscious beagle dogs. Each dog was given one dose of the test item containing AH111501 (4.3 ml/kg </w:t>
      </w:r>
      <w:proofErr w:type="spellStart"/>
      <w:r w:rsidRPr="00C73849">
        <w:t>bw</w:t>
      </w:r>
      <w:proofErr w:type="spellEnd"/>
      <w:r w:rsidRPr="00C73849">
        <w:t xml:space="preserve">), three doses of filtered test item (1.4, 4.3 and 5.7 ml/kg </w:t>
      </w:r>
      <w:proofErr w:type="spellStart"/>
      <w:r w:rsidRPr="00C73849">
        <w:t>bw</w:t>
      </w:r>
      <w:proofErr w:type="spellEnd"/>
      <w:r w:rsidRPr="00C73849">
        <w:t>), three controls</w:t>
      </w:r>
      <w:r w:rsidRPr="00C73849">
        <w:rPr>
          <w:w w:val="99"/>
        </w:rPr>
        <w:t xml:space="preserve"> </w:t>
      </w:r>
      <w:r w:rsidRPr="00C73849">
        <w:t xml:space="preserve">(saline, osmotic [mannitol] and TRIS/EDTA vehicle control, all 4.3 ml/kg </w:t>
      </w:r>
      <w:proofErr w:type="spellStart"/>
      <w:r w:rsidRPr="00C73849">
        <w:t>bw</w:t>
      </w:r>
      <w:proofErr w:type="spellEnd"/>
      <w:r w:rsidRPr="00C73849">
        <w:t>) and on the last</w:t>
      </w:r>
      <w:r w:rsidRPr="00C73849">
        <w:rPr>
          <w:w w:val="99"/>
        </w:rPr>
        <w:t xml:space="preserve"> </w:t>
      </w:r>
      <w:r w:rsidRPr="00C73849">
        <w:t xml:space="preserve">dosing day </w:t>
      </w:r>
      <w:proofErr w:type="spellStart"/>
      <w:r w:rsidRPr="00C73849">
        <w:t>pentylentetrazole</w:t>
      </w:r>
      <w:proofErr w:type="spellEnd"/>
      <w:r w:rsidRPr="00C73849">
        <w:t xml:space="preserve"> (PTZ, 1.5 mg/kg/min) was administered as a positive control. All</w:t>
      </w:r>
      <w:r w:rsidRPr="00C73849">
        <w:rPr>
          <w:w w:val="99"/>
        </w:rPr>
        <w:t xml:space="preserve"> </w:t>
      </w:r>
      <w:r w:rsidRPr="00C73849">
        <w:t xml:space="preserve">injections except PTZ were </w:t>
      </w:r>
      <w:r w:rsidRPr="00C73849">
        <w:lastRenderedPageBreak/>
        <w:t>administered at 5 ml/s by power injector. The dogs were assigned to the various treatments in such a manner that each dog had each treatment once and that</w:t>
      </w:r>
      <w:r w:rsidRPr="00C73849">
        <w:rPr>
          <w:w w:val="99"/>
        </w:rPr>
        <w:t xml:space="preserve"> </w:t>
      </w:r>
      <w:r w:rsidRPr="00C73849">
        <w:t>between two administrations of the test item, a vehicle control was administered. Each dog</w:t>
      </w:r>
      <w:r w:rsidR="001E1911">
        <w:t xml:space="preserve"> </w:t>
      </w:r>
      <w:r w:rsidRPr="00C73849">
        <w:t xml:space="preserve">was given a total of eight discrete </w:t>
      </w:r>
      <w:r w:rsidR="00D57BA2">
        <w:t>IV</w:t>
      </w:r>
      <w:r w:rsidR="00D57BA2" w:rsidRPr="00C73849">
        <w:t xml:space="preserve"> </w:t>
      </w:r>
      <w:r w:rsidRPr="00C73849">
        <w:t>bolus injections. There was a minimum of 48 h wash-out between each single administration.</w:t>
      </w:r>
    </w:p>
    <w:p w14:paraId="6A093216" w14:textId="77777777" w:rsidR="00957F89" w:rsidRPr="00C73849" w:rsidRDefault="00957F89" w:rsidP="005D3932">
      <w:pPr>
        <w:spacing w:before="10"/>
        <w:rPr>
          <w:rFonts w:ascii="Times New Roman" w:eastAsia="Times New Roman" w:hAnsi="Times New Roman" w:cs="Times New Roman"/>
          <w:sz w:val="20"/>
          <w:szCs w:val="20"/>
        </w:rPr>
      </w:pPr>
    </w:p>
    <w:p w14:paraId="7DD35BF7" w14:textId="77777777" w:rsidR="00957F89" w:rsidRPr="00C73849" w:rsidRDefault="00D92D87" w:rsidP="005D3932">
      <w:pPr>
        <w:pStyle w:val="BodyText"/>
        <w:ind w:right="311"/>
      </w:pPr>
      <w:r w:rsidRPr="00C73849">
        <w:t>The dogs were implanted with EEG electrodes in the cortex and the signal was monitored by telemetry. For 30 min before and for a minimum of 20 min after each administration the dogs were restrained in a sling. EEG traces were recorded from 20 min before dosing and for 3 h after. The traces were assessed by visual inspection of the raw EEG signals. The general</w:t>
      </w:r>
      <w:r w:rsidRPr="00C73849">
        <w:rPr>
          <w:w w:val="99"/>
        </w:rPr>
        <w:t xml:space="preserve"> </w:t>
      </w:r>
      <w:r w:rsidRPr="00C73849">
        <w:t>physiological state of the animals was scored on 13 parameters (respiratory rate, cutaneous pinch reflex, agitation and/or vocalization, salivation, etc.) at 5 min before dosing and at 5 and</w:t>
      </w:r>
      <w:r w:rsidRPr="00C73849">
        <w:rPr>
          <w:w w:val="99"/>
        </w:rPr>
        <w:t xml:space="preserve"> </w:t>
      </w:r>
      <w:r w:rsidRPr="00C73849">
        <w:t>20 min after dosing. Blood was sampled before and after administration to confirm correct</w:t>
      </w:r>
      <w:r w:rsidRPr="00C73849">
        <w:rPr>
          <w:w w:val="99"/>
        </w:rPr>
        <w:t xml:space="preserve"> </w:t>
      </w:r>
      <w:r w:rsidRPr="00C73849">
        <w:t>dosing. Samples of the test articles were analyzed for concentration and purity of pyruvate by</w:t>
      </w:r>
      <w:r w:rsidR="00752B33">
        <w:t xml:space="preserve"> </w:t>
      </w:r>
      <w:proofErr w:type="gramStart"/>
      <w:r w:rsidRPr="00C73849">
        <w:t>HPLC</w:t>
      </w:r>
      <w:proofErr w:type="gramEnd"/>
      <w:r w:rsidRPr="00C73849">
        <w:t xml:space="preserve"> and selected samples were analyzed for purity by NMR. pH and osmolality were</w:t>
      </w:r>
      <w:r w:rsidRPr="00C73849">
        <w:rPr>
          <w:w w:val="99"/>
        </w:rPr>
        <w:t xml:space="preserve"> </w:t>
      </w:r>
      <w:r w:rsidRPr="00C73849">
        <w:t>measured for all samples.</w:t>
      </w:r>
    </w:p>
    <w:p w14:paraId="307C1B1A" w14:textId="77777777" w:rsidR="00957F89" w:rsidRPr="00C73849" w:rsidRDefault="00957F89" w:rsidP="005D3932">
      <w:pPr>
        <w:spacing w:before="10"/>
        <w:rPr>
          <w:rFonts w:ascii="Times New Roman" w:eastAsia="Times New Roman" w:hAnsi="Times New Roman" w:cs="Times New Roman"/>
          <w:sz w:val="20"/>
          <w:szCs w:val="20"/>
        </w:rPr>
      </w:pPr>
    </w:p>
    <w:p w14:paraId="24287E67" w14:textId="25B50720" w:rsidR="00957F89" w:rsidRPr="00533E67" w:rsidRDefault="00D92D87" w:rsidP="005D3932">
      <w:pPr>
        <w:pStyle w:val="BodyText"/>
        <w:ind w:right="311"/>
      </w:pPr>
      <w:r w:rsidRPr="00C73849">
        <w:t>The purity profiles of the administered test item test articles were qualitatively consistent and appropriate for the study. Some of the samples were found to contain low levels of ethanol,</w:t>
      </w:r>
      <w:r w:rsidRPr="00C73849">
        <w:rPr>
          <w:w w:val="99"/>
        </w:rPr>
        <w:t xml:space="preserve"> </w:t>
      </w:r>
      <w:r w:rsidRPr="00C73849">
        <w:t>probably caused by conditioning of the chromatography column (for extraction of AH111501) with 96% ethanol, followed by insufficient flushing with TRIS/EDTA vehicle control solution.</w:t>
      </w:r>
      <w:r w:rsidRPr="00C73849">
        <w:rPr>
          <w:w w:val="99"/>
        </w:rPr>
        <w:t xml:space="preserve"> </w:t>
      </w:r>
      <w:r w:rsidRPr="00C73849">
        <w:t xml:space="preserve">One saline control was found to have unexpectedly low osmolality. When the study documentation was checked it was confirmed that a dose of </w:t>
      </w:r>
      <w:r w:rsidR="00062CFB">
        <w:t>w</w:t>
      </w:r>
      <w:r w:rsidRPr="00C73849">
        <w:t>ater for Injection had been</w:t>
      </w:r>
      <w:r w:rsidRPr="00C73849">
        <w:rPr>
          <w:w w:val="99"/>
        </w:rPr>
        <w:t xml:space="preserve"> </w:t>
      </w:r>
      <w:r w:rsidRPr="00C73849">
        <w:t>administered in error. Correct administration of test item was confirmed for all but one</w:t>
      </w:r>
      <w:r w:rsidRPr="00C73849">
        <w:rPr>
          <w:w w:val="99"/>
        </w:rPr>
        <w:t xml:space="preserve"> </w:t>
      </w:r>
      <w:r w:rsidRPr="00C73849">
        <w:t xml:space="preserve">injection (in the 1.4 ml/kg </w:t>
      </w:r>
      <w:proofErr w:type="spellStart"/>
      <w:r w:rsidRPr="00C73849">
        <w:t>bw</w:t>
      </w:r>
      <w:proofErr w:type="spellEnd"/>
      <w:r w:rsidRPr="00C73849">
        <w:t xml:space="preserve"> dose group) where the post-dosing pyruvate concentration in</w:t>
      </w:r>
      <w:r w:rsidRPr="00C73849">
        <w:rPr>
          <w:w w:val="99"/>
        </w:rPr>
        <w:t xml:space="preserve"> </w:t>
      </w:r>
      <w:r w:rsidRPr="00C73849">
        <w:t>blood neither confirmed nor disproved correct dosing.</w:t>
      </w:r>
    </w:p>
    <w:p w14:paraId="4085F39C" w14:textId="77777777" w:rsidR="00957F89" w:rsidRPr="00C73849" w:rsidRDefault="00957F89" w:rsidP="005D3932">
      <w:pPr>
        <w:spacing w:before="10"/>
        <w:rPr>
          <w:rFonts w:ascii="Times New Roman" w:eastAsia="Times New Roman" w:hAnsi="Times New Roman" w:cs="Times New Roman"/>
          <w:sz w:val="20"/>
          <w:szCs w:val="20"/>
        </w:rPr>
      </w:pPr>
    </w:p>
    <w:p w14:paraId="6DDF785E" w14:textId="2CDF0FF2" w:rsidR="00957F89" w:rsidRPr="00C73849" w:rsidRDefault="00D92D87" w:rsidP="005D3932">
      <w:pPr>
        <w:pStyle w:val="BodyText"/>
        <w:ind w:right="311"/>
      </w:pPr>
      <w:r w:rsidRPr="00C73849">
        <w:t>Rapid bolus injections of the test item did not provoke pathological clinical symptoms or pathological EEG activity. The occasional symptoms observed were of a non-specific nature,</w:t>
      </w:r>
      <w:r w:rsidRPr="00C73849">
        <w:rPr>
          <w:w w:val="99"/>
        </w:rPr>
        <w:t xml:space="preserve"> </w:t>
      </w:r>
      <w:r w:rsidRPr="00C73849">
        <w:t>transient or appeared before and after substance administrations and could not be attributed to</w:t>
      </w:r>
      <w:r w:rsidRPr="00C73849">
        <w:rPr>
          <w:w w:val="99"/>
        </w:rPr>
        <w:t xml:space="preserve"> </w:t>
      </w:r>
      <w:r w:rsidRPr="00C73849">
        <w:t>either the substance or the composition of the vehicle. Convulsions and other pathological</w:t>
      </w:r>
      <w:r w:rsidRPr="00C73849">
        <w:rPr>
          <w:w w:val="99"/>
        </w:rPr>
        <w:t xml:space="preserve"> </w:t>
      </w:r>
      <w:r w:rsidRPr="00C73849">
        <w:t xml:space="preserve">signs such as those reported in the mouse after </w:t>
      </w:r>
      <w:r w:rsidR="00D57BA2">
        <w:t>IV</w:t>
      </w:r>
      <w:r w:rsidRPr="00C73849">
        <w:t xml:space="preserve"> injections of 10 ml/kg of 0.9 M and 1.8 M sodium pyruvate injections [Gonzalez et al. 2005] were not observed in any of the 3 dogs tested. However, convulsions were observed following PTZ infusion in all 3 dogs, confirming</w:t>
      </w:r>
      <w:r w:rsidRPr="00C73849">
        <w:rPr>
          <w:w w:val="99"/>
        </w:rPr>
        <w:t xml:space="preserve"> </w:t>
      </w:r>
      <w:r w:rsidRPr="00C73849">
        <w:t>the sensitivity of the model.</w:t>
      </w:r>
    </w:p>
    <w:p w14:paraId="3119A00A" w14:textId="77777777" w:rsidR="00957F89" w:rsidRPr="00C73849" w:rsidRDefault="00957F89" w:rsidP="005D3932">
      <w:pPr>
        <w:spacing w:before="10"/>
        <w:rPr>
          <w:rFonts w:ascii="Times New Roman" w:eastAsia="Times New Roman" w:hAnsi="Times New Roman" w:cs="Times New Roman"/>
          <w:sz w:val="20"/>
          <w:szCs w:val="20"/>
        </w:rPr>
      </w:pPr>
    </w:p>
    <w:p w14:paraId="3F1D7D12" w14:textId="77777777" w:rsidR="00957F89" w:rsidRPr="00C73849" w:rsidRDefault="00D92D87" w:rsidP="005D3932">
      <w:pPr>
        <w:pStyle w:val="BodyText"/>
      </w:pPr>
      <w:r w:rsidRPr="00C73849">
        <w:t>In conclusion, intravenous administration of test item containing 250 mM pyruvate and</w:t>
      </w:r>
    </w:p>
    <w:p w14:paraId="6953E26B" w14:textId="77777777" w:rsidR="00957F89" w:rsidRPr="00C73849" w:rsidRDefault="00D92D87" w:rsidP="005D3932">
      <w:pPr>
        <w:pStyle w:val="BodyText"/>
        <w:ind w:right="151"/>
      </w:pPr>
      <w:r w:rsidRPr="00C73849">
        <w:t xml:space="preserve">0.43 mg/ml AH111501 at a dose of 4.3 ml/kg and filtered test item up to doses of 5.7 ml/kg </w:t>
      </w:r>
      <w:proofErr w:type="spellStart"/>
      <w:r w:rsidRPr="00C73849">
        <w:t>bw</w:t>
      </w:r>
      <w:proofErr w:type="spellEnd"/>
      <w:r w:rsidRPr="00C73849">
        <w:t xml:space="preserve"> administered at 5 ml/s had no significant effects on the general behavior and EEG activity of male beagle dogs. When maximum dose levels were expressed as Human Equivalent Doses based on body surface area, this corresponds to 70 mg/kg </w:t>
      </w:r>
      <w:proofErr w:type="spellStart"/>
      <w:r w:rsidRPr="00C73849">
        <w:t>bw</w:t>
      </w:r>
      <w:proofErr w:type="spellEnd"/>
      <w:r w:rsidRPr="00C73849">
        <w:t xml:space="preserve"> of pyruvate and 1.0 mg/kg </w:t>
      </w:r>
      <w:proofErr w:type="spellStart"/>
      <w:r w:rsidRPr="00C73849">
        <w:t>bw</w:t>
      </w:r>
      <w:proofErr w:type="spellEnd"/>
      <w:r w:rsidRPr="00C73849">
        <w:t xml:space="preserve"> of AH111501.</w:t>
      </w:r>
    </w:p>
    <w:p w14:paraId="52221CA1" w14:textId="77777777" w:rsidR="00957F89" w:rsidRPr="00980B07" w:rsidRDefault="00957F89" w:rsidP="005D3932">
      <w:pPr>
        <w:spacing w:before="8"/>
        <w:rPr>
          <w:rFonts w:ascii="Times New Roman" w:eastAsia="Times New Roman" w:hAnsi="Times New Roman" w:cs="Times New Roman"/>
        </w:rPr>
      </w:pPr>
    </w:p>
    <w:p w14:paraId="01B12CB3" w14:textId="77777777" w:rsidR="00957F89" w:rsidRPr="003F4FAF" w:rsidRDefault="00C86F89" w:rsidP="0030377B">
      <w:pPr>
        <w:pStyle w:val="Heading4"/>
      </w:pPr>
      <w:r w:rsidRPr="0030377B">
        <w:t>5.1.3.5</w:t>
      </w:r>
      <w:r w:rsidRPr="0030377B">
        <w:tab/>
      </w:r>
      <w:r w:rsidR="00D92D87" w:rsidRPr="0030377B">
        <w:t>Effects on the Respiratory System in the Conscious Dog</w:t>
      </w:r>
    </w:p>
    <w:p w14:paraId="050C8B33" w14:textId="77777777" w:rsidR="00957F89" w:rsidRPr="003F4FAF" w:rsidRDefault="00D92D87" w:rsidP="0030377B">
      <w:pPr>
        <w:pStyle w:val="Heading5"/>
      </w:pPr>
      <w:bookmarkStart w:id="65" w:name="_Toc437961122"/>
      <w:bookmarkStart w:id="66" w:name="_Toc34899963"/>
      <w:bookmarkStart w:id="67" w:name="_Toc33702492"/>
      <w:r w:rsidRPr="003F4FAF">
        <w:t>5.1.3.5.1</w:t>
      </w:r>
      <w:bookmarkEnd w:id="65"/>
      <w:bookmarkEnd w:id="66"/>
      <w:bookmarkEnd w:id="67"/>
      <w:r w:rsidRPr="003F4FAF">
        <w:tab/>
        <w:t>RCC study 855869 (GE study number B101019)</w:t>
      </w:r>
      <w:r w:rsidR="009B43A3" w:rsidRPr="003F4FAF">
        <w:t xml:space="preserve">: </w:t>
      </w:r>
      <w:r w:rsidRPr="0030377B">
        <w:t>AH111501 dissolved in 13C-AH110896: Effects on cardiovascular and respiratory parameters in the telemetered dog (GLP)</w:t>
      </w:r>
    </w:p>
    <w:p w14:paraId="4D44D189" w14:textId="77777777" w:rsidR="00957F89" w:rsidRPr="00C73849" w:rsidRDefault="00957F89" w:rsidP="005D3932">
      <w:pPr>
        <w:spacing w:before="9"/>
        <w:rPr>
          <w:rFonts w:ascii="Times New Roman" w:eastAsia="Times New Roman" w:hAnsi="Times New Roman" w:cs="Times New Roman"/>
          <w:b/>
          <w:bCs/>
          <w:sz w:val="20"/>
          <w:szCs w:val="20"/>
        </w:rPr>
      </w:pPr>
    </w:p>
    <w:p w14:paraId="64275378" w14:textId="77777777" w:rsidR="00957F89" w:rsidRPr="00C73849" w:rsidRDefault="00D92D87" w:rsidP="005D3932">
      <w:pPr>
        <w:pStyle w:val="BodyText"/>
        <w:spacing w:line="276" w:lineRule="exact"/>
        <w:ind w:right="305"/>
      </w:pPr>
      <w:r w:rsidRPr="00C73849">
        <w:t>Four beagle dogs were dosed intravenously by slow bolus injection (5-10 ml/min). All</w:t>
      </w:r>
      <w:r w:rsidRPr="00C73849">
        <w:rPr>
          <w:w w:val="99"/>
        </w:rPr>
        <w:t xml:space="preserve"> </w:t>
      </w:r>
      <w:r w:rsidRPr="00C73849">
        <w:t xml:space="preserve">treatments were given at a dose of 2.9 ml/kg </w:t>
      </w:r>
      <w:proofErr w:type="spellStart"/>
      <w:r w:rsidRPr="00C73849">
        <w:t>bw</w:t>
      </w:r>
      <w:proofErr w:type="spellEnd"/>
      <w:r w:rsidRPr="00C73849">
        <w:t xml:space="preserve">. The </w:t>
      </w:r>
      <w:r w:rsidR="000B18D9" w:rsidRPr="00C73849">
        <w:t>period</w:t>
      </w:r>
      <w:r w:rsidRPr="00C73849">
        <w:t xml:space="preserve"> between each treatment</w:t>
      </w:r>
      <w:r w:rsidRPr="00C73849">
        <w:rPr>
          <w:w w:val="99"/>
        </w:rPr>
        <w:t xml:space="preserve"> </w:t>
      </w:r>
      <w:r w:rsidRPr="00C73849">
        <w:t xml:space="preserve">was at least three days. The dogs were treated with control item (0.9% saline), TRIS/EDTA vehicle control solution, </w:t>
      </w:r>
      <w:r w:rsidR="002A7BB9" w:rsidRPr="00C73849">
        <w:t>and test item containing 44.6 mg/ml [1-13C] pyruvate</w:t>
      </w:r>
      <w:r w:rsidRPr="00C73849">
        <w:t xml:space="preserve"> and 0.85 mg/ml</w:t>
      </w:r>
      <w:r w:rsidRPr="00C73849">
        <w:rPr>
          <w:w w:val="99"/>
        </w:rPr>
        <w:t xml:space="preserve"> </w:t>
      </w:r>
      <w:r w:rsidRPr="00C73849">
        <w:t>AH111501 and filtered test item. Animals were trained several times to accustom them to</w:t>
      </w:r>
      <w:r w:rsidRPr="00C73849">
        <w:rPr>
          <w:w w:val="99"/>
        </w:rPr>
        <w:t xml:space="preserve"> </w:t>
      </w:r>
      <w:r w:rsidRPr="00C73849">
        <w:t xml:space="preserve">dosing procedures, as well as respiratory parameters measurements. Tracheal airflow was measured using a sealed mask </w:t>
      </w:r>
      <w:r w:rsidRPr="00C73849">
        <w:lastRenderedPageBreak/>
        <w:t>(covering the animal's snout) attached to a pneumotachograph</w:t>
      </w:r>
      <w:r w:rsidRPr="00C73849">
        <w:rPr>
          <w:w w:val="99"/>
        </w:rPr>
        <w:t xml:space="preserve"> </w:t>
      </w:r>
      <w:r w:rsidRPr="00C73849">
        <w:t>and a pulmonary monitoring system. Respiratory rate and tidal volume were monitored in the</w:t>
      </w:r>
      <w:r w:rsidRPr="00C73849">
        <w:rPr>
          <w:w w:val="99"/>
        </w:rPr>
        <w:t xml:space="preserve"> </w:t>
      </w:r>
      <w:r w:rsidRPr="00C73849">
        <w:t>sling-restrained animals. Values were recorded for at least approx. 4 to 5 min before</w:t>
      </w:r>
      <w:r w:rsidRPr="00C73849">
        <w:rPr>
          <w:w w:val="99"/>
        </w:rPr>
        <w:t xml:space="preserve"> </w:t>
      </w:r>
      <w:r w:rsidRPr="00C73849">
        <w:t>administration and at 15, 32, 62 and 122 min after the end of dosing. Mean values over 3 min</w:t>
      </w:r>
      <w:r w:rsidRPr="00C73849">
        <w:rPr>
          <w:w w:val="99"/>
        </w:rPr>
        <w:t xml:space="preserve"> </w:t>
      </w:r>
      <w:r w:rsidRPr="00C73849">
        <w:t>were reported.</w:t>
      </w:r>
    </w:p>
    <w:p w14:paraId="53BA03ED" w14:textId="77777777" w:rsidR="00957F89" w:rsidRPr="00C73849" w:rsidRDefault="00D92D87" w:rsidP="005D3932">
      <w:pPr>
        <w:pStyle w:val="BodyText"/>
        <w:spacing w:before="69"/>
        <w:ind w:right="151"/>
      </w:pPr>
      <w:r w:rsidRPr="00C73849">
        <w:t>The various treatments had no marked effects on absolute and percent change values of respiratory parameters (respiratory rate, tidal volume and minute volume) when measured at</w:t>
      </w:r>
      <w:r w:rsidRPr="00C73849">
        <w:rPr>
          <w:w w:val="99"/>
        </w:rPr>
        <w:t xml:space="preserve"> </w:t>
      </w:r>
      <w:r w:rsidRPr="00C73849">
        <w:t>approximately 15, 32, 62 and 122 min after treatment. There were no significant differences</w:t>
      </w:r>
      <w:r w:rsidRPr="00C73849">
        <w:rPr>
          <w:w w:val="99"/>
        </w:rPr>
        <w:t xml:space="preserve"> </w:t>
      </w:r>
      <w:r w:rsidRPr="00C73849">
        <w:t>between the treatment groups.</w:t>
      </w:r>
    </w:p>
    <w:p w14:paraId="22357311" w14:textId="77777777" w:rsidR="00957F89" w:rsidRPr="00C73849" w:rsidRDefault="00957F89" w:rsidP="005D3932">
      <w:pPr>
        <w:spacing w:before="2"/>
        <w:rPr>
          <w:rFonts w:ascii="Times New Roman" w:eastAsia="Times New Roman" w:hAnsi="Times New Roman" w:cs="Times New Roman"/>
          <w:sz w:val="21"/>
          <w:szCs w:val="21"/>
        </w:rPr>
      </w:pPr>
    </w:p>
    <w:p w14:paraId="778C1017" w14:textId="77777777" w:rsidR="00957F89" w:rsidRPr="00C73849" w:rsidRDefault="00D92D87" w:rsidP="005D3932">
      <w:pPr>
        <w:pStyle w:val="BodyText"/>
        <w:spacing w:line="276" w:lineRule="exact"/>
        <w:ind w:right="311"/>
      </w:pPr>
      <w:r w:rsidRPr="00C73849">
        <w:t>In conclusion, slow intravenous administration of test item containing [1-</w:t>
      </w:r>
      <w:r w:rsidRPr="00C73849">
        <w:rPr>
          <w:position w:val="11"/>
          <w:sz w:val="16"/>
        </w:rPr>
        <w:t>13</w:t>
      </w:r>
      <w:proofErr w:type="gramStart"/>
      <w:r w:rsidRPr="00C73849">
        <w:t>C]pyruvate</w:t>
      </w:r>
      <w:proofErr w:type="gramEnd"/>
      <w:r w:rsidRPr="00C73849">
        <w:t xml:space="preserve"> and AH111501 at a dose of 2.9 ml/kg </w:t>
      </w:r>
      <w:proofErr w:type="spellStart"/>
      <w:r w:rsidRPr="00C73849">
        <w:t>bw</w:t>
      </w:r>
      <w:proofErr w:type="spellEnd"/>
      <w:r w:rsidRPr="00C73849">
        <w:t xml:space="preserve"> had no significant effects on the respiratory parameters monitored in dogs. When dose levels were expressed as Human Equivalent Doses based on body surface area, they </w:t>
      </w:r>
      <w:r w:rsidR="007625F4" w:rsidRPr="00C73849">
        <w:t>correspond</w:t>
      </w:r>
      <w:r w:rsidRPr="00C73849">
        <w:t xml:space="preserve"> to 72 mg/kg </w:t>
      </w:r>
      <w:proofErr w:type="spellStart"/>
      <w:r w:rsidRPr="00C73849">
        <w:t>bw</w:t>
      </w:r>
      <w:proofErr w:type="spellEnd"/>
      <w:r w:rsidRPr="00C73849">
        <w:t xml:space="preserve"> of [1-</w:t>
      </w:r>
      <w:r w:rsidRPr="00C73849">
        <w:rPr>
          <w:position w:val="11"/>
          <w:sz w:val="16"/>
        </w:rPr>
        <w:t>13</w:t>
      </w:r>
      <w:proofErr w:type="gramStart"/>
      <w:r w:rsidRPr="00C73849">
        <w:t>C]pyruvate</w:t>
      </w:r>
      <w:proofErr w:type="gramEnd"/>
      <w:r w:rsidRPr="00C73849">
        <w:t xml:space="preserve"> and 1.4 mg/kg </w:t>
      </w:r>
      <w:proofErr w:type="spellStart"/>
      <w:r w:rsidRPr="00C73849">
        <w:t>bw</w:t>
      </w:r>
      <w:proofErr w:type="spellEnd"/>
      <w:r w:rsidRPr="00C73849">
        <w:t xml:space="preserve"> of AH111501.</w:t>
      </w:r>
    </w:p>
    <w:p w14:paraId="5352360B" w14:textId="77777777" w:rsidR="00957F89" w:rsidRPr="00980B07" w:rsidRDefault="00957F89" w:rsidP="005D3932">
      <w:pPr>
        <w:spacing w:before="5"/>
        <w:rPr>
          <w:rFonts w:ascii="Times New Roman" w:eastAsia="Times New Roman" w:hAnsi="Times New Roman" w:cs="Times New Roman"/>
        </w:rPr>
      </w:pPr>
    </w:p>
    <w:p w14:paraId="13F02F39" w14:textId="77777777" w:rsidR="00957F89" w:rsidRPr="00C73849" w:rsidRDefault="00C86F89" w:rsidP="005A4B55">
      <w:pPr>
        <w:pStyle w:val="Heading4"/>
        <w:rPr>
          <w:rFonts w:eastAsia="Times New Roman" w:hAnsi="Times New Roman" w:cs="Times New Roman"/>
          <w:szCs w:val="24"/>
        </w:rPr>
      </w:pPr>
      <w:r>
        <w:t>5.1.3.6</w:t>
      </w:r>
      <w:r>
        <w:tab/>
      </w:r>
      <w:r w:rsidR="00D92D87" w:rsidRPr="00C73849">
        <w:t>Discussion and Conclusions for Safety Pharmacology</w:t>
      </w:r>
    </w:p>
    <w:p w14:paraId="00504E6A" w14:textId="6042F0C2" w:rsidR="00957F89" w:rsidRDefault="00D92D87" w:rsidP="005D3932">
      <w:pPr>
        <w:pStyle w:val="BodyText"/>
        <w:spacing w:before="80"/>
        <w:ind w:right="252"/>
      </w:pPr>
      <w:r w:rsidRPr="00C73849">
        <w:t>Test articles of 500 mM [1-</w:t>
      </w:r>
      <w:r w:rsidRPr="00C73849">
        <w:rPr>
          <w:position w:val="11"/>
          <w:sz w:val="16"/>
        </w:rPr>
        <w:t>13</w:t>
      </w:r>
      <w:proofErr w:type="gramStart"/>
      <w:r w:rsidRPr="00C73849">
        <w:t>C]pyruvate</w:t>
      </w:r>
      <w:proofErr w:type="gramEnd"/>
      <w:r w:rsidRPr="00C73849">
        <w:t xml:space="preserve"> or pyruvate with 0.85 mg/ml AH111501 dissolved in</w:t>
      </w:r>
      <w:r w:rsidRPr="00C73849">
        <w:rPr>
          <w:w w:val="99"/>
        </w:rPr>
        <w:t xml:space="preserve"> </w:t>
      </w:r>
      <w:r w:rsidRPr="00C73849">
        <w:t>TRIS/EDTA dissolution medium were used in the initial safety pharmacology studies of effects on the cardiovascular and respiratory systems (telemetered dog) and the central nervous system</w:t>
      </w:r>
      <w:r w:rsidRPr="00C73849">
        <w:rPr>
          <w:w w:val="99"/>
        </w:rPr>
        <w:t xml:space="preserve"> </w:t>
      </w:r>
      <w:r w:rsidRPr="00C73849">
        <w:t>(Irwin rat). There were findings of slight ptosis (dog) and vehicle-</w:t>
      </w:r>
      <w:r w:rsidRPr="00060C19">
        <w:t xml:space="preserve">related </w:t>
      </w:r>
      <w:r w:rsidR="00060C19" w:rsidRPr="005F6CE7">
        <w:t>meiosis</w:t>
      </w:r>
      <w:r w:rsidRPr="00044CE4">
        <w:t xml:space="preserve"> (rat</w:t>
      </w:r>
      <w:r w:rsidRPr="00C73849">
        <w:t>) in these</w:t>
      </w:r>
      <w:r w:rsidRPr="00C73849">
        <w:rPr>
          <w:w w:val="99"/>
        </w:rPr>
        <w:t xml:space="preserve"> </w:t>
      </w:r>
      <w:r w:rsidRPr="00C73849">
        <w:t>studies, but no other adverse reactions were recorded. The injection volumes and rates used in</w:t>
      </w:r>
      <w:r w:rsidRPr="00C73849">
        <w:rPr>
          <w:w w:val="99"/>
        </w:rPr>
        <w:t xml:space="preserve"> </w:t>
      </w:r>
      <w:r w:rsidRPr="00C73849">
        <w:t>these studies were in line with current good practice [Diehl et al. 2001]. Because the intended</w:t>
      </w:r>
      <w:r w:rsidRPr="00C73849">
        <w:rPr>
          <w:w w:val="99"/>
        </w:rPr>
        <w:t xml:space="preserve"> </w:t>
      </w:r>
      <w:r w:rsidRPr="00C73849">
        <w:t>clinical injection rate is 5 ml/s, a non-GLP study of effects on the cardiovascular system (CVS) was conducted in the pentobarbital/fentanyl anesthetized dog using the clinical injection rate</w:t>
      </w:r>
      <w:r w:rsidR="001E1911">
        <w:rPr>
          <w:w w:val="99"/>
        </w:rPr>
        <w:t xml:space="preserve"> </w:t>
      </w:r>
      <w:r w:rsidRPr="00C73849">
        <w:t>and a test article of 500 mM pyruvate in TRIS/EDTA dissolution medium. This test article did</w:t>
      </w:r>
      <w:r w:rsidRPr="00C73849">
        <w:rPr>
          <w:w w:val="99"/>
        </w:rPr>
        <w:t xml:space="preserve"> </w:t>
      </w:r>
      <w:r w:rsidRPr="00C73849">
        <w:t>not contain AH111501. The anesthesia offers very stable baselines for blood pressures and</w:t>
      </w:r>
      <w:r w:rsidRPr="00C73849">
        <w:rPr>
          <w:w w:val="99"/>
        </w:rPr>
        <w:t xml:space="preserve"> </w:t>
      </w:r>
      <w:r w:rsidRPr="00C73849">
        <w:t>heart rate allowing measurement of small changes from baseline. The anesthesia also causes a</w:t>
      </w:r>
      <w:r w:rsidRPr="00C73849">
        <w:rPr>
          <w:w w:val="99"/>
        </w:rPr>
        <w:t xml:space="preserve"> </w:t>
      </w:r>
      <w:r w:rsidRPr="00C73849">
        <w:t xml:space="preserve">suppression of the baroreceptor </w:t>
      </w:r>
      <w:proofErr w:type="gramStart"/>
      <w:r w:rsidRPr="00C73849">
        <w:t>reflexes</w:t>
      </w:r>
      <w:proofErr w:type="gramEnd"/>
      <w:r w:rsidRPr="00C73849">
        <w:t xml:space="preserve"> and the dog anesthetized with pentobarbital/fentanyl is</w:t>
      </w:r>
      <w:r w:rsidRPr="00C73849">
        <w:rPr>
          <w:w w:val="99"/>
        </w:rPr>
        <w:t xml:space="preserve"> </w:t>
      </w:r>
      <w:r w:rsidRPr="00C73849">
        <w:t>therefore to be considered a sensitive model for orthostatic hypotension. Finally, the anesthesia causes a reduction in cardiac output compared to a conscious animal thereby resulting in slower dilution of the injected bolus and higher blood concentration in the first</w:t>
      </w:r>
      <w:r w:rsidRPr="00C73849">
        <w:rPr>
          <w:w w:val="99"/>
        </w:rPr>
        <w:t xml:space="preserve"> </w:t>
      </w:r>
      <w:r w:rsidRPr="00C73849">
        <w:t>pass. The study demonstrated that when administered as a rapid intravenous bolus the 500 mM</w:t>
      </w:r>
      <w:r w:rsidRPr="00C73849">
        <w:rPr>
          <w:w w:val="99"/>
        </w:rPr>
        <w:t xml:space="preserve"> </w:t>
      </w:r>
      <w:r w:rsidRPr="00C73849">
        <w:t>pyruvate test article caused an acute decrease in arterial blood pressure which was momentarily followed by a compensatory increase in heart rate and an increase in peripheral flow.</w:t>
      </w:r>
    </w:p>
    <w:p w14:paraId="23DCEE88" w14:textId="77777777" w:rsidR="00752B33" w:rsidRPr="00C73849" w:rsidRDefault="00752B33" w:rsidP="005D3932">
      <w:pPr>
        <w:pStyle w:val="BodyText"/>
        <w:spacing w:before="80"/>
        <w:ind w:right="252"/>
      </w:pPr>
    </w:p>
    <w:p w14:paraId="7E528E86" w14:textId="44BDA2B5" w:rsidR="002D40D6" w:rsidRPr="00C71D9A" w:rsidRDefault="00D92D87" w:rsidP="005D3932">
      <w:pPr>
        <w:pStyle w:val="BodyText"/>
        <w:ind w:right="311"/>
      </w:pPr>
      <w:r w:rsidRPr="00C73849">
        <w:t>Administration of an osmotically matched glucose solution caused a similar effect. The</w:t>
      </w:r>
      <w:r w:rsidRPr="00C73849">
        <w:rPr>
          <w:w w:val="99"/>
        </w:rPr>
        <w:t xml:space="preserve"> </w:t>
      </w:r>
      <w:r w:rsidRPr="00C73849">
        <w:t>decrease in blood pressure was explored in a mechanistic study (non-GLP) where hypertonic</w:t>
      </w:r>
      <w:r w:rsidRPr="00C73849">
        <w:rPr>
          <w:w w:val="99"/>
        </w:rPr>
        <w:t xml:space="preserve"> </w:t>
      </w:r>
      <w:r w:rsidRPr="00C73849">
        <w:t>and isotonic pyruvate test articles without AH111501 were injected. In this study it was demonstrated that the decrease in systemic blood pressure was caused by peripheral</w:t>
      </w:r>
      <w:r w:rsidRPr="00C73849">
        <w:rPr>
          <w:w w:val="99"/>
        </w:rPr>
        <w:t xml:space="preserve"> </w:t>
      </w:r>
      <w:r w:rsidRPr="00C73849">
        <w:t xml:space="preserve">vasodilation caused in part by the osmolality of the test article and in part by pyruvate </w:t>
      </w:r>
      <w:r w:rsidR="007625F4">
        <w:t>itself</w:t>
      </w:r>
      <w:r w:rsidRPr="00C73849">
        <w:t xml:space="preserve"> or by a metabolite of pyruvate (possibly lactate). The effects of rapid boluses</w:t>
      </w:r>
      <w:r w:rsidR="00752B33">
        <w:t xml:space="preserve"> </w:t>
      </w:r>
      <w:r w:rsidRPr="00C73849">
        <w:t>(5 ml/s) of a diluted test article containing 250 mM pyruvate and 0.43 mg/ml AH111501 dissolved in TRIS/EDTA dissolution medium were tested in two studies in the conscious</w:t>
      </w:r>
      <w:r w:rsidRPr="00C73849">
        <w:rPr>
          <w:w w:val="99"/>
        </w:rPr>
        <w:t xml:space="preserve"> </w:t>
      </w:r>
      <w:r w:rsidRPr="00C73849">
        <w:t xml:space="preserve">telemetered dog (CNS [non-GLP] and CVS) and in two studies in the anesthetized dog (CVS). When administering the same dose of pyruvate (mg/kg) at 5 ml/s, the reduction in osmolality of the test article, possibly in combination with the lower dose-rate (mg/s), gave the anticipated reduction in the observed effects on blood pressure and heart rate. The minor effect on </w:t>
      </w:r>
      <w:proofErr w:type="spellStart"/>
      <w:r w:rsidRPr="00C73849">
        <w:t>QTcV</w:t>
      </w:r>
      <w:proofErr w:type="spellEnd"/>
      <w:r w:rsidRPr="00C73849">
        <w:t xml:space="preserve"> observed in the anesthetized dog after administration of 1.4 ml/kg </w:t>
      </w:r>
      <w:proofErr w:type="spellStart"/>
      <w:r w:rsidRPr="00C73849">
        <w:t>bw</w:t>
      </w:r>
      <w:proofErr w:type="spellEnd"/>
      <w:r w:rsidRPr="00C73849">
        <w:t xml:space="preserve"> filtered test article</w:t>
      </w:r>
      <w:r w:rsidRPr="00C73849">
        <w:rPr>
          <w:w w:val="99"/>
        </w:rPr>
        <w:t xml:space="preserve"> </w:t>
      </w:r>
      <w:r w:rsidRPr="00C73849">
        <w:t>(</w:t>
      </w:r>
      <w:proofErr w:type="spellStart"/>
      <w:r w:rsidRPr="00C73849">
        <w:t>Porsolt</w:t>
      </w:r>
      <w:proofErr w:type="spellEnd"/>
      <w:r w:rsidRPr="00C73849">
        <w:t xml:space="preserve"> 06.43</w:t>
      </w:r>
      <w:r w:rsidR="00FB1A06">
        <w:t>4</w:t>
      </w:r>
      <w:r w:rsidRPr="00C73849">
        <w:t xml:space="preserve">/4) was considered an effect of the rapid change in heart rate rather than an effect on </w:t>
      </w:r>
      <w:proofErr w:type="spellStart"/>
      <w:r w:rsidRPr="00C73849">
        <w:t>hERG</w:t>
      </w:r>
      <w:proofErr w:type="spellEnd"/>
      <w:r w:rsidRPr="00C73849">
        <w:t xml:space="preserve"> ion-channel. This is supported by the lack of effect of sodium </w:t>
      </w:r>
      <w:r w:rsidRPr="00C71D9A">
        <w:lastRenderedPageBreak/>
        <w:t>pyruvate and</w:t>
      </w:r>
      <w:r w:rsidR="00AE6106" w:rsidRPr="00C71D9A">
        <w:t xml:space="preserve"> </w:t>
      </w:r>
      <w:r w:rsidRPr="00EC3692">
        <w:t xml:space="preserve">AH111501 in the </w:t>
      </w:r>
      <w:proofErr w:type="spellStart"/>
      <w:r w:rsidRPr="00EC3692">
        <w:t>hERG</w:t>
      </w:r>
      <w:proofErr w:type="spellEnd"/>
      <w:r w:rsidRPr="00EC3692">
        <w:t xml:space="preserve"> assay.</w:t>
      </w:r>
    </w:p>
    <w:p w14:paraId="7464DFBD" w14:textId="77777777" w:rsidR="002D40D6" w:rsidRPr="00C71D9A" w:rsidRDefault="002D40D6" w:rsidP="005D3932">
      <w:pPr>
        <w:pStyle w:val="BodyText"/>
        <w:ind w:right="311"/>
      </w:pPr>
    </w:p>
    <w:p w14:paraId="64D945A9" w14:textId="33202EB4" w:rsidR="00957F89" w:rsidRPr="00C73849" w:rsidRDefault="002D40D6" w:rsidP="005D3932">
      <w:pPr>
        <w:pStyle w:val="BodyText"/>
        <w:spacing w:line="276" w:lineRule="exact"/>
        <w:ind w:right="311"/>
      </w:pPr>
      <w:r w:rsidRPr="00C71D9A">
        <w:t xml:space="preserve">The </w:t>
      </w:r>
      <w:r w:rsidR="00D92D87" w:rsidRPr="00C71D9A">
        <w:t>No-Observed-Adverse-Effect-Level</w:t>
      </w:r>
      <w:r w:rsidR="00E63961" w:rsidRPr="00C71D9A">
        <w:t xml:space="preserve"> (NOAEL)</w:t>
      </w:r>
      <w:r w:rsidR="00D92D87" w:rsidRPr="00C71D9A">
        <w:t xml:space="preserve"> in these</w:t>
      </w:r>
      <w:r w:rsidR="00D92D87" w:rsidRPr="00C71D9A">
        <w:rPr>
          <w:w w:val="99"/>
        </w:rPr>
        <w:t xml:space="preserve"> </w:t>
      </w:r>
      <w:r w:rsidR="00D92D87" w:rsidRPr="00C71D9A">
        <w:t xml:space="preserve">studies was 1.4 ml/kg </w:t>
      </w:r>
      <w:proofErr w:type="spellStart"/>
      <w:r w:rsidR="00D92D87" w:rsidRPr="00C71D9A">
        <w:t>bw</w:t>
      </w:r>
      <w:proofErr w:type="spellEnd"/>
      <w:r w:rsidR="00D92D87" w:rsidRPr="00C71D9A">
        <w:t xml:space="preserve"> for the cardiovascular studies and 5.7 ml/kg for the CNS study.</w:t>
      </w:r>
      <w:r w:rsidRPr="00C71D9A">
        <w:t xml:space="preserve"> </w:t>
      </w:r>
      <w:r w:rsidR="001E75AA" w:rsidRPr="00C71D9A">
        <w:t>In summary, t</w:t>
      </w:r>
      <w:r w:rsidR="00D92D87" w:rsidRPr="00C71D9A">
        <w:t>he available nonclinical safety pharmacology data support adequate safety of Hyperpolarized</w:t>
      </w:r>
      <w:r w:rsidR="00D92D87" w:rsidRPr="00C71D9A">
        <w:rPr>
          <w:w w:val="99"/>
        </w:rPr>
        <w:t xml:space="preserve"> </w:t>
      </w:r>
      <w:r w:rsidR="00D92D87" w:rsidRPr="00C71D9A">
        <w:t>Pyruvate (</w:t>
      </w:r>
      <w:r w:rsidR="00D92D87" w:rsidRPr="00C71D9A">
        <w:rPr>
          <w:position w:val="11"/>
          <w:sz w:val="16"/>
        </w:rPr>
        <w:t>13</w:t>
      </w:r>
      <w:r w:rsidR="00D92D87" w:rsidRPr="00C71D9A">
        <w:t>C) Injection containing 250 mM [1-</w:t>
      </w:r>
      <w:r w:rsidR="00D92D87" w:rsidRPr="00C71D9A">
        <w:rPr>
          <w:position w:val="11"/>
          <w:sz w:val="16"/>
        </w:rPr>
        <w:t>13</w:t>
      </w:r>
      <w:proofErr w:type="gramStart"/>
      <w:r w:rsidR="00D92D87" w:rsidRPr="00C71D9A">
        <w:t>C]pyruvate</w:t>
      </w:r>
      <w:proofErr w:type="gramEnd"/>
      <w:r w:rsidR="00D92D87" w:rsidRPr="00C71D9A">
        <w:t xml:space="preserve"> and no-more-than 3 µM of AH111501 for use in human prostate cancer patients. The data from the nonclinical studies in</w:t>
      </w:r>
      <w:r w:rsidR="00D92D87" w:rsidRPr="00C71D9A">
        <w:rPr>
          <w:w w:val="99"/>
        </w:rPr>
        <w:t xml:space="preserve"> </w:t>
      </w:r>
      <w:r w:rsidR="00D92D87" w:rsidRPr="00C71D9A">
        <w:t>conscious and anesthetized dogs, however, also indicate that in special patient subpopulations</w:t>
      </w:r>
      <w:r w:rsidR="00D92D87" w:rsidRPr="00C71D9A">
        <w:rPr>
          <w:w w:val="99"/>
        </w:rPr>
        <w:t xml:space="preserve"> </w:t>
      </w:r>
      <w:r w:rsidR="00D92D87" w:rsidRPr="00C71D9A">
        <w:t>(e.g. patients treated with high doses of adrenoceptor antagonists, and patients suffering from</w:t>
      </w:r>
      <w:r w:rsidR="00D92D87" w:rsidRPr="00C71D9A">
        <w:rPr>
          <w:w w:val="99"/>
        </w:rPr>
        <w:t xml:space="preserve"> </w:t>
      </w:r>
      <w:r w:rsidR="00D92D87" w:rsidRPr="00C71D9A">
        <w:t>severe heart failure rapid administration of this test article may cause cardiovascular effects if</w:t>
      </w:r>
      <w:r w:rsidR="00D92D87" w:rsidRPr="00C71D9A">
        <w:rPr>
          <w:w w:val="99"/>
        </w:rPr>
        <w:t xml:space="preserve"> </w:t>
      </w:r>
      <w:r w:rsidR="00D92D87" w:rsidRPr="00C71D9A">
        <w:t xml:space="preserve">administered in large volumes (&gt;1.4 ml/kg </w:t>
      </w:r>
      <w:proofErr w:type="spellStart"/>
      <w:r w:rsidR="00D92D87" w:rsidRPr="00C71D9A">
        <w:t>bw</w:t>
      </w:r>
      <w:proofErr w:type="spellEnd"/>
      <w:r w:rsidR="00D92D87" w:rsidRPr="00C71D9A">
        <w:t>). In the planned Phase 1/2a clinical imaging study the maximum dose given to any subject in an ascending dose design will be 0.43 ml/kg</w:t>
      </w:r>
      <w:r w:rsidR="00D92D87" w:rsidRPr="00C71D9A">
        <w:rPr>
          <w:w w:val="99"/>
        </w:rPr>
        <w:t xml:space="preserve"> </w:t>
      </w:r>
      <w:proofErr w:type="spellStart"/>
      <w:r w:rsidR="00D92D87" w:rsidRPr="00C71D9A">
        <w:t>bw</w:t>
      </w:r>
      <w:proofErr w:type="spellEnd"/>
      <w:r w:rsidR="00D92D87" w:rsidRPr="00C71D9A">
        <w:t xml:space="preserve"> of Hyperpolarized Pyruvate (</w:t>
      </w:r>
      <w:r w:rsidR="00D92D87" w:rsidRPr="00C71D9A">
        <w:rPr>
          <w:position w:val="11"/>
          <w:sz w:val="16"/>
        </w:rPr>
        <w:t>13</w:t>
      </w:r>
      <w:r w:rsidR="00D92D87" w:rsidRPr="00C71D9A">
        <w:t>C) Injection. The safety of this dose has previously been</w:t>
      </w:r>
      <w:r w:rsidR="00D92D87" w:rsidRPr="00C71D9A">
        <w:rPr>
          <w:w w:val="99"/>
        </w:rPr>
        <w:t xml:space="preserve"> </w:t>
      </w:r>
      <w:r w:rsidR="00D92D87" w:rsidRPr="00C71D9A">
        <w:t>demonstrated in clinical studies in healthy adult (18 to 45 years of age) volunteers and in</w:t>
      </w:r>
      <w:r w:rsidR="00752B33" w:rsidRPr="00C71D9A">
        <w:t xml:space="preserve"> </w:t>
      </w:r>
      <w:r w:rsidR="00D92D87" w:rsidRPr="00C71D9A">
        <w:t xml:space="preserve">healthy elderly (age </w:t>
      </w:r>
      <w:r w:rsidR="00D92D87" w:rsidRPr="00C71D9A">
        <w:rPr>
          <w:rFonts w:ascii="Symbol" w:eastAsia="Symbol" w:hAnsi="Symbol" w:cs="Symbol"/>
        </w:rPr>
        <w:t></w:t>
      </w:r>
      <w:r w:rsidR="00D92D87" w:rsidRPr="00C71D9A">
        <w:rPr>
          <w:rFonts w:ascii="Symbol" w:eastAsia="Symbol" w:hAnsi="Symbol" w:cs="Symbol"/>
        </w:rPr>
        <w:t></w:t>
      </w:r>
      <w:r w:rsidR="00D92D87" w:rsidRPr="00C71D9A">
        <w:t>60 years) volunteers.</w:t>
      </w:r>
    </w:p>
    <w:p w14:paraId="7E5240DA" w14:textId="77777777" w:rsidR="00957F89" w:rsidRPr="00C73849" w:rsidRDefault="00957F89" w:rsidP="005D3932">
      <w:pPr>
        <w:rPr>
          <w:rFonts w:ascii="Times New Roman" w:eastAsia="Times New Roman" w:hAnsi="Times New Roman" w:cs="Times New Roman"/>
          <w:sz w:val="24"/>
          <w:szCs w:val="24"/>
        </w:rPr>
      </w:pPr>
    </w:p>
    <w:p w14:paraId="348EF0F1" w14:textId="77777777" w:rsidR="00957F89" w:rsidRPr="00C73849" w:rsidRDefault="00D92D87" w:rsidP="003731FB">
      <w:pPr>
        <w:pStyle w:val="Heading3"/>
        <w:rPr>
          <w:rFonts w:eastAsia="Times New Roman" w:hAnsi="Times New Roman" w:cs="Times New Roman"/>
          <w:szCs w:val="24"/>
        </w:rPr>
      </w:pPr>
      <w:bookmarkStart w:id="68" w:name="_Toc34899964"/>
      <w:bookmarkStart w:id="69" w:name="_Toc33702493"/>
      <w:bookmarkStart w:id="70" w:name="_Toc176276926"/>
      <w:r w:rsidRPr="00C73849">
        <w:t>5.1.4</w:t>
      </w:r>
      <w:r w:rsidRPr="00C73849">
        <w:tab/>
        <w:t>Pharmacodynamic Drug Interactions</w:t>
      </w:r>
      <w:bookmarkEnd w:id="68"/>
      <w:bookmarkEnd w:id="69"/>
      <w:bookmarkEnd w:id="70"/>
    </w:p>
    <w:p w14:paraId="6ABE303B" w14:textId="77777777" w:rsidR="003731FB" w:rsidRDefault="003731FB">
      <w:pPr>
        <w:pStyle w:val="BodyText"/>
      </w:pPr>
    </w:p>
    <w:p w14:paraId="1D4D29BE" w14:textId="77777777" w:rsidR="00957F89" w:rsidRPr="00C73849" w:rsidRDefault="00D92D87">
      <w:pPr>
        <w:pStyle w:val="BodyText"/>
      </w:pPr>
      <w:r w:rsidRPr="00C73849">
        <w:t>No studies have been performed to date.</w:t>
      </w:r>
    </w:p>
    <w:p w14:paraId="34471D7D" w14:textId="77777777" w:rsidR="00957F89" w:rsidRPr="00C73849" w:rsidRDefault="00957F89">
      <w:pPr>
        <w:rPr>
          <w:rFonts w:ascii="Times New Roman" w:eastAsia="Times New Roman" w:hAnsi="Times New Roman" w:cs="Times New Roman"/>
          <w:sz w:val="24"/>
          <w:szCs w:val="24"/>
        </w:rPr>
      </w:pPr>
    </w:p>
    <w:p w14:paraId="2743187B" w14:textId="77777777" w:rsidR="00957F89" w:rsidRPr="00C73849" w:rsidRDefault="00D92D87" w:rsidP="00F670E8">
      <w:pPr>
        <w:pStyle w:val="Heading2"/>
        <w:numPr>
          <w:ilvl w:val="1"/>
          <w:numId w:val="8"/>
        </w:numPr>
        <w:rPr>
          <w:rFonts w:eastAsia="Times New Roman" w:hAnsi="Times New Roman" w:cs="Times New Roman"/>
          <w:szCs w:val="28"/>
        </w:rPr>
      </w:pPr>
      <w:bookmarkStart w:id="71" w:name="_Toc34899965"/>
      <w:bookmarkStart w:id="72" w:name="_Toc33702494"/>
      <w:bookmarkStart w:id="73" w:name="_Toc176276927"/>
      <w:r w:rsidRPr="00C73849">
        <w:t>Pharmacokinetics</w:t>
      </w:r>
      <w:bookmarkEnd w:id="71"/>
      <w:bookmarkEnd w:id="72"/>
      <w:bookmarkEnd w:id="73"/>
    </w:p>
    <w:p w14:paraId="540EF8E1" w14:textId="77777777" w:rsidR="00957F89" w:rsidRPr="00996230" w:rsidRDefault="003731FB" w:rsidP="00996230">
      <w:pPr>
        <w:pStyle w:val="Heading3"/>
      </w:pPr>
      <w:bookmarkStart w:id="74" w:name="_Toc34899966"/>
      <w:bookmarkStart w:id="75" w:name="_Toc33702495"/>
      <w:bookmarkStart w:id="76" w:name="_Toc176276928"/>
      <w:r>
        <w:t>5.2.1</w:t>
      </w:r>
      <w:r>
        <w:tab/>
      </w:r>
      <w:r w:rsidR="00D92D87" w:rsidRPr="00996230">
        <w:t>Brief Summary</w:t>
      </w:r>
      <w:bookmarkEnd w:id="74"/>
      <w:bookmarkEnd w:id="75"/>
      <w:bookmarkEnd w:id="76"/>
    </w:p>
    <w:p w14:paraId="5D6EB38B" w14:textId="77777777" w:rsidR="00957F89" w:rsidRPr="00C73849" w:rsidRDefault="00D92D87" w:rsidP="002131A0">
      <w:pPr>
        <w:pStyle w:val="BodyText"/>
        <w:spacing w:before="200"/>
        <w:ind w:right="151"/>
      </w:pPr>
      <w:r w:rsidRPr="00C73849">
        <w:t>Biodistribution studies with [1-</w:t>
      </w:r>
      <w:r w:rsidRPr="00C73849">
        <w:rPr>
          <w:position w:val="11"/>
          <w:sz w:val="16"/>
          <w:szCs w:val="16"/>
        </w:rPr>
        <w:t>14</w:t>
      </w:r>
      <w:proofErr w:type="gramStart"/>
      <w:r w:rsidRPr="00C73849">
        <w:t>C]pyruvate</w:t>
      </w:r>
      <w:proofErr w:type="gramEnd"/>
      <w:r w:rsidRPr="00C73849">
        <w:t xml:space="preserve"> in rats showed rapid distribution of radioactivity throughout the body following intravenous injection. The radioactivity concentration in blood</w:t>
      </w:r>
      <w:r w:rsidRPr="00C73849">
        <w:rPr>
          <w:w w:val="99"/>
        </w:rPr>
        <w:t xml:space="preserve"> </w:t>
      </w:r>
      <w:r w:rsidRPr="00C73849">
        <w:t xml:space="preserve">corresponded to a total blood recovery of 8.9% </w:t>
      </w:r>
      <w:r w:rsidRPr="00C73849">
        <w:rPr>
          <w:rFonts w:ascii="Symbol" w:eastAsia="Symbol" w:hAnsi="Symbol" w:cs="Symbol"/>
        </w:rPr>
        <w:t></w:t>
      </w:r>
      <w:r w:rsidRPr="00C73849">
        <w:t>1.3% of injected dose (id) at 30 s post-dosing. Hence, more than 90% of the injected radioactivity dose was distributed out of the blood at</w:t>
      </w:r>
      <w:r w:rsidR="009B43A3">
        <w:t xml:space="preserve"> </w:t>
      </w:r>
      <w:r w:rsidRPr="00C73849">
        <w:t>30 s post-dosing. The initial volume of distribution corresponded approximately to that of total</w:t>
      </w:r>
      <w:r w:rsidRPr="00C73849">
        <w:rPr>
          <w:w w:val="99"/>
        </w:rPr>
        <w:t xml:space="preserve"> </w:t>
      </w:r>
      <w:r w:rsidRPr="00C73849">
        <w:t>body water.</w:t>
      </w:r>
    </w:p>
    <w:p w14:paraId="7AEAB33C" w14:textId="77777777" w:rsidR="00957F89" w:rsidRPr="00C73849" w:rsidRDefault="00957F89">
      <w:pPr>
        <w:spacing w:before="2"/>
        <w:rPr>
          <w:rFonts w:ascii="Times New Roman" w:eastAsia="Times New Roman" w:hAnsi="Times New Roman" w:cs="Times New Roman"/>
          <w:sz w:val="21"/>
          <w:szCs w:val="21"/>
        </w:rPr>
      </w:pPr>
    </w:p>
    <w:p w14:paraId="18EAF98A" w14:textId="77777777" w:rsidR="00957F89" w:rsidRPr="00C73849" w:rsidRDefault="00D92D87">
      <w:pPr>
        <w:pStyle w:val="BodyText"/>
        <w:spacing w:line="276" w:lineRule="exact"/>
        <w:ind w:right="311"/>
      </w:pPr>
      <w:r w:rsidRPr="00C73849">
        <w:t>The highest concentration of radioactivity 30 s post-dosing was found in the pancreas. This</w:t>
      </w:r>
      <w:r w:rsidRPr="00C73849">
        <w:rPr>
          <w:w w:val="99"/>
        </w:rPr>
        <w:t xml:space="preserve"> </w:t>
      </w:r>
      <w:r w:rsidRPr="00C73849">
        <w:t>may reflect formation of [1-</w:t>
      </w:r>
      <w:r w:rsidRPr="00C73849">
        <w:rPr>
          <w:position w:val="11"/>
          <w:sz w:val="16"/>
        </w:rPr>
        <w:t>14</w:t>
      </w:r>
      <w:proofErr w:type="gramStart"/>
      <w:r w:rsidRPr="00C73849">
        <w:t>C]oxaloacetate</w:t>
      </w:r>
      <w:proofErr w:type="gramEnd"/>
      <w:r w:rsidRPr="00C73849">
        <w:t xml:space="preserve"> through pyruvate carboxylase in pancreatic islets. Relatively high concentrations were also found in highly perfused tissues such as the liver,</w:t>
      </w:r>
      <w:r w:rsidRPr="00C73849">
        <w:rPr>
          <w:w w:val="99"/>
        </w:rPr>
        <w:t xml:space="preserve"> </w:t>
      </w:r>
      <w:r w:rsidRPr="00C73849">
        <w:t>adrenal glands, heart muscle and the small and large intestine walls.</w:t>
      </w:r>
    </w:p>
    <w:p w14:paraId="0973D69D" w14:textId="77777777" w:rsidR="00957F89" w:rsidRPr="00C73849" w:rsidRDefault="00957F89">
      <w:pPr>
        <w:spacing w:before="7"/>
        <w:rPr>
          <w:rFonts w:ascii="Times New Roman" w:eastAsia="Times New Roman" w:hAnsi="Times New Roman" w:cs="Times New Roman"/>
          <w:sz w:val="20"/>
          <w:szCs w:val="20"/>
        </w:rPr>
      </w:pPr>
    </w:p>
    <w:p w14:paraId="3BFCF058" w14:textId="77777777" w:rsidR="00957F89" w:rsidRPr="00C73849" w:rsidRDefault="00D92D87">
      <w:pPr>
        <w:pStyle w:val="BodyText"/>
        <w:ind w:right="562"/>
      </w:pPr>
      <w:r w:rsidRPr="00C73849">
        <w:t>The lowest concentrations of radioactivity were found in white fat, testes, brain and spinal</w:t>
      </w:r>
      <w:r w:rsidRPr="00C73849">
        <w:rPr>
          <w:w w:val="99"/>
        </w:rPr>
        <w:t xml:space="preserve"> </w:t>
      </w:r>
      <w:r w:rsidRPr="00C73849">
        <w:t>cord. The highest total recovery was found in skeletal muscle and skin.</w:t>
      </w:r>
    </w:p>
    <w:p w14:paraId="719D395B" w14:textId="77777777" w:rsidR="00957F89" w:rsidRPr="00C73849" w:rsidRDefault="00957F89">
      <w:pPr>
        <w:spacing w:before="2"/>
        <w:rPr>
          <w:rFonts w:ascii="Times New Roman" w:eastAsia="Times New Roman" w:hAnsi="Times New Roman" w:cs="Times New Roman"/>
          <w:sz w:val="21"/>
          <w:szCs w:val="21"/>
        </w:rPr>
      </w:pPr>
    </w:p>
    <w:p w14:paraId="37AE4CA6" w14:textId="77777777" w:rsidR="00957F89" w:rsidRPr="00C73849" w:rsidRDefault="00D92D87">
      <w:pPr>
        <w:pStyle w:val="BodyText"/>
        <w:spacing w:line="276" w:lineRule="exact"/>
        <w:ind w:right="311"/>
      </w:pPr>
      <w:r w:rsidRPr="00C73849">
        <w:t xml:space="preserve">The major elimination route was through exhaled air. At 24 h post-dosing, radioactivity corresponding to 56% of id was recovered in exhaled air, </w:t>
      </w:r>
      <w:r w:rsidR="00B42342" w:rsidRPr="00C73849">
        <w:t>because of</w:t>
      </w:r>
      <w:r w:rsidRPr="00C73849">
        <w:t xml:space="preserve"> the formation of </w:t>
      </w:r>
      <w:r w:rsidRPr="00C73849">
        <w:rPr>
          <w:position w:val="11"/>
          <w:sz w:val="16"/>
        </w:rPr>
        <w:t>14</w:t>
      </w:r>
      <w:r w:rsidRPr="00C73849">
        <w:t>CO</w:t>
      </w:r>
      <w:r w:rsidRPr="00C73849">
        <w:rPr>
          <w:position w:val="-2"/>
          <w:sz w:val="16"/>
        </w:rPr>
        <w:t>2</w:t>
      </w:r>
      <w:r w:rsidRPr="00C73849">
        <w:t>. Only minor amounts of radioactivity were excreted in urine and feces (2.1% and 0.26% of id</w:t>
      </w:r>
      <w:r w:rsidRPr="00C73849">
        <w:rPr>
          <w:w w:val="99"/>
        </w:rPr>
        <w:t xml:space="preserve"> </w:t>
      </w:r>
      <w:r w:rsidRPr="00C73849">
        <w:t>respectively, at 24 h post-dosing). The recovery from exhaled air suggest that the majority of the injected [1-</w:t>
      </w:r>
      <w:r w:rsidRPr="00C73849">
        <w:rPr>
          <w:position w:val="11"/>
          <w:sz w:val="16"/>
        </w:rPr>
        <w:t>14</w:t>
      </w:r>
      <w:proofErr w:type="gramStart"/>
      <w:r w:rsidRPr="00C73849">
        <w:t>C]pyruvate</w:t>
      </w:r>
      <w:proofErr w:type="gramEnd"/>
      <w:r w:rsidRPr="00C73849">
        <w:t xml:space="preserve"> enters the citric acid cycle through formation of acetyl-CoA.</w:t>
      </w:r>
    </w:p>
    <w:p w14:paraId="34BF480F" w14:textId="77777777" w:rsidR="00AE6106" w:rsidRPr="00C73849" w:rsidRDefault="00AE6106">
      <w:pPr>
        <w:pStyle w:val="BodyText"/>
        <w:spacing w:before="72" w:line="276" w:lineRule="exact"/>
        <w:ind w:right="343"/>
      </w:pPr>
    </w:p>
    <w:p w14:paraId="293C336E" w14:textId="77777777" w:rsidR="00957F89" w:rsidRPr="00C73849" w:rsidRDefault="00D92D87">
      <w:pPr>
        <w:pStyle w:val="BodyText"/>
        <w:spacing w:before="72" w:line="276" w:lineRule="exact"/>
        <w:ind w:right="343"/>
      </w:pPr>
      <w:r w:rsidRPr="00C73849">
        <w:t>Blood samples collected following intravenous injection of pyruvate in dogs demonstrated</w:t>
      </w:r>
      <w:r w:rsidRPr="00C73849">
        <w:rPr>
          <w:w w:val="99"/>
        </w:rPr>
        <w:t xml:space="preserve"> </w:t>
      </w:r>
      <w:r w:rsidRPr="00C73849">
        <w:t>rapid metabolism of pyruvate to lactate. The systemic exposure, assessed by C</w:t>
      </w:r>
      <w:r w:rsidRPr="00C73849">
        <w:rPr>
          <w:position w:val="-2"/>
          <w:sz w:val="16"/>
        </w:rPr>
        <w:t xml:space="preserve">max </w:t>
      </w:r>
      <w:r w:rsidRPr="00C73849">
        <w:t xml:space="preserve">and AUC, suggested </w:t>
      </w:r>
      <w:r w:rsidRPr="00C73849">
        <w:lastRenderedPageBreak/>
        <w:t>that the exposure to both pyruvate and lactate was proportional to dose. There</w:t>
      </w:r>
      <w:r w:rsidRPr="00C73849">
        <w:rPr>
          <w:w w:val="99"/>
        </w:rPr>
        <w:t xml:space="preserve"> </w:t>
      </w:r>
      <w:r w:rsidRPr="00C73849">
        <w:t>appeared to be lower peak concentrations and more rapid conversion of pyruvate to lactate in</w:t>
      </w:r>
      <w:r w:rsidRPr="00C73849">
        <w:rPr>
          <w:w w:val="99"/>
        </w:rPr>
        <w:t xml:space="preserve"> </w:t>
      </w:r>
      <w:r w:rsidRPr="00C73849">
        <w:t>conscious dogs than in anesthetized dogs.</w:t>
      </w:r>
    </w:p>
    <w:p w14:paraId="058DBD7C" w14:textId="77777777" w:rsidR="00957F89" w:rsidRPr="00C73849" w:rsidRDefault="00957F89">
      <w:pPr>
        <w:spacing w:before="7"/>
        <w:rPr>
          <w:rFonts w:ascii="Times New Roman" w:eastAsia="Times New Roman" w:hAnsi="Times New Roman" w:cs="Times New Roman"/>
          <w:sz w:val="20"/>
          <w:szCs w:val="20"/>
        </w:rPr>
      </w:pPr>
    </w:p>
    <w:p w14:paraId="29AAEC34" w14:textId="77777777" w:rsidR="00957F89" w:rsidRPr="00C73849" w:rsidRDefault="00D92D87">
      <w:pPr>
        <w:pStyle w:val="BodyText"/>
      </w:pPr>
      <w:r w:rsidRPr="00C73849">
        <w:t>The presence of AH111501 in the test item did not alter the pharmacokinetics of pyruvate.</w:t>
      </w:r>
    </w:p>
    <w:p w14:paraId="1D345C89" w14:textId="77777777" w:rsidR="00957F89" w:rsidRPr="00C73849" w:rsidRDefault="00957F89">
      <w:pPr>
        <w:spacing w:before="10"/>
        <w:rPr>
          <w:rFonts w:ascii="Times New Roman" w:eastAsia="Times New Roman" w:hAnsi="Times New Roman" w:cs="Times New Roman"/>
          <w:sz w:val="20"/>
          <w:szCs w:val="20"/>
        </w:rPr>
      </w:pPr>
    </w:p>
    <w:p w14:paraId="7CCEBED8" w14:textId="77777777" w:rsidR="00957F89" w:rsidRPr="00C73849" w:rsidRDefault="00D92D87">
      <w:pPr>
        <w:pStyle w:val="BodyText"/>
        <w:ind w:right="311"/>
      </w:pPr>
      <w:r w:rsidRPr="00C73849">
        <w:t>The general impression from the available pharmacokinetic data is that the rapid distribution</w:t>
      </w:r>
      <w:r w:rsidRPr="00C73849">
        <w:rPr>
          <w:w w:val="99"/>
        </w:rPr>
        <w:t xml:space="preserve"> </w:t>
      </w:r>
      <w:r w:rsidRPr="00C73849">
        <w:t>and conversion of pyruvate to lactate, and the subsequent entry into metabolic pathways, is</w:t>
      </w:r>
      <w:r w:rsidRPr="00C73849">
        <w:rPr>
          <w:w w:val="99"/>
        </w:rPr>
        <w:t xml:space="preserve"> </w:t>
      </w:r>
      <w:r w:rsidRPr="00C73849">
        <w:t>entirely compatible with the intended use of the product.</w:t>
      </w:r>
    </w:p>
    <w:p w14:paraId="227C64D3" w14:textId="77777777" w:rsidR="00957F89" w:rsidRPr="00C73849" w:rsidRDefault="00957F89">
      <w:pPr>
        <w:spacing w:before="10"/>
        <w:rPr>
          <w:rFonts w:ascii="Times New Roman" w:eastAsia="Times New Roman" w:hAnsi="Times New Roman" w:cs="Times New Roman"/>
          <w:sz w:val="20"/>
          <w:szCs w:val="20"/>
        </w:rPr>
      </w:pPr>
    </w:p>
    <w:p w14:paraId="1934ABFA" w14:textId="77777777" w:rsidR="00957F89" w:rsidRPr="00996230" w:rsidRDefault="00693531" w:rsidP="00996230">
      <w:pPr>
        <w:pStyle w:val="Heading3"/>
      </w:pPr>
      <w:bookmarkStart w:id="77" w:name="_Toc34899967"/>
      <w:bookmarkStart w:id="78" w:name="_Toc33702496"/>
      <w:bookmarkStart w:id="79" w:name="_Toc176276929"/>
      <w:r>
        <w:t>5.2.2</w:t>
      </w:r>
      <w:r>
        <w:tab/>
      </w:r>
      <w:r w:rsidR="00D92D87" w:rsidRPr="00996230">
        <w:t>Methods of Analysis</w:t>
      </w:r>
      <w:bookmarkEnd w:id="77"/>
      <w:bookmarkEnd w:id="78"/>
      <w:bookmarkEnd w:id="79"/>
    </w:p>
    <w:p w14:paraId="14B64793" w14:textId="77777777" w:rsidR="00957F89" w:rsidRPr="00C73849" w:rsidRDefault="00957F89">
      <w:pPr>
        <w:spacing w:before="10"/>
        <w:rPr>
          <w:rFonts w:ascii="Times New Roman" w:eastAsia="Times New Roman" w:hAnsi="Times New Roman" w:cs="Times New Roman"/>
          <w:b/>
          <w:bCs/>
          <w:sz w:val="20"/>
          <w:szCs w:val="20"/>
        </w:rPr>
      </w:pPr>
    </w:p>
    <w:p w14:paraId="2FE49D42" w14:textId="77777777" w:rsidR="00957F89" w:rsidRPr="00C73849" w:rsidRDefault="00693531" w:rsidP="003F4FAF">
      <w:pPr>
        <w:pStyle w:val="Heading5"/>
        <w:rPr>
          <w:rFonts w:eastAsia="Times New Roman" w:hAnsi="Times New Roman" w:cs="Times New Roman"/>
          <w:szCs w:val="24"/>
        </w:rPr>
      </w:pPr>
      <w:r>
        <w:t>5.2.2.1</w:t>
      </w:r>
      <w:r>
        <w:tab/>
      </w:r>
      <w:r w:rsidR="00D92D87" w:rsidRPr="00C73849">
        <w:t>M101001: Quantitation of pyruvate and lactate in dog blood by liquid</w:t>
      </w:r>
      <w:r w:rsidR="00AE6106" w:rsidRPr="00C73849">
        <w:t xml:space="preserve"> </w:t>
      </w:r>
      <w:r w:rsidR="00D92D87" w:rsidRPr="00C73849">
        <w:t>chromatography - mass spectrometry</w:t>
      </w:r>
    </w:p>
    <w:p w14:paraId="7071B20F" w14:textId="77777777" w:rsidR="00957F89" w:rsidRPr="00C73849" w:rsidRDefault="00957F89" w:rsidP="005D3932">
      <w:pPr>
        <w:spacing w:before="10"/>
        <w:rPr>
          <w:rFonts w:ascii="Times New Roman" w:eastAsia="Times New Roman" w:hAnsi="Times New Roman" w:cs="Times New Roman"/>
          <w:b/>
          <w:bCs/>
          <w:sz w:val="20"/>
          <w:szCs w:val="20"/>
        </w:rPr>
      </w:pPr>
    </w:p>
    <w:p w14:paraId="54C8D56C" w14:textId="77777777" w:rsidR="00957F89" w:rsidRPr="00C73849" w:rsidRDefault="00D92D87" w:rsidP="005D3932">
      <w:pPr>
        <w:pStyle w:val="BodyText"/>
        <w:spacing w:line="234" w:lineRule="auto"/>
        <w:ind w:right="151"/>
      </w:pPr>
      <w:r w:rsidRPr="00C73849">
        <w:t>A liquid chromatography-mass spectrometry (LC-MS) method used for quantitation of [1</w:t>
      </w:r>
      <w:r w:rsidRPr="00C73849">
        <w:rPr>
          <w:rFonts w:ascii="Symbol" w:eastAsia="Symbol" w:hAnsi="Symbol" w:cs="Symbol"/>
        </w:rPr>
        <w:t></w:t>
      </w:r>
      <w:r w:rsidRPr="00C73849">
        <w:rPr>
          <w:position w:val="11"/>
          <w:sz w:val="16"/>
          <w:szCs w:val="16"/>
        </w:rPr>
        <w:t>13</w:t>
      </w:r>
      <w:proofErr w:type="gramStart"/>
      <w:r w:rsidRPr="00C73849">
        <w:t>C]pyruvate</w:t>
      </w:r>
      <w:proofErr w:type="gramEnd"/>
      <w:r w:rsidRPr="00C73849">
        <w:t xml:space="preserve"> and [1-</w:t>
      </w:r>
      <w:r w:rsidRPr="00C73849">
        <w:rPr>
          <w:position w:val="11"/>
          <w:sz w:val="16"/>
          <w:szCs w:val="16"/>
        </w:rPr>
        <w:t>13</w:t>
      </w:r>
      <w:r w:rsidRPr="00C73849">
        <w:t>C]lactate in dog blood samples was successfully developed and</w:t>
      </w:r>
      <w:r w:rsidRPr="00C73849">
        <w:rPr>
          <w:w w:val="99"/>
        </w:rPr>
        <w:t xml:space="preserve"> </w:t>
      </w:r>
      <w:r w:rsidRPr="00C73849">
        <w:t>validated (M101001 and V101001, respectively). The method has been used for analysis of samples collected in toxicology and safety pharmacology studies.</w:t>
      </w:r>
    </w:p>
    <w:p w14:paraId="37B06055" w14:textId="77777777" w:rsidR="00957F89" w:rsidRPr="00C73849" w:rsidRDefault="00957F89" w:rsidP="005D3932">
      <w:pPr>
        <w:spacing w:before="7"/>
        <w:rPr>
          <w:rFonts w:ascii="Times New Roman" w:eastAsia="Times New Roman" w:hAnsi="Times New Roman" w:cs="Times New Roman"/>
          <w:sz w:val="21"/>
          <w:szCs w:val="21"/>
        </w:rPr>
      </w:pPr>
    </w:p>
    <w:p w14:paraId="046C7D64" w14:textId="77777777" w:rsidR="00957F89" w:rsidRPr="00C73849" w:rsidRDefault="00D92D87" w:rsidP="005D3932">
      <w:pPr>
        <w:pStyle w:val="BodyText"/>
        <w:spacing w:line="232" w:lineRule="auto"/>
        <w:ind w:right="311"/>
      </w:pPr>
      <w:r w:rsidRPr="00C73849">
        <w:t>Blood samples were collected using vacuum tubes containing dry heparin, and 200 µl blood</w:t>
      </w:r>
      <w:r w:rsidRPr="00C73849">
        <w:rPr>
          <w:w w:val="99"/>
        </w:rPr>
        <w:t xml:space="preserve"> </w:t>
      </w:r>
      <w:r w:rsidRPr="00C73849">
        <w:t>immediately transferred to weighed centrifuge tubes containing 900 µl methanol and 20 µl internal standards ([</w:t>
      </w:r>
      <w:r w:rsidRPr="00C73849">
        <w:rPr>
          <w:position w:val="11"/>
          <w:sz w:val="16"/>
          <w:szCs w:val="16"/>
        </w:rPr>
        <w:t>13</w:t>
      </w:r>
      <w:r w:rsidRPr="00C73849">
        <w:t>C</w:t>
      </w:r>
      <w:proofErr w:type="gramStart"/>
      <w:r w:rsidRPr="00C73849">
        <w:rPr>
          <w:position w:val="-2"/>
          <w:sz w:val="16"/>
          <w:szCs w:val="16"/>
        </w:rPr>
        <w:t>3</w:t>
      </w:r>
      <w:r w:rsidRPr="00C73849">
        <w:t>]pyruvate</w:t>
      </w:r>
      <w:proofErr w:type="gramEnd"/>
      <w:r w:rsidRPr="00C73849">
        <w:t xml:space="preserve"> and [</w:t>
      </w:r>
      <w:r w:rsidRPr="00C73849">
        <w:rPr>
          <w:position w:val="11"/>
          <w:sz w:val="16"/>
          <w:szCs w:val="16"/>
        </w:rPr>
        <w:t>13</w:t>
      </w:r>
      <w:r w:rsidRPr="00C73849">
        <w:t>C</w:t>
      </w:r>
      <w:r w:rsidRPr="00C73849">
        <w:rPr>
          <w:position w:val="-2"/>
          <w:sz w:val="16"/>
          <w:szCs w:val="16"/>
        </w:rPr>
        <w:t>3</w:t>
      </w:r>
      <w:r w:rsidRPr="00C73849">
        <w:t>]lactate). After mixing by inversion and weighing, the tubes were kept on ice until centrifugation (less than 30 min after collection of blood) at</w:t>
      </w:r>
      <w:r w:rsidRPr="00C73849">
        <w:rPr>
          <w:w w:val="99"/>
        </w:rPr>
        <w:t xml:space="preserve"> </w:t>
      </w:r>
      <w:r w:rsidRPr="00C73849">
        <w:t>15000g at 4</w:t>
      </w:r>
      <w:r w:rsidRPr="00C73849">
        <w:rPr>
          <w:rFonts w:ascii="Symbol" w:eastAsia="Symbol" w:hAnsi="Symbol" w:cs="Symbol"/>
        </w:rPr>
        <w:t></w:t>
      </w:r>
      <w:r w:rsidRPr="00C73849">
        <w:t>C for 15 min. The supernatant was then transferred to a new sample vial and</w:t>
      </w:r>
      <w:r w:rsidRPr="00C73849">
        <w:rPr>
          <w:w w:val="99"/>
        </w:rPr>
        <w:t xml:space="preserve"> </w:t>
      </w:r>
      <w:r w:rsidRPr="00C73849">
        <w:t>stored below -15</w:t>
      </w:r>
      <w:r w:rsidRPr="00C73849">
        <w:rPr>
          <w:rFonts w:ascii="Symbol" w:eastAsia="Symbol" w:hAnsi="Symbol" w:cs="Symbol"/>
        </w:rPr>
        <w:t></w:t>
      </w:r>
      <w:r w:rsidRPr="00C73849">
        <w:t>C until analysis.</w:t>
      </w:r>
    </w:p>
    <w:p w14:paraId="51131701" w14:textId="77777777" w:rsidR="00957F89" w:rsidRPr="00C73849" w:rsidRDefault="00957F89" w:rsidP="005D3932">
      <w:pPr>
        <w:rPr>
          <w:rFonts w:ascii="Times New Roman" w:eastAsia="Times New Roman" w:hAnsi="Times New Roman" w:cs="Times New Roman"/>
          <w:sz w:val="21"/>
          <w:szCs w:val="21"/>
        </w:rPr>
      </w:pPr>
    </w:p>
    <w:p w14:paraId="64666B9C" w14:textId="77777777" w:rsidR="00957F89" w:rsidRPr="00C73849" w:rsidRDefault="00D92D87" w:rsidP="005D3932">
      <w:pPr>
        <w:pStyle w:val="BodyText"/>
        <w:spacing w:line="276" w:lineRule="exact"/>
        <w:ind w:right="248"/>
      </w:pPr>
      <w:r w:rsidRPr="00C73849">
        <w:t>The calibration range of the assay was approximately 4.5 to 4500 µM for pyruvate and 9 to</w:t>
      </w:r>
      <w:r w:rsidRPr="00C73849">
        <w:rPr>
          <w:w w:val="99"/>
        </w:rPr>
        <w:t xml:space="preserve"> </w:t>
      </w:r>
      <w:r w:rsidRPr="00C73849">
        <w:t>9000 µM for lactate, and the calibration curves were fitted to a non-linear equation:</w:t>
      </w:r>
      <w:r w:rsidRPr="00C73849">
        <w:rPr>
          <w:w w:val="99"/>
        </w:rPr>
        <w:t xml:space="preserve"> </w:t>
      </w:r>
      <w:r w:rsidRPr="00C73849">
        <w:rPr>
          <w:i/>
        </w:rPr>
        <w:t>y=</w:t>
      </w:r>
      <w:proofErr w:type="spellStart"/>
      <w:r w:rsidRPr="00C73849">
        <w:rPr>
          <w:i/>
        </w:rPr>
        <w:t>a+bx+cx</w:t>
      </w:r>
      <w:proofErr w:type="spellEnd"/>
      <w:r w:rsidRPr="00C73849">
        <w:rPr>
          <w:i/>
          <w:position w:val="11"/>
          <w:sz w:val="16"/>
        </w:rPr>
        <w:t xml:space="preserve">2 </w:t>
      </w:r>
      <w:r w:rsidRPr="00C73849">
        <w:t xml:space="preserve">and weighted with a weighting factor of </w:t>
      </w:r>
      <w:r w:rsidRPr="00C73849">
        <w:rPr>
          <w:i/>
        </w:rPr>
        <w:t>1/y</w:t>
      </w:r>
      <w:r w:rsidRPr="00C73849">
        <w:rPr>
          <w:i/>
          <w:position w:val="11"/>
          <w:sz w:val="16"/>
        </w:rPr>
        <w:t>2</w:t>
      </w:r>
      <w:r w:rsidRPr="00C73849">
        <w:t>. A good fit of the calibration points</w:t>
      </w:r>
      <w:r w:rsidRPr="00C73849">
        <w:rPr>
          <w:w w:val="99"/>
        </w:rPr>
        <w:t xml:space="preserve"> </w:t>
      </w:r>
      <w:r w:rsidRPr="00C73849">
        <w:t>to the calibration curves was obtained. The concentrations of pyruvate and lactate in the</w:t>
      </w:r>
      <w:r w:rsidRPr="00C73849">
        <w:rPr>
          <w:w w:val="99"/>
        </w:rPr>
        <w:t xml:space="preserve"> </w:t>
      </w:r>
      <w:r w:rsidRPr="00C73849">
        <w:t>standard with lowest amount of pyruvate and lactate (CS1) were defined as the analytical lower limits of quantitation (LLOQ).</w:t>
      </w:r>
    </w:p>
    <w:p w14:paraId="483B2F3D" w14:textId="77777777" w:rsidR="00957F89" w:rsidRPr="00C73849" w:rsidRDefault="00957F89" w:rsidP="005D3932">
      <w:pPr>
        <w:spacing w:before="10"/>
        <w:rPr>
          <w:rFonts w:ascii="Times New Roman" w:eastAsia="Times New Roman" w:hAnsi="Times New Roman" w:cs="Times New Roman"/>
          <w:sz w:val="20"/>
          <w:szCs w:val="20"/>
        </w:rPr>
      </w:pPr>
    </w:p>
    <w:p w14:paraId="219022C2" w14:textId="77777777" w:rsidR="00957F89" w:rsidRPr="00C73849" w:rsidRDefault="00D92D87" w:rsidP="005D3932">
      <w:pPr>
        <w:pStyle w:val="BodyText"/>
        <w:spacing w:line="276" w:lineRule="exact"/>
        <w:ind w:right="311"/>
      </w:pPr>
      <w:r w:rsidRPr="00C73849">
        <w:t>The total precision of the method (RSD</w:t>
      </w:r>
      <w:r w:rsidRPr="00C73849">
        <w:rPr>
          <w:position w:val="-2"/>
          <w:sz w:val="16"/>
        </w:rPr>
        <w:t>t</w:t>
      </w:r>
      <w:r w:rsidRPr="00C73849">
        <w:t>) was 9.1%, 3.1% and 8.3% for pyruvate and 5.7%, 2.4% and 3.3% for lactate, for the low, medium and high concentration quality control (QC) samples, respectively, which was within the acceptance criteria (15% RSD). The accuracy of the method (RE) was -1.9%, 2.3% and -2.4% for pyruvate and 2.0%, 6.2% and 4.1% for lactate, for the low, medium and high concentration QC samples, respectively, which was within the acceptance criteria (15% RE).</w:t>
      </w:r>
    </w:p>
    <w:p w14:paraId="31924006" w14:textId="77777777" w:rsidR="00957F89" w:rsidRPr="00C73849" w:rsidRDefault="00957F89" w:rsidP="005D3932">
      <w:pPr>
        <w:spacing w:before="7"/>
        <w:rPr>
          <w:rFonts w:ascii="Times New Roman" w:eastAsia="Times New Roman" w:hAnsi="Times New Roman" w:cs="Times New Roman"/>
          <w:sz w:val="20"/>
          <w:szCs w:val="20"/>
        </w:rPr>
      </w:pPr>
    </w:p>
    <w:p w14:paraId="52AEEDF6" w14:textId="77777777" w:rsidR="00957F89" w:rsidRPr="00C73849" w:rsidRDefault="00D92D87" w:rsidP="005D3932">
      <w:pPr>
        <w:pStyle w:val="BodyText"/>
        <w:spacing w:before="69"/>
        <w:ind w:right="151"/>
      </w:pPr>
      <w:r w:rsidRPr="00C73849">
        <w:t>To determine recovery of the method three concentration levels of standard were diluted in</w:t>
      </w:r>
      <w:r w:rsidRPr="00C73849">
        <w:rPr>
          <w:w w:val="99"/>
        </w:rPr>
        <w:t xml:space="preserve"> </w:t>
      </w:r>
      <w:r w:rsidRPr="00C73849">
        <w:t>whole blood from dog and in protein-free supernatant of methanol treated whole blood from</w:t>
      </w:r>
      <w:r w:rsidR="00AE6106" w:rsidRPr="00C73849">
        <w:t xml:space="preserve"> </w:t>
      </w:r>
      <w:r w:rsidRPr="00C73849">
        <w:t>dog. The recovery in whole blood compared to protein-free supernatant was 93%, 115% and</w:t>
      </w:r>
      <w:r w:rsidRPr="00C73849">
        <w:rPr>
          <w:w w:val="99"/>
        </w:rPr>
        <w:t xml:space="preserve"> </w:t>
      </w:r>
      <w:r w:rsidRPr="00C73849">
        <w:t>110% for pyruvate and 70%, 111% and 104% for lactate, for the low, medium and high concentration recovery blood (RB) samples, respectively. The precision at each concentration</w:t>
      </w:r>
      <w:r w:rsidRPr="00C73849">
        <w:rPr>
          <w:w w:val="99"/>
        </w:rPr>
        <w:t xml:space="preserve"> </w:t>
      </w:r>
      <w:r w:rsidRPr="00C73849">
        <w:t>level of the recovery blood samples was within the acceptable RSD, except for the low lactate</w:t>
      </w:r>
      <w:r w:rsidRPr="00C73849">
        <w:rPr>
          <w:w w:val="99"/>
        </w:rPr>
        <w:t xml:space="preserve"> </w:t>
      </w:r>
      <w:r w:rsidRPr="00C73849">
        <w:t>recovery sample, which is discussed in the validation report (V101001).</w:t>
      </w:r>
    </w:p>
    <w:p w14:paraId="1BEBD0A9" w14:textId="77777777" w:rsidR="00957F89" w:rsidRPr="00C73849" w:rsidRDefault="00957F89" w:rsidP="005D3932">
      <w:pPr>
        <w:spacing w:before="10"/>
        <w:rPr>
          <w:rFonts w:ascii="Times New Roman" w:eastAsia="Times New Roman" w:hAnsi="Times New Roman" w:cs="Times New Roman"/>
          <w:sz w:val="20"/>
          <w:szCs w:val="20"/>
        </w:rPr>
      </w:pPr>
    </w:p>
    <w:p w14:paraId="40B09226" w14:textId="77777777" w:rsidR="00957F89" w:rsidRPr="00C73849" w:rsidRDefault="00D92D87" w:rsidP="005D3932">
      <w:pPr>
        <w:pStyle w:val="BodyText"/>
        <w:ind w:right="157"/>
      </w:pPr>
      <w:r w:rsidRPr="00C73849">
        <w:lastRenderedPageBreak/>
        <w:t>Furthermore, pyruvate and lactate were considered adequately stable in protein-free</w:t>
      </w:r>
      <w:r w:rsidR="001E1911">
        <w:rPr>
          <w:w w:val="99"/>
        </w:rPr>
        <w:t xml:space="preserve"> </w:t>
      </w:r>
      <w:r w:rsidRPr="00C73849">
        <w:t>supernatant during 3 freeze/thaw cycles, when stored in an autosampler for 30-40 h and when stored for up to seven weeks below -15°C. Pyruvate and lactate were also stable in protein-free</w:t>
      </w:r>
      <w:r w:rsidRPr="00C73849">
        <w:rPr>
          <w:w w:val="99"/>
        </w:rPr>
        <w:t xml:space="preserve"> </w:t>
      </w:r>
      <w:r w:rsidRPr="00C73849">
        <w:t>supernatant after derivatization, when stored at 2-8°C for 7 days.</w:t>
      </w:r>
    </w:p>
    <w:p w14:paraId="50E3A2D5" w14:textId="77777777" w:rsidR="00957F89" w:rsidRPr="00C73849" w:rsidRDefault="00957F89" w:rsidP="005D3932">
      <w:pPr>
        <w:spacing w:before="2"/>
        <w:rPr>
          <w:rFonts w:ascii="Times New Roman" w:eastAsia="Times New Roman" w:hAnsi="Times New Roman" w:cs="Times New Roman"/>
          <w:sz w:val="21"/>
          <w:szCs w:val="21"/>
        </w:rPr>
      </w:pPr>
    </w:p>
    <w:p w14:paraId="47EA95DA" w14:textId="77777777" w:rsidR="00957F89" w:rsidRDefault="00D92D87" w:rsidP="005D3932">
      <w:pPr>
        <w:pStyle w:val="BodyText"/>
        <w:spacing w:line="276" w:lineRule="exact"/>
        <w:ind w:right="151"/>
      </w:pPr>
      <w:r w:rsidRPr="00C73849">
        <w:t>After an overall evaluation of the results, it was concluded that the method was suitable for analysis of both pyruvate and [1-</w:t>
      </w:r>
      <w:r w:rsidRPr="00C73849">
        <w:rPr>
          <w:position w:val="11"/>
          <w:sz w:val="16"/>
        </w:rPr>
        <w:t>13</w:t>
      </w:r>
      <w:proofErr w:type="gramStart"/>
      <w:r w:rsidRPr="00C73849">
        <w:t>C]pyruvate</w:t>
      </w:r>
      <w:proofErr w:type="gramEnd"/>
      <w:r w:rsidRPr="00C73849">
        <w:t>, and both lactate and [1-</w:t>
      </w:r>
      <w:r w:rsidRPr="00C73849">
        <w:rPr>
          <w:position w:val="11"/>
          <w:sz w:val="16"/>
        </w:rPr>
        <w:t>13</w:t>
      </w:r>
      <w:r w:rsidRPr="00C73849">
        <w:t>C]lactate in dog blood</w:t>
      </w:r>
      <w:r w:rsidRPr="00C73849">
        <w:rPr>
          <w:w w:val="99"/>
        </w:rPr>
        <w:t xml:space="preserve"> </w:t>
      </w:r>
      <w:r w:rsidRPr="00C73849">
        <w:t>samples following intravenous administration of pyruvate or [1-</w:t>
      </w:r>
      <w:r w:rsidRPr="00C73849">
        <w:rPr>
          <w:position w:val="11"/>
          <w:sz w:val="16"/>
        </w:rPr>
        <w:t>13</w:t>
      </w:r>
      <w:r w:rsidRPr="00C73849">
        <w:t>C]pyruvate.</w:t>
      </w:r>
    </w:p>
    <w:p w14:paraId="0D83A92F" w14:textId="77777777" w:rsidR="008D57ED" w:rsidRPr="00C73849" w:rsidRDefault="008D57ED" w:rsidP="005D3932">
      <w:pPr>
        <w:pStyle w:val="BodyText"/>
        <w:spacing w:line="276" w:lineRule="exact"/>
        <w:ind w:right="151"/>
      </w:pPr>
    </w:p>
    <w:p w14:paraId="0EFE3383" w14:textId="77777777" w:rsidR="00957F89" w:rsidRPr="00C73849" w:rsidRDefault="00693531" w:rsidP="003F4FAF">
      <w:pPr>
        <w:pStyle w:val="Heading5"/>
        <w:rPr>
          <w:rFonts w:eastAsia="Times New Roman" w:hAnsi="Times New Roman" w:cs="Times New Roman"/>
          <w:szCs w:val="24"/>
        </w:rPr>
      </w:pPr>
      <w:r>
        <w:t>5.2.2.2</w:t>
      </w:r>
      <w:r>
        <w:tab/>
      </w:r>
      <w:r w:rsidR="00D92D87" w:rsidRPr="00C73849">
        <w:t>M101003: Quantitation of pyruvate in buffer solution by HPLC and UV detection</w:t>
      </w:r>
    </w:p>
    <w:p w14:paraId="490AEE59" w14:textId="77777777" w:rsidR="00957F89" w:rsidRPr="00C73849" w:rsidRDefault="00957F89" w:rsidP="005D3932">
      <w:pPr>
        <w:spacing w:before="5"/>
        <w:rPr>
          <w:rFonts w:ascii="Times New Roman" w:eastAsia="Times New Roman" w:hAnsi="Times New Roman" w:cs="Times New Roman"/>
          <w:b/>
          <w:bCs/>
          <w:sz w:val="20"/>
          <w:szCs w:val="20"/>
        </w:rPr>
      </w:pPr>
    </w:p>
    <w:p w14:paraId="4366AA4B" w14:textId="77777777" w:rsidR="00957F89" w:rsidRPr="00C73849" w:rsidRDefault="00D92D87" w:rsidP="005D3932">
      <w:pPr>
        <w:pStyle w:val="BodyText"/>
        <w:ind w:right="151"/>
      </w:pPr>
      <w:r w:rsidRPr="00C73849">
        <w:t>A method for quantitation of pyruvate in HEPES buffer using high performance liquid</w:t>
      </w:r>
      <w:r w:rsidRPr="00C73849">
        <w:rPr>
          <w:w w:val="99"/>
        </w:rPr>
        <w:t xml:space="preserve"> </w:t>
      </w:r>
      <w:r w:rsidRPr="00C73849">
        <w:t xml:space="preserve">chromatography (HPLC) and ultraviolet (UV) detection was developed. The method was used for analysis of samples collected as part of the </w:t>
      </w:r>
      <w:proofErr w:type="spellStart"/>
      <w:r w:rsidRPr="00C73849">
        <w:t>hERG</w:t>
      </w:r>
      <w:proofErr w:type="spellEnd"/>
      <w:r w:rsidRPr="00C73849">
        <w:t xml:space="preserve"> assay.</w:t>
      </w:r>
    </w:p>
    <w:p w14:paraId="549FD08B" w14:textId="77777777" w:rsidR="00957F89" w:rsidRPr="00C73849" w:rsidRDefault="00957F89" w:rsidP="005D3932">
      <w:pPr>
        <w:spacing w:before="10"/>
        <w:rPr>
          <w:rFonts w:ascii="Times New Roman" w:eastAsia="Times New Roman" w:hAnsi="Times New Roman" w:cs="Times New Roman"/>
          <w:sz w:val="20"/>
          <w:szCs w:val="20"/>
        </w:rPr>
      </w:pPr>
    </w:p>
    <w:p w14:paraId="12104169" w14:textId="74AC8242" w:rsidR="00957F89" w:rsidRPr="00C73849" w:rsidRDefault="00D92D87" w:rsidP="005D3932">
      <w:pPr>
        <w:pStyle w:val="BodyText"/>
        <w:ind w:right="151"/>
      </w:pPr>
      <w:r w:rsidRPr="00C73849">
        <w:t>Representative samples of the test article of sodium pyruvate collected: A) immediately after dose test article in HEPES buffer; B) from the perfusion bath before wash-in (to detect carry over); C) from the perfusion bath at the end of the experiment (to allow determination of the</w:t>
      </w:r>
      <w:r w:rsidRPr="00C73849">
        <w:rPr>
          <w:w w:val="99"/>
        </w:rPr>
        <w:t xml:space="preserve"> </w:t>
      </w:r>
      <w:r w:rsidRPr="00C73849">
        <w:t>exposure level); and D) at the end of the experimental day were analyzed. All samples were</w:t>
      </w:r>
      <w:r w:rsidRPr="00C73849">
        <w:rPr>
          <w:w w:val="99"/>
        </w:rPr>
        <w:t xml:space="preserve"> </w:t>
      </w:r>
      <w:r w:rsidRPr="00C73849">
        <w:t>refrigerated (3-9°C) until analyzed.</w:t>
      </w:r>
    </w:p>
    <w:p w14:paraId="14AA159D" w14:textId="77777777" w:rsidR="00957F89" w:rsidRPr="00C73849" w:rsidRDefault="00957F89" w:rsidP="005D3932">
      <w:pPr>
        <w:spacing w:before="6"/>
        <w:rPr>
          <w:rFonts w:ascii="Times New Roman" w:eastAsia="Times New Roman" w:hAnsi="Times New Roman" w:cs="Times New Roman"/>
          <w:sz w:val="21"/>
          <w:szCs w:val="21"/>
        </w:rPr>
      </w:pPr>
    </w:p>
    <w:p w14:paraId="5C0BF1EA" w14:textId="77777777" w:rsidR="00957F89" w:rsidRPr="00C73849" w:rsidRDefault="00D92D87" w:rsidP="005D3932">
      <w:pPr>
        <w:pStyle w:val="BodyText"/>
        <w:spacing w:line="231" w:lineRule="auto"/>
        <w:ind w:right="311"/>
      </w:pPr>
      <w:r w:rsidRPr="00C73849">
        <w:t>The calibration standards (CS) were made from sodium pyruvate diluted in a buffer solution in</w:t>
      </w:r>
      <w:r w:rsidRPr="00C73849">
        <w:rPr>
          <w:w w:val="99"/>
        </w:rPr>
        <w:t xml:space="preserve"> </w:t>
      </w:r>
      <w:r w:rsidRPr="00C73849">
        <w:t>the range 0.5 to 10 mg/ml. A calibration curve was made by plotting the integrated peak area</w:t>
      </w:r>
      <w:r w:rsidRPr="00C73849">
        <w:rPr>
          <w:w w:val="99"/>
        </w:rPr>
        <w:t xml:space="preserve"> </w:t>
      </w:r>
      <w:r w:rsidRPr="00C73849">
        <w:t xml:space="preserve">of pyruvate against the nominal concentration of sodium pyruvate. The calibration curve was fitted to a non-linear equation: </w:t>
      </w:r>
      <w:r w:rsidRPr="00C73849">
        <w:rPr>
          <w:i/>
        </w:rPr>
        <w:t>y=</w:t>
      </w:r>
      <w:proofErr w:type="spellStart"/>
      <w:r w:rsidRPr="00C73849">
        <w:rPr>
          <w:i/>
        </w:rPr>
        <w:t>a+bx+cx</w:t>
      </w:r>
      <w:proofErr w:type="spellEnd"/>
      <w:r w:rsidRPr="00C73849">
        <w:rPr>
          <w:i/>
          <w:position w:val="11"/>
          <w:sz w:val="16"/>
        </w:rPr>
        <w:t xml:space="preserve">2 </w:t>
      </w:r>
      <w:r w:rsidRPr="00C73849">
        <w:t xml:space="preserve">and weighted with a weighting factor of </w:t>
      </w:r>
      <w:r w:rsidRPr="00C73849">
        <w:rPr>
          <w:i/>
        </w:rPr>
        <w:t>1/y</w:t>
      </w:r>
      <w:r w:rsidRPr="00C73849">
        <w:rPr>
          <w:i/>
          <w:position w:val="11"/>
          <w:sz w:val="16"/>
        </w:rPr>
        <w:t>2</w:t>
      </w:r>
      <w:r w:rsidRPr="00C73849">
        <w:rPr>
          <w:i/>
        </w:rPr>
        <w:t xml:space="preserve">. </w:t>
      </w:r>
      <w:r w:rsidRPr="00C73849">
        <w:t>The</w:t>
      </w:r>
      <w:r w:rsidRPr="00C73849">
        <w:rPr>
          <w:w w:val="99"/>
        </w:rPr>
        <w:t xml:space="preserve"> </w:t>
      </w:r>
      <w:r w:rsidRPr="00C73849">
        <w:t>concentration of pyruvate in the samples was determined by integrating the pyruvate peak for</w:t>
      </w:r>
      <w:r w:rsidR="009B43A3">
        <w:t xml:space="preserve"> </w:t>
      </w:r>
      <w:r w:rsidRPr="00C73849">
        <w:t>the samples and correlating this peak area to amount pyruvate using the calibration curve.</w:t>
      </w:r>
    </w:p>
    <w:p w14:paraId="514C7B98" w14:textId="77777777" w:rsidR="00957F89" w:rsidRPr="00C73849" w:rsidRDefault="00957F89" w:rsidP="005D3932">
      <w:pPr>
        <w:spacing w:before="10"/>
        <w:rPr>
          <w:rFonts w:ascii="Times New Roman" w:eastAsia="Times New Roman" w:hAnsi="Times New Roman" w:cs="Times New Roman"/>
          <w:sz w:val="20"/>
          <w:szCs w:val="20"/>
        </w:rPr>
      </w:pPr>
    </w:p>
    <w:p w14:paraId="7E2E4B09" w14:textId="77777777" w:rsidR="00957F89" w:rsidRPr="00C73849" w:rsidRDefault="00D92D87" w:rsidP="005D3932">
      <w:pPr>
        <w:pStyle w:val="BodyText"/>
        <w:ind w:right="248"/>
      </w:pPr>
      <w:r w:rsidRPr="00C73849">
        <w:t>At least four of the five calibration standards had to be within ±15% of their respective nominal</w:t>
      </w:r>
      <w:r w:rsidRPr="00C73849">
        <w:rPr>
          <w:w w:val="99"/>
        </w:rPr>
        <w:t xml:space="preserve"> </w:t>
      </w:r>
      <w:r w:rsidRPr="00C73849">
        <w:t>value. A calibration standard that failed the acceptance criteria could be discarded provided it</w:t>
      </w:r>
      <w:r w:rsidRPr="00C73849">
        <w:rPr>
          <w:w w:val="99"/>
        </w:rPr>
        <w:t xml:space="preserve"> </w:t>
      </w:r>
      <w:r w:rsidRPr="00C73849">
        <w:t>did not change the calibration model. If the calibration standards failed to meet the</w:t>
      </w:r>
      <w:r w:rsidRPr="00C73849">
        <w:rPr>
          <w:w w:val="99"/>
        </w:rPr>
        <w:t xml:space="preserve"> </w:t>
      </w:r>
      <w:r w:rsidRPr="00C73849">
        <w:t>requirements, the results from the sequence were rejected.</w:t>
      </w:r>
    </w:p>
    <w:p w14:paraId="510189C9" w14:textId="77777777" w:rsidR="00957F89" w:rsidRPr="00C73849" w:rsidRDefault="00957F89" w:rsidP="005D3932">
      <w:pPr>
        <w:spacing w:before="10"/>
        <w:rPr>
          <w:rFonts w:ascii="Times New Roman" w:eastAsia="Times New Roman" w:hAnsi="Times New Roman" w:cs="Times New Roman"/>
          <w:sz w:val="20"/>
          <w:szCs w:val="20"/>
        </w:rPr>
      </w:pPr>
    </w:p>
    <w:p w14:paraId="430FC50D" w14:textId="77777777" w:rsidR="00957F89" w:rsidRPr="00C73849" w:rsidRDefault="00D92D87" w:rsidP="005D3932">
      <w:pPr>
        <w:pStyle w:val="BodyText"/>
        <w:ind w:right="151"/>
      </w:pPr>
      <w:r w:rsidRPr="00C73849">
        <w:t>QC samples (at least in duplicate) at two concentrations were incorporated in each sequence of analysis. At least 67% of the QC samples had to be within ±15% of their respective nominal</w:t>
      </w:r>
      <w:r w:rsidRPr="00C73849">
        <w:rPr>
          <w:w w:val="99"/>
        </w:rPr>
        <w:t xml:space="preserve"> </w:t>
      </w:r>
      <w:r w:rsidRPr="00C73849">
        <w:t>value. If the QC samples failed to meet the requirements, the results from the sequence were</w:t>
      </w:r>
      <w:r w:rsidRPr="00C73849">
        <w:rPr>
          <w:w w:val="99"/>
        </w:rPr>
        <w:t xml:space="preserve"> </w:t>
      </w:r>
      <w:r w:rsidRPr="00C73849">
        <w:t>rejected.</w:t>
      </w:r>
    </w:p>
    <w:p w14:paraId="4F07662E" w14:textId="77777777" w:rsidR="00957F89" w:rsidRPr="00C73849" w:rsidRDefault="00957F89" w:rsidP="005D3932">
      <w:pPr>
        <w:rPr>
          <w:rFonts w:ascii="Times New Roman" w:eastAsia="Times New Roman" w:hAnsi="Times New Roman" w:cs="Times New Roman"/>
          <w:sz w:val="20"/>
          <w:szCs w:val="20"/>
        </w:rPr>
      </w:pPr>
    </w:p>
    <w:p w14:paraId="69E7C01C" w14:textId="77777777" w:rsidR="00957F89" w:rsidRPr="00C73849" w:rsidRDefault="00693531" w:rsidP="00996230">
      <w:pPr>
        <w:pStyle w:val="Heading3"/>
        <w:rPr>
          <w:rFonts w:eastAsia="Times New Roman" w:hAnsi="Times New Roman" w:cs="Times New Roman"/>
          <w:szCs w:val="24"/>
        </w:rPr>
      </w:pPr>
      <w:bookmarkStart w:id="80" w:name="_Toc34899968"/>
      <w:bookmarkStart w:id="81" w:name="_Toc33702497"/>
      <w:bookmarkStart w:id="82" w:name="_Toc176276930"/>
      <w:r>
        <w:t>5.2.3</w:t>
      </w:r>
      <w:r>
        <w:tab/>
      </w:r>
      <w:r w:rsidR="00D92D87" w:rsidRPr="00C73849">
        <w:t>Absorption</w:t>
      </w:r>
      <w:bookmarkEnd w:id="80"/>
      <w:bookmarkEnd w:id="81"/>
      <w:bookmarkEnd w:id="82"/>
    </w:p>
    <w:p w14:paraId="7AC1E45C" w14:textId="77777777" w:rsidR="00957F89" w:rsidRPr="00C73849" w:rsidRDefault="00957F89">
      <w:pPr>
        <w:spacing w:before="5"/>
        <w:rPr>
          <w:rFonts w:ascii="Times New Roman" w:eastAsia="Times New Roman" w:hAnsi="Times New Roman" w:cs="Times New Roman"/>
          <w:b/>
          <w:bCs/>
          <w:sz w:val="20"/>
          <w:szCs w:val="20"/>
        </w:rPr>
      </w:pPr>
    </w:p>
    <w:p w14:paraId="7B6296BA" w14:textId="77777777" w:rsidR="00957F89" w:rsidRPr="00C73849" w:rsidRDefault="00D92D87">
      <w:pPr>
        <w:pStyle w:val="BodyText"/>
        <w:ind w:right="899"/>
      </w:pPr>
      <w:r w:rsidRPr="00C73849">
        <w:t>No absorption studies have been performed due to the intended route of administration</w:t>
      </w:r>
      <w:r w:rsidRPr="00C73849">
        <w:rPr>
          <w:w w:val="99"/>
        </w:rPr>
        <w:t xml:space="preserve"> </w:t>
      </w:r>
      <w:r w:rsidRPr="00C73849">
        <w:t>(intravenous bolus injection).</w:t>
      </w:r>
    </w:p>
    <w:p w14:paraId="103D60C6" w14:textId="77777777" w:rsidR="00957F89" w:rsidRPr="00C73849" w:rsidRDefault="00957F89">
      <w:pPr>
        <w:rPr>
          <w:rFonts w:ascii="Times New Roman" w:eastAsia="Times New Roman" w:hAnsi="Times New Roman" w:cs="Times New Roman"/>
          <w:sz w:val="24"/>
          <w:szCs w:val="24"/>
        </w:rPr>
      </w:pPr>
    </w:p>
    <w:p w14:paraId="1DB64181" w14:textId="77777777" w:rsidR="00957F89" w:rsidRPr="00C73849" w:rsidRDefault="00693531" w:rsidP="00996230">
      <w:pPr>
        <w:pStyle w:val="Heading3"/>
        <w:rPr>
          <w:rFonts w:eastAsia="Times New Roman" w:hAnsi="Times New Roman" w:cs="Times New Roman"/>
          <w:szCs w:val="24"/>
        </w:rPr>
      </w:pPr>
      <w:bookmarkStart w:id="83" w:name="_Toc34899969"/>
      <w:bookmarkStart w:id="84" w:name="_Toc33702498"/>
      <w:bookmarkStart w:id="85" w:name="_Toc176276931"/>
      <w:r>
        <w:t>5.2.4</w:t>
      </w:r>
      <w:r>
        <w:tab/>
      </w:r>
      <w:r w:rsidR="00D92D87" w:rsidRPr="00C73849">
        <w:t>Distribution</w:t>
      </w:r>
      <w:bookmarkEnd w:id="83"/>
      <w:bookmarkEnd w:id="84"/>
      <w:bookmarkEnd w:id="85"/>
    </w:p>
    <w:p w14:paraId="73FBC6D4" w14:textId="77777777" w:rsidR="00957F89" w:rsidRPr="009B43A3" w:rsidRDefault="00957F89">
      <w:pPr>
        <w:spacing w:before="4"/>
      </w:pPr>
    </w:p>
    <w:p w14:paraId="1D07B279" w14:textId="3C939171" w:rsidR="00957F89" w:rsidRPr="00C73849" w:rsidRDefault="00693531" w:rsidP="005A4B55">
      <w:pPr>
        <w:pStyle w:val="Heading4"/>
        <w:rPr>
          <w:rFonts w:eastAsia="Times New Roman" w:hAnsi="Times New Roman" w:cs="Times New Roman"/>
          <w:szCs w:val="24"/>
        </w:rPr>
      </w:pPr>
      <w:r>
        <w:t>5.2.4.1</w:t>
      </w:r>
      <w:r>
        <w:tab/>
      </w:r>
      <w:r w:rsidR="00D92D87" w:rsidRPr="00C73849">
        <w:t xml:space="preserve">Quantitative </w:t>
      </w:r>
      <w:r w:rsidR="00B42342" w:rsidRPr="00C73849">
        <w:t>whole-body</w:t>
      </w:r>
      <w:r w:rsidR="00D92D87" w:rsidRPr="00C73849">
        <w:t xml:space="preserve"> autoradiography</w:t>
      </w:r>
      <w:r w:rsidR="001E75AA">
        <w:t xml:space="preserve"> (QWBA)</w:t>
      </w:r>
    </w:p>
    <w:p w14:paraId="4B567E62" w14:textId="77777777" w:rsidR="00957F89" w:rsidRPr="00C73849" w:rsidRDefault="00D92D87" w:rsidP="005D3932">
      <w:pPr>
        <w:pStyle w:val="BodyText"/>
        <w:spacing w:before="80" w:line="294" w:lineRule="exact"/>
      </w:pPr>
      <w:r w:rsidRPr="00C73849">
        <w:t>The distribution and elimination of [1-</w:t>
      </w:r>
      <w:r w:rsidRPr="00C73849">
        <w:rPr>
          <w:position w:val="11"/>
          <w:sz w:val="16"/>
        </w:rPr>
        <w:t>13</w:t>
      </w:r>
      <w:proofErr w:type="gramStart"/>
      <w:r w:rsidRPr="00C73849">
        <w:t>C]pyruvate</w:t>
      </w:r>
      <w:proofErr w:type="gramEnd"/>
      <w:r w:rsidRPr="00C73849">
        <w:t xml:space="preserve"> spiked with a small amount of sodium</w:t>
      </w:r>
    </w:p>
    <w:p w14:paraId="503B58CE" w14:textId="77777777" w:rsidR="00957F89" w:rsidRPr="00C73849" w:rsidRDefault="00D92D87" w:rsidP="005D3932">
      <w:pPr>
        <w:pStyle w:val="BodyText"/>
        <w:spacing w:before="21" w:line="276" w:lineRule="exact"/>
        <w:ind w:right="151"/>
      </w:pPr>
      <w:r w:rsidRPr="00C73849">
        <w:t>[1-</w:t>
      </w:r>
      <w:r w:rsidRPr="00C73849">
        <w:rPr>
          <w:position w:val="11"/>
          <w:sz w:val="16"/>
        </w:rPr>
        <w:t>14</w:t>
      </w:r>
      <w:proofErr w:type="gramStart"/>
      <w:r w:rsidRPr="00C73849">
        <w:t>C]pyruvate</w:t>
      </w:r>
      <w:proofErr w:type="gramEnd"/>
      <w:r w:rsidRPr="00C73849">
        <w:t xml:space="preserve"> following intravenous bolus administration have been studied by quantitative</w:t>
      </w:r>
      <w:r w:rsidRPr="00C73849">
        <w:rPr>
          <w:w w:val="99"/>
        </w:rPr>
        <w:t xml:space="preserve"> </w:t>
      </w:r>
      <w:r w:rsidR="00B42342" w:rsidRPr="00C73849">
        <w:t>whole-body</w:t>
      </w:r>
      <w:r w:rsidRPr="00C73849">
        <w:t xml:space="preserve"> autoradiography (QWBA) in male Sprague-Dawley rats. Three animals per time</w:t>
      </w:r>
      <w:r w:rsidRPr="00C73849">
        <w:rPr>
          <w:w w:val="99"/>
        </w:rPr>
        <w:t xml:space="preserve"> </w:t>
      </w:r>
      <w:r w:rsidRPr="00C73849">
        <w:t xml:space="preserve">point </w:t>
      </w:r>
      <w:r w:rsidRPr="00C73849">
        <w:lastRenderedPageBreak/>
        <w:t>were sacrificed at 10 different time points from 30 s to 24 h after dosing. The animals</w:t>
      </w:r>
      <w:r w:rsidRPr="00C73849">
        <w:rPr>
          <w:w w:val="99"/>
        </w:rPr>
        <w:t xml:space="preserve"> </w:t>
      </w:r>
      <w:r w:rsidRPr="00C73849">
        <w:t xml:space="preserve">received a total pyruvate dose of 56 mg/kg </w:t>
      </w:r>
      <w:proofErr w:type="spellStart"/>
      <w:r w:rsidRPr="00C73849">
        <w:t>bw</w:t>
      </w:r>
      <w:proofErr w:type="spellEnd"/>
      <w:r w:rsidRPr="00C73849">
        <w:t>, of which 0.2 to 0.3 mg was sodium</w:t>
      </w:r>
      <w:r w:rsidR="009B43A3">
        <w:t xml:space="preserve"> </w:t>
      </w:r>
      <w:r w:rsidRPr="00C73849">
        <w:t>[1-</w:t>
      </w:r>
      <w:r w:rsidRPr="00C73849">
        <w:rPr>
          <w:position w:val="11"/>
          <w:sz w:val="16"/>
        </w:rPr>
        <w:t>14</w:t>
      </w:r>
      <w:proofErr w:type="gramStart"/>
      <w:r w:rsidRPr="00C73849">
        <w:t>C]pyruvate</w:t>
      </w:r>
      <w:proofErr w:type="gramEnd"/>
      <w:r w:rsidRPr="00C73849">
        <w:t>.</w:t>
      </w:r>
    </w:p>
    <w:p w14:paraId="0FCAC38F" w14:textId="77777777" w:rsidR="00957F89" w:rsidRPr="00C73849" w:rsidRDefault="00D92D87" w:rsidP="005D3932">
      <w:pPr>
        <w:pStyle w:val="BodyText"/>
        <w:spacing w:before="240"/>
        <w:ind w:right="151"/>
      </w:pPr>
      <w:r w:rsidRPr="00C73849">
        <w:t xml:space="preserve">The disposition of radioactivity in organs, tissues and excreta following a single intravenous bolus injection of </w:t>
      </w:r>
      <w:r w:rsidR="00B42342" w:rsidRPr="00C73849">
        <w:t>radiolabeled</w:t>
      </w:r>
      <w:r w:rsidRPr="00C73849">
        <w:t xml:space="preserve"> pyruvate in rats has been studied in two separate studies.</w:t>
      </w:r>
    </w:p>
    <w:p w14:paraId="70BD0DED" w14:textId="77777777" w:rsidR="00957F89" w:rsidRPr="00C73849" w:rsidRDefault="00957F89" w:rsidP="005D3932">
      <w:pPr>
        <w:spacing w:before="2"/>
        <w:rPr>
          <w:rFonts w:ascii="Times New Roman" w:eastAsia="Times New Roman" w:hAnsi="Times New Roman" w:cs="Times New Roman"/>
          <w:sz w:val="21"/>
          <w:szCs w:val="21"/>
        </w:rPr>
      </w:pPr>
    </w:p>
    <w:p w14:paraId="1FCC3A28" w14:textId="77777777" w:rsidR="00957F89" w:rsidRPr="00C73849" w:rsidRDefault="00D92D87" w:rsidP="005D3932">
      <w:pPr>
        <w:pStyle w:val="BodyText"/>
        <w:spacing w:line="276" w:lineRule="exact"/>
        <w:ind w:right="311"/>
      </w:pPr>
      <w:r w:rsidRPr="00C73849">
        <w:t>As QWBA measures the total radioactivity in organs and tissues, radioactivity measurements</w:t>
      </w:r>
      <w:r w:rsidRPr="00C73849">
        <w:rPr>
          <w:w w:val="99"/>
        </w:rPr>
        <w:t xml:space="preserve"> </w:t>
      </w:r>
      <w:r w:rsidRPr="00C73849">
        <w:t xml:space="preserve">represent the combined radioactivity from pyruvate and all its </w:t>
      </w:r>
      <w:r w:rsidR="00B42342" w:rsidRPr="00C73849">
        <w:t>radiolabeled</w:t>
      </w:r>
      <w:r w:rsidRPr="00C73849">
        <w:t xml:space="preserve"> metabolites. The</w:t>
      </w:r>
      <w:r w:rsidRPr="00C73849">
        <w:rPr>
          <w:w w:val="99"/>
        </w:rPr>
        <w:t xml:space="preserve"> </w:t>
      </w:r>
      <w:r w:rsidRPr="00C73849">
        <w:t>expected major metabolites of [1-</w:t>
      </w:r>
      <w:r w:rsidRPr="00C73849">
        <w:rPr>
          <w:position w:val="11"/>
          <w:sz w:val="16"/>
        </w:rPr>
        <w:t>14</w:t>
      </w:r>
      <w:proofErr w:type="gramStart"/>
      <w:r w:rsidRPr="00C73849">
        <w:t>C]pyruvate</w:t>
      </w:r>
      <w:proofErr w:type="gramEnd"/>
      <w:r w:rsidRPr="00C73849">
        <w:t xml:space="preserve"> are [1-</w:t>
      </w:r>
      <w:r w:rsidRPr="00C73849">
        <w:rPr>
          <w:position w:val="11"/>
          <w:sz w:val="16"/>
        </w:rPr>
        <w:t>14</w:t>
      </w:r>
      <w:r w:rsidRPr="00C73849">
        <w:t>C]lactate and [1-</w:t>
      </w:r>
      <w:r w:rsidRPr="00C73849">
        <w:rPr>
          <w:position w:val="11"/>
          <w:sz w:val="16"/>
        </w:rPr>
        <w:t>14</w:t>
      </w:r>
      <w:r w:rsidRPr="00C73849">
        <w:t>C]alanine, as pyruvate enters the normal metabolic pathways. In addition, pyruvate is a substrate for the</w:t>
      </w:r>
      <w:r w:rsidRPr="00C73849">
        <w:rPr>
          <w:w w:val="99"/>
        </w:rPr>
        <w:t xml:space="preserve"> </w:t>
      </w:r>
      <w:r w:rsidRPr="00C73849">
        <w:t>pyruvate dehydrogenase complex, which converts [1-</w:t>
      </w:r>
      <w:r w:rsidRPr="00C73849">
        <w:rPr>
          <w:position w:val="11"/>
          <w:sz w:val="16"/>
        </w:rPr>
        <w:t>14</w:t>
      </w:r>
      <w:proofErr w:type="gramStart"/>
      <w:r w:rsidRPr="00C73849">
        <w:t>C]pyruvate</w:t>
      </w:r>
      <w:proofErr w:type="gramEnd"/>
      <w:r w:rsidRPr="00C73849">
        <w:t xml:space="preserve"> to </w:t>
      </w:r>
      <w:r w:rsidRPr="00C73849">
        <w:rPr>
          <w:position w:val="11"/>
          <w:sz w:val="16"/>
        </w:rPr>
        <w:t>14</w:t>
      </w:r>
      <w:r w:rsidRPr="00C73849">
        <w:t>CO</w:t>
      </w:r>
      <w:r w:rsidRPr="00C73849">
        <w:rPr>
          <w:position w:val="-2"/>
          <w:sz w:val="16"/>
        </w:rPr>
        <w:t xml:space="preserve">2 </w:t>
      </w:r>
      <w:r w:rsidRPr="00C73849">
        <w:t>and Acetyl-CoA, and for pyruvate carboxylase, which forms [1-</w:t>
      </w:r>
      <w:r w:rsidRPr="00C73849">
        <w:rPr>
          <w:position w:val="11"/>
          <w:sz w:val="16"/>
        </w:rPr>
        <w:t>14</w:t>
      </w:r>
      <w:r w:rsidRPr="00C73849">
        <w:t xml:space="preserve">C]oxaloacetate in an </w:t>
      </w:r>
      <w:proofErr w:type="spellStart"/>
      <w:r w:rsidRPr="00C73849">
        <w:t>anaplerotic</w:t>
      </w:r>
      <w:proofErr w:type="spellEnd"/>
      <w:r w:rsidRPr="00C73849">
        <w:t xml:space="preserve"> reaction. In the latter case, a variety of </w:t>
      </w:r>
      <w:r w:rsidRPr="00C73849">
        <w:rPr>
          <w:position w:val="11"/>
          <w:sz w:val="16"/>
        </w:rPr>
        <w:t>14</w:t>
      </w:r>
      <w:r w:rsidRPr="00C73849">
        <w:t>C-labeled metabolites are formed as the radiolabel enters the citric</w:t>
      </w:r>
      <w:r w:rsidRPr="00C73849">
        <w:rPr>
          <w:w w:val="99"/>
        </w:rPr>
        <w:t xml:space="preserve"> </w:t>
      </w:r>
      <w:r w:rsidRPr="00C73849">
        <w:t>acid cycle. Thus, the data from the QWBA studies represent the total distribution of pyruvate</w:t>
      </w:r>
      <w:r w:rsidRPr="00C73849">
        <w:rPr>
          <w:w w:val="99"/>
        </w:rPr>
        <w:t xml:space="preserve"> </w:t>
      </w:r>
      <w:r w:rsidRPr="00C73849">
        <w:t>and several metabolites, where the aggregate contribution of the metabolites to the measured radioactivity increases with time.</w:t>
      </w:r>
    </w:p>
    <w:p w14:paraId="72B3D831" w14:textId="77777777" w:rsidR="001E75AA" w:rsidRPr="00C73849" w:rsidRDefault="001E75AA" w:rsidP="005D3932">
      <w:pPr>
        <w:rPr>
          <w:rFonts w:ascii="Times New Roman" w:eastAsia="Times New Roman" w:hAnsi="Times New Roman" w:cs="Times New Roman"/>
          <w:sz w:val="21"/>
          <w:szCs w:val="21"/>
        </w:rPr>
      </w:pPr>
    </w:p>
    <w:p w14:paraId="3C5B07CB" w14:textId="77777777" w:rsidR="00957F89" w:rsidRPr="00C73849" w:rsidRDefault="00693531" w:rsidP="005A4B55">
      <w:pPr>
        <w:pStyle w:val="Heading5"/>
        <w:rPr>
          <w:rFonts w:eastAsia="Times New Roman" w:hAnsi="Times New Roman" w:cs="Times New Roman"/>
          <w:szCs w:val="24"/>
        </w:rPr>
      </w:pPr>
      <w:r>
        <w:t>5.2.4.1.1</w:t>
      </w:r>
      <w:r>
        <w:tab/>
      </w:r>
      <w:r w:rsidR="00D92D87" w:rsidRPr="00C73849">
        <w:t>GE study number: B101003</w:t>
      </w:r>
      <w:r w:rsidR="009B43A3">
        <w:t xml:space="preserve"> </w:t>
      </w:r>
      <w:r w:rsidR="00D92D87" w:rsidRPr="00C73849">
        <w:t>Study of Distribution and Excretion of [1-14C] Pyruvate in Male Sprague-</w:t>
      </w:r>
      <w:r w:rsidR="00D92D87" w:rsidRPr="00C73849">
        <w:rPr>
          <w:w w:val="99"/>
        </w:rPr>
        <w:t xml:space="preserve"> </w:t>
      </w:r>
      <w:r w:rsidR="00D92D87" w:rsidRPr="00C73849">
        <w:t>Dawley Rats (non-GLP)</w:t>
      </w:r>
    </w:p>
    <w:p w14:paraId="0B46D77B" w14:textId="77777777" w:rsidR="00957F89" w:rsidRPr="00C73849" w:rsidRDefault="00957F89" w:rsidP="005D3932">
      <w:pPr>
        <w:spacing w:before="6"/>
        <w:rPr>
          <w:rFonts w:ascii="Times New Roman" w:eastAsia="Times New Roman" w:hAnsi="Times New Roman" w:cs="Times New Roman"/>
          <w:b/>
          <w:bCs/>
          <w:sz w:val="20"/>
          <w:szCs w:val="20"/>
        </w:rPr>
      </w:pPr>
    </w:p>
    <w:p w14:paraId="37C55044" w14:textId="1F1F4171" w:rsidR="00957F89" w:rsidRPr="00C73849" w:rsidRDefault="00D92D87" w:rsidP="005D3932">
      <w:pPr>
        <w:pStyle w:val="BodyText"/>
        <w:spacing w:line="276" w:lineRule="exact"/>
        <w:ind w:right="311"/>
      </w:pPr>
      <w:r w:rsidRPr="00C73849">
        <w:t xml:space="preserve">In this initial study, the rats had an average body weight of 225 g and received an average dose of 56 mg/kg </w:t>
      </w:r>
      <w:proofErr w:type="spellStart"/>
      <w:r w:rsidRPr="00C73849">
        <w:t>bw</w:t>
      </w:r>
      <w:proofErr w:type="spellEnd"/>
      <w:r w:rsidRPr="00C73849">
        <w:t xml:space="preserve"> of sodium pyruvate, of which 0.3 mg was sodium [1-</w:t>
      </w:r>
      <w:r w:rsidR="00423D93" w:rsidRPr="005F6CE7">
        <w:rPr>
          <w:vertAlign w:val="superscript"/>
        </w:rPr>
        <w:t>14</w:t>
      </w:r>
      <w:proofErr w:type="gramStart"/>
      <w:r w:rsidR="00423D93">
        <w:t>C</w:t>
      </w:r>
      <w:r w:rsidRPr="00C73849">
        <w:t>]pyruvate</w:t>
      </w:r>
      <w:proofErr w:type="gramEnd"/>
      <w:r w:rsidRPr="00C73849">
        <w:t xml:space="preserve"> and the</w:t>
      </w:r>
      <w:r w:rsidRPr="00C73849">
        <w:rPr>
          <w:w w:val="99"/>
        </w:rPr>
        <w:t xml:space="preserve"> </w:t>
      </w:r>
      <w:r w:rsidRPr="00C73849">
        <w:t>remainder sodium [1-</w:t>
      </w:r>
      <w:r w:rsidR="00776C96" w:rsidRPr="005F6CE7">
        <w:rPr>
          <w:vertAlign w:val="superscript"/>
        </w:rPr>
        <w:t>13</w:t>
      </w:r>
      <w:r w:rsidR="00776C96">
        <w:t>C</w:t>
      </w:r>
      <w:r w:rsidRPr="00C73849">
        <w:t>]pyruvate. The test item was administered as an intravenous bolus</w:t>
      </w:r>
      <w:r w:rsidRPr="00C73849">
        <w:rPr>
          <w:w w:val="99"/>
        </w:rPr>
        <w:t xml:space="preserve"> </w:t>
      </w:r>
      <w:r w:rsidRPr="00C73849">
        <w:t xml:space="preserve">injection. The dosing volume was 1 ml/kg </w:t>
      </w:r>
      <w:proofErr w:type="spellStart"/>
      <w:r w:rsidRPr="00C73849">
        <w:t>bw</w:t>
      </w:r>
      <w:proofErr w:type="spellEnd"/>
      <w:r w:rsidRPr="00C73849">
        <w:t xml:space="preserve">. The rats received an average radioactivity dose of 679 </w:t>
      </w:r>
      <w:proofErr w:type="spellStart"/>
      <w:r w:rsidRPr="00C73849">
        <w:t>kBq</w:t>
      </w:r>
      <w:proofErr w:type="spellEnd"/>
      <w:r w:rsidRPr="00C73849">
        <w:t xml:space="preserve"> per animal. The rats were anaesthetized during the study.</w:t>
      </w:r>
    </w:p>
    <w:p w14:paraId="27A51E97" w14:textId="77777777" w:rsidR="00957F89" w:rsidRPr="00C73849" w:rsidRDefault="00957F89" w:rsidP="005D3932">
      <w:pPr>
        <w:spacing w:before="7"/>
        <w:rPr>
          <w:rFonts w:ascii="Times New Roman" w:eastAsia="Times New Roman" w:hAnsi="Times New Roman" w:cs="Times New Roman"/>
          <w:sz w:val="20"/>
          <w:szCs w:val="20"/>
        </w:rPr>
      </w:pPr>
    </w:p>
    <w:p w14:paraId="04935130" w14:textId="77777777" w:rsidR="00957F89" w:rsidRPr="00C73849" w:rsidRDefault="00D92D87" w:rsidP="005D3932">
      <w:pPr>
        <w:pStyle w:val="BodyText"/>
        <w:ind w:right="248"/>
      </w:pPr>
      <w:r w:rsidRPr="00C73849">
        <w:t xml:space="preserve">Three rats per time point were sacrificed at 30 s, and </w:t>
      </w:r>
      <w:proofErr w:type="gramStart"/>
      <w:r w:rsidRPr="00C73849">
        <w:t>1, 2, 5 and 10 min</w:t>
      </w:r>
      <w:proofErr w:type="gramEnd"/>
      <w:r w:rsidRPr="00C73849">
        <w:t xml:space="preserve"> post-injection, and one</w:t>
      </w:r>
      <w:r w:rsidRPr="00C73849">
        <w:rPr>
          <w:w w:val="99"/>
        </w:rPr>
        <w:t xml:space="preserve"> </w:t>
      </w:r>
      <w:r w:rsidRPr="00C73849">
        <w:t>rat per time point was sacrificed at 15, 30, 60 and 120 min post-injection. Exhaled air was collected from all rats sacrificed 10 min post-injection or later, and urine was collected from all</w:t>
      </w:r>
      <w:r w:rsidRPr="00C73849">
        <w:rPr>
          <w:w w:val="99"/>
        </w:rPr>
        <w:t xml:space="preserve"> </w:t>
      </w:r>
      <w:r w:rsidRPr="00C73849">
        <w:t>rats sacrificed 15 min post-injection or later. No feces samples were excreted from any of the</w:t>
      </w:r>
      <w:r w:rsidRPr="00C73849">
        <w:rPr>
          <w:w w:val="99"/>
        </w:rPr>
        <w:t xml:space="preserve"> </w:t>
      </w:r>
      <w:r w:rsidRPr="00C73849">
        <w:t>animals.</w:t>
      </w:r>
    </w:p>
    <w:p w14:paraId="229E591C" w14:textId="77777777" w:rsidR="00957F89" w:rsidRPr="00C73849" w:rsidRDefault="00957F89" w:rsidP="005D3932">
      <w:pPr>
        <w:rPr>
          <w:rFonts w:ascii="Times New Roman" w:eastAsia="Times New Roman" w:hAnsi="Times New Roman" w:cs="Times New Roman"/>
          <w:sz w:val="20"/>
          <w:szCs w:val="20"/>
        </w:rPr>
      </w:pPr>
    </w:p>
    <w:p w14:paraId="2FCD4344" w14:textId="00682544" w:rsidR="00957F89" w:rsidRPr="00C73849" w:rsidRDefault="00D92D87" w:rsidP="005D3932">
      <w:pPr>
        <w:pStyle w:val="BodyText"/>
        <w:spacing w:before="76" w:line="232" w:lineRule="auto"/>
        <w:ind w:right="151"/>
      </w:pPr>
      <w:r w:rsidRPr="00C73849">
        <w:t xml:space="preserve">After </w:t>
      </w:r>
      <w:r w:rsidR="00995AB4">
        <w:t>IV</w:t>
      </w:r>
      <w:r w:rsidRPr="00C73849">
        <w:t xml:space="preserve"> injection, radioactivity was rapidly distributed throughout the body. A dose of 56 mg pyruvate/kg (including both [1-</w:t>
      </w:r>
      <w:r w:rsidR="00995AB4" w:rsidRPr="005F6CE7">
        <w:rPr>
          <w:vertAlign w:val="superscript"/>
        </w:rPr>
        <w:t>13</w:t>
      </w:r>
      <w:r w:rsidR="00995AB4">
        <w:t>C</w:t>
      </w:r>
      <w:r w:rsidRPr="00C73849">
        <w:t>] and [1-</w:t>
      </w:r>
      <w:r w:rsidR="00995AB4" w:rsidRPr="005F6CE7">
        <w:rPr>
          <w:vertAlign w:val="superscript"/>
        </w:rPr>
        <w:t>14</w:t>
      </w:r>
      <w:r w:rsidR="00995AB4">
        <w:t>C</w:t>
      </w:r>
      <w:r w:rsidRPr="00C73849">
        <w:t>]-labeled pyruvate) resulted in a blood</w:t>
      </w:r>
      <w:r w:rsidRPr="00C73849">
        <w:rPr>
          <w:w w:val="99"/>
        </w:rPr>
        <w:t xml:space="preserve"> </w:t>
      </w:r>
      <w:r w:rsidRPr="00C73849">
        <w:t>concentration of radioactivity corresponding to 0.7% of id/g (equivalent to 85.5 µg pyruvate/g</w:t>
      </w:r>
      <w:r w:rsidRPr="00C73849">
        <w:rPr>
          <w:w w:val="99"/>
        </w:rPr>
        <w:t xml:space="preserve"> </w:t>
      </w:r>
      <w:r w:rsidRPr="00C73849">
        <w:t>blood) at 30 s post-dosing (corresponding to a total blood recovery of 8.9</w:t>
      </w:r>
      <w:r w:rsidRPr="00C73849">
        <w:rPr>
          <w:rFonts w:ascii="Symbol" w:eastAsia="Symbol" w:hAnsi="Symbol" w:cs="Symbol"/>
        </w:rPr>
        <w:t></w:t>
      </w:r>
      <w:r w:rsidRPr="00C73849">
        <w:t>1.3 % of id). The</w:t>
      </w:r>
      <w:r w:rsidRPr="00C73849">
        <w:rPr>
          <w:w w:val="99"/>
        </w:rPr>
        <w:t xml:space="preserve"> </w:t>
      </w:r>
      <w:r w:rsidRPr="00C73849">
        <w:t>initial volume of distribution was estimated to 677 ml/kg, indicating rapid distribution of</w:t>
      </w:r>
      <w:r w:rsidR="009B43A3">
        <w:t xml:space="preserve"> </w:t>
      </w:r>
      <w:r w:rsidRPr="00C73849">
        <w:t>radioactivity to a volume comparable to that of total body water.</w:t>
      </w:r>
    </w:p>
    <w:p w14:paraId="709A551A" w14:textId="77777777" w:rsidR="00957F89" w:rsidRPr="00C73849" w:rsidRDefault="00957F89" w:rsidP="005D3932">
      <w:pPr>
        <w:spacing w:before="2"/>
        <w:rPr>
          <w:rFonts w:ascii="Times New Roman" w:eastAsia="Times New Roman" w:hAnsi="Times New Roman" w:cs="Times New Roman"/>
          <w:sz w:val="21"/>
          <w:szCs w:val="21"/>
        </w:rPr>
      </w:pPr>
    </w:p>
    <w:p w14:paraId="6BBFB8A2" w14:textId="29526BE0" w:rsidR="00957F89" w:rsidRPr="00C73849" w:rsidRDefault="00D92D87" w:rsidP="005D3932">
      <w:pPr>
        <w:pStyle w:val="BodyText"/>
        <w:spacing w:line="276" w:lineRule="exact"/>
        <w:ind w:right="311"/>
      </w:pPr>
      <w:r w:rsidRPr="00C73849">
        <w:t>The highest concentration of radioactivity 30 s post-dosing was found in the pancreas. This</w:t>
      </w:r>
      <w:r w:rsidRPr="00C73849">
        <w:rPr>
          <w:w w:val="99"/>
        </w:rPr>
        <w:t xml:space="preserve"> </w:t>
      </w:r>
      <w:r w:rsidRPr="00C73849">
        <w:t>may reflect formation of [1-</w:t>
      </w:r>
      <w:r w:rsidR="00995AB4" w:rsidRPr="005F6CE7">
        <w:rPr>
          <w:vertAlign w:val="superscript"/>
        </w:rPr>
        <w:t>14</w:t>
      </w:r>
      <w:proofErr w:type="gramStart"/>
      <w:r w:rsidR="00995AB4">
        <w:t>C</w:t>
      </w:r>
      <w:r w:rsidRPr="00C73849">
        <w:t>]oxaloacetate</w:t>
      </w:r>
      <w:proofErr w:type="gramEnd"/>
      <w:r w:rsidRPr="00C73849">
        <w:t xml:space="preserve"> through pyruvate carboxylase in pancreatic islets. Relatively high concentrations were also found in highly perfused tissues such as the liver,</w:t>
      </w:r>
      <w:r w:rsidRPr="00C73849">
        <w:rPr>
          <w:w w:val="99"/>
        </w:rPr>
        <w:t xml:space="preserve"> </w:t>
      </w:r>
      <w:r w:rsidRPr="00C73849">
        <w:t>adrenal glands, heart muscle and the small and large intestine walls.</w:t>
      </w:r>
    </w:p>
    <w:p w14:paraId="351B1829" w14:textId="77777777" w:rsidR="00957F89" w:rsidRPr="00C73849" w:rsidRDefault="00957F89" w:rsidP="005D3932">
      <w:pPr>
        <w:spacing w:before="7"/>
        <w:rPr>
          <w:rFonts w:ascii="Times New Roman" w:eastAsia="Times New Roman" w:hAnsi="Times New Roman" w:cs="Times New Roman"/>
          <w:sz w:val="20"/>
          <w:szCs w:val="20"/>
        </w:rPr>
      </w:pPr>
    </w:p>
    <w:p w14:paraId="6B7AB9BA" w14:textId="77777777" w:rsidR="00957F89" w:rsidRPr="00C73849" w:rsidRDefault="00D92D87" w:rsidP="005D3932">
      <w:pPr>
        <w:pStyle w:val="BodyText"/>
        <w:ind w:right="562"/>
      </w:pPr>
      <w:r w:rsidRPr="00C73849">
        <w:t>The lowest concentrations of radioactivity were found in white fat, testes, brain and spinal</w:t>
      </w:r>
      <w:r w:rsidRPr="00C73849">
        <w:rPr>
          <w:w w:val="99"/>
        </w:rPr>
        <w:t xml:space="preserve"> </w:t>
      </w:r>
      <w:r w:rsidRPr="00C73849">
        <w:t>cord.</w:t>
      </w:r>
    </w:p>
    <w:p w14:paraId="5E3416CB" w14:textId="77777777" w:rsidR="00957F89" w:rsidRPr="00C73849" w:rsidRDefault="00957F89" w:rsidP="005D3932">
      <w:pPr>
        <w:spacing w:before="10"/>
        <w:rPr>
          <w:rFonts w:ascii="Times New Roman" w:eastAsia="Times New Roman" w:hAnsi="Times New Roman" w:cs="Times New Roman"/>
          <w:sz w:val="20"/>
          <w:szCs w:val="20"/>
        </w:rPr>
      </w:pPr>
    </w:p>
    <w:p w14:paraId="0F5B5E43" w14:textId="77777777" w:rsidR="00957F89" w:rsidRPr="00C73849" w:rsidRDefault="00D92D87" w:rsidP="005D3932">
      <w:pPr>
        <w:pStyle w:val="BodyText"/>
        <w:ind w:right="311"/>
      </w:pPr>
      <w:r w:rsidRPr="00C73849">
        <w:t xml:space="preserve">The concentration of radioactivity in the prostate at 30 s post-dosing was 1.87 </w:t>
      </w:r>
      <w:proofErr w:type="spellStart"/>
      <w:r w:rsidRPr="00C73849">
        <w:t>kBq</w:t>
      </w:r>
      <w:proofErr w:type="spellEnd"/>
      <w:r w:rsidRPr="00C73849">
        <w:t>/g. This</w:t>
      </w:r>
      <w:r w:rsidRPr="00C73849">
        <w:rPr>
          <w:w w:val="99"/>
        </w:rPr>
        <w:t xml:space="preserve"> </w:t>
      </w:r>
      <w:r w:rsidRPr="00C73849">
        <w:t>corresponds to a pyruvate concentration of 34.5 µg/g. The elimination rate in prostate during</w:t>
      </w:r>
      <w:r w:rsidRPr="00C73849">
        <w:rPr>
          <w:w w:val="99"/>
        </w:rPr>
        <w:t xml:space="preserve"> </w:t>
      </w:r>
      <w:r w:rsidRPr="00C73849">
        <w:t>the first 2 min post-dosing corresponded to a half-life of 1.5 min.</w:t>
      </w:r>
    </w:p>
    <w:p w14:paraId="7A379CB8" w14:textId="7D669EB6" w:rsidR="00957F89" w:rsidRPr="00C73849" w:rsidRDefault="00D92D87" w:rsidP="005D3932">
      <w:pPr>
        <w:pStyle w:val="BodyText"/>
        <w:ind w:right="197"/>
        <w:jc w:val="both"/>
      </w:pPr>
      <w:r w:rsidRPr="00C73849">
        <w:lastRenderedPageBreak/>
        <w:t>The highest total recovery of radioactivity was found in muscle and skin tissue. At 1 min post dosing, the recovery in muscle and skin was 55% and 19% of id, respectively. At 60min post- dosing, the recovery in muscle and skin was 13% and 7% of id, respectively.</w:t>
      </w:r>
    </w:p>
    <w:p w14:paraId="428445B7" w14:textId="77777777" w:rsidR="00957F89" w:rsidRPr="00C73849" w:rsidRDefault="00957F89" w:rsidP="005D3932">
      <w:pPr>
        <w:spacing w:before="10"/>
        <w:rPr>
          <w:rFonts w:ascii="Times New Roman" w:eastAsia="Times New Roman" w:hAnsi="Times New Roman" w:cs="Times New Roman"/>
          <w:sz w:val="20"/>
          <w:szCs w:val="20"/>
        </w:rPr>
      </w:pPr>
    </w:p>
    <w:p w14:paraId="67735585" w14:textId="77777777" w:rsidR="00957F89" w:rsidRPr="00C73849" w:rsidRDefault="00D92D87" w:rsidP="005D3932">
      <w:pPr>
        <w:pStyle w:val="BodyText"/>
        <w:ind w:right="899"/>
      </w:pPr>
      <w:r w:rsidRPr="00C73849">
        <w:t>The recovery of radioactivity in whole-body cryosections decreased rapidly, from</w:t>
      </w:r>
      <w:r w:rsidRPr="00C73849">
        <w:rPr>
          <w:w w:val="99"/>
        </w:rPr>
        <w:t xml:space="preserve"> </w:t>
      </w:r>
      <w:r w:rsidRPr="00C73849">
        <w:t>approximately 100% of id at 2 min post-injection to 67% at 10 min post-injection.</w:t>
      </w:r>
    </w:p>
    <w:p w14:paraId="4EA4B990" w14:textId="77777777" w:rsidR="00957F89" w:rsidRPr="00C73849" w:rsidRDefault="00957F89" w:rsidP="005D3932">
      <w:pPr>
        <w:spacing w:before="10"/>
        <w:rPr>
          <w:rFonts w:ascii="Times New Roman" w:eastAsia="Times New Roman" w:hAnsi="Times New Roman" w:cs="Times New Roman"/>
          <w:sz w:val="20"/>
          <w:szCs w:val="20"/>
        </w:rPr>
      </w:pPr>
    </w:p>
    <w:p w14:paraId="206FB8E2" w14:textId="6D4B6235" w:rsidR="00957F89" w:rsidRPr="00C73849" w:rsidRDefault="00D92D87" w:rsidP="005D3932">
      <w:pPr>
        <w:pStyle w:val="BodyText"/>
        <w:ind w:right="151"/>
      </w:pPr>
      <w:r w:rsidRPr="00C73849">
        <w:t xml:space="preserve">The autoradiograms indicate some elimination of radioactivity through the kidneys, but no measurable amounts of urine were produced during the </w:t>
      </w:r>
      <w:proofErr w:type="gramStart"/>
      <w:r w:rsidRPr="00C73849">
        <w:t>time-frame</w:t>
      </w:r>
      <w:proofErr w:type="gramEnd"/>
      <w:r w:rsidRPr="00C73849">
        <w:t xml:space="preserve"> of the study.</w:t>
      </w:r>
    </w:p>
    <w:p w14:paraId="79147B55" w14:textId="77777777" w:rsidR="00957F89" w:rsidRPr="00C73849" w:rsidRDefault="00957F89" w:rsidP="005D3932">
      <w:pPr>
        <w:spacing w:before="2"/>
        <w:rPr>
          <w:rFonts w:ascii="Times New Roman" w:eastAsia="Times New Roman" w:hAnsi="Times New Roman" w:cs="Times New Roman"/>
          <w:sz w:val="21"/>
          <w:szCs w:val="21"/>
        </w:rPr>
      </w:pPr>
    </w:p>
    <w:p w14:paraId="21CC65CA" w14:textId="77777777" w:rsidR="00957F89" w:rsidRPr="00C73849" w:rsidRDefault="00D92D87" w:rsidP="005D3932">
      <w:pPr>
        <w:pStyle w:val="BodyText"/>
        <w:spacing w:line="276" w:lineRule="exact"/>
        <w:ind w:right="311"/>
      </w:pPr>
      <w:r w:rsidRPr="00C73849">
        <w:t xml:space="preserve">The major elimination route of radioactivity was through exhaled air. At 120 min post-dosing, radioactivity corresponding to 63% of id was recovered in exhaled air, </w:t>
      </w:r>
      <w:r w:rsidR="00A50275" w:rsidRPr="00C73849">
        <w:t>because of</w:t>
      </w:r>
      <w:r w:rsidRPr="00C73849">
        <w:t xml:space="preserve"> the</w:t>
      </w:r>
      <w:r w:rsidRPr="00C73849">
        <w:rPr>
          <w:w w:val="99"/>
        </w:rPr>
        <w:t xml:space="preserve"> </w:t>
      </w:r>
      <w:r w:rsidRPr="00C73849">
        <w:t xml:space="preserve">formation of </w:t>
      </w:r>
      <w:r w:rsidRPr="00C73849">
        <w:rPr>
          <w:position w:val="11"/>
          <w:sz w:val="16"/>
        </w:rPr>
        <w:t>14</w:t>
      </w:r>
      <w:r w:rsidRPr="00C73849">
        <w:t>CO</w:t>
      </w:r>
      <w:r w:rsidRPr="00C73849">
        <w:rPr>
          <w:position w:val="-2"/>
          <w:sz w:val="16"/>
        </w:rPr>
        <w:t>2</w:t>
      </w:r>
      <w:r w:rsidRPr="00C73849">
        <w:t>. This suggests that in the rat a major part of the injected pyruvate rapidly enters the citric acid cycle via the Acetyl CoA pathway.</w:t>
      </w:r>
    </w:p>
    <w:p w14:paraId="3969BE3D" w14:textId="77777777" w:rsidR="00957F89" w:rsidRPr="00C73849" w:rsidRDefault="00957F89" w:rsidP="005D3932">
      <w:pPr>
        <w:rPr>
          <w:rFonts w:ascii="Times New Roman" w:eastAsia="Times New Roman" w:hAnsi="Times New Roman" w:cs="Times New Roman"/>
          <w:sz w:val="21"/>
          <w:szCs w:val="21"/>
        </w:rPr>
      </w:pPr>
    </w:p>
    <w:p w14:paraId="28B40B6B" w14:textId="3A227A42" w:rsidR="00957F89" w:rsidRPr="003F4FAF" w:rsidRDefault="009B43A3" w:rsidP="005A4B55">
      <w:pPr>
        <w:pStyle w:val="Heading5"/>
      </w:pPr>
      <w:r>
        <w:t>5.2.4.1.2</w:t>
      </w:r>
      <w:r>
        <w:tab/>
      </w:r>
      <w:r w:rsidR="00D92D87" w:rsidRPr="009B43A3">
        <w:t>GE study number: B101018</w:t>
      </w:r>
      <w:r w:rsidRPr="009B43A3">
        <w:t xml:space="preserve">: </w:t>
      </w:r>
      <w:r w:rsidR="00D92D87" w:rsidRPr="009B43A3">
        <w:t>Study of Distribution and Excretion of [1-14C] AH110896 in Male Sprague-</w:t>
      </w:r>
      <w:r w:rsidR="00D92D87" w:rsidRPr="003F4FAF">
        <w:t xml:space="preserve"> </w:t>
      </w:r>
      <w:r w:rsidR="00D92D87" w:rsidRPr="009B43A3">
        <w:t>Dawley Rats - follow-up of study B101003 (non-GLP)</w:t>
      </w:r>
    </w:p>
    <w:p w14:paraId="1E26D8DF" w14:textId="77777777" w:rsidR="00957F89" w:rsidRPr="00C73849" w:rsidRDefault="00957F89" w:rsidP="005D3932">
      <w:pPr>
        <w:spacing w:before="9"/>
        <w:rPr>
          <w:rFonts w:ascii="Times New Roman" w:eastAsia="Times New Roman" w:hAnsi="Times New Roman" w:cs="Times New Roman"/>
          <w:b/>
          <w:bCs/>
          <w:sz w:val="20"/>
          <w:szCs w:val="20"/>
        </w:rPr>
      </w:pPr>
    </w:p>
    <w:p w14:paraId="535AA40C" w14:textId="77777777" w:rsidR="00957F89" w:rsidRPr="00C73849" w:rsidRDefault="00D92D87" w:rsidP="005D3932">
      <w:pPr>
        <w:pStyle w:val="BodyText"/>
        <w:spacing w:line="276" w:lineRule="exact"/>
        <w:ind w:right="151"/>
      </w:pPr>
      <w:r w:rsidRPr="00C73849">
        <w:t>This follow-up study was designed to determine the amount of radioactivity in organs, tissues</w:t>
      </w:r>
      <w:r w:rsidRPr="00C73849">
        <w:rPr>
          <w:w w:val="99"/>
        </w:rPr>
        <w:t xml:space="preserve"> </w:t>
      </w:r>
      <w:r w:rsidRPr="00C73849">
        <w:t>and excreta following a single intravenous bolus injection of [1-</w:t>
      </w:r>
      <w:r w:rsidRPr="00C73849">
        <w:rPr>
          <w:position w:val="11"/>
          <w:sz w:val="16"/>
        </w:rPr>
        <w:t>14</w:t>
      </w:r>
      <w:r w:rsidRPr="00C73849">
        <w:t>C]-labeled pyruvate in rats, at</w:t>
      </w:r>
      <w:r w:rsidRPr="00C73849">
        <w:rPr>
          <w:w w:val="99"/>
        </w:rPr>
        <w:t xml:space="preserve"> </w:t>
      </w:r>
      <w:r w:rsidRPr="00C73849">
        <w:t>time points from 15 min to 24 h post-dosing.</w:t>
      </w:r>
    </w:p>
    <w:p w14:paraId="575453AC" w14:textId="77777777" w:rsidR="00957F89" w:rsidRPr="00C73849" w:rsidRDefault="00957F89" w:rsidP="005D3932">
      <w:pPr>
        <w:spacing w:before="2"/>
        <w:rPr>
          <w:rFonts w:ascii="Times New Roman" w:eastAsia="Times New Roman" w:hAnsi="Times New Roman" w:cs="Times New Roman"/>
        </w:rPr>
      </w:pPr>
    </w:p>
    <w:p w14:paraId="591ADC3A" w14:textId="77777777" w:rsidR="00957F89" w:rsidRPr="00C73849" w:rsidRDefault="00D92D87" w:rsidP="002A7BB9">
      <w:pPr>
        <w:pStyle w:val="BodyText"/>
        <w:spacing w:line="220" w:lineRule="auto"/>
        <w:ind w:right="215"/>
      </w:pPr>
      <w:r w:rsidRPr="00C73849">
        <w:t xml:space="preserve">The rats used in the study had an average body weight of 176 g and received an average dose of 56 mg/kg </w:t>
      </w:r>
      <w:proofErr w:type="spellStart"/>
      <w:r w:rsidRPr="00C73849">
        <w:t>bw</w:t>
      </w:r>
      <w:proofErr w:type="spellEnd"/>
      <w:r w:rsidRPr="00C73849">
        <w:t xml:space="preserve"> of sodium pyruvate, of which 0.2 mg (for time points 2 and 24 h) or 0.3 </w:t>
      </w:r>
      <w:r w:rsidR="002A7BB9" w:rsidRPr="00C73849">
        <w:t>mg</w:t>
      </w:r>
      <w:r w:rsidR="002A7BB9">
        <w:rPr>
          <w:w w:val="99"/>
        </w:rPr>
        <w:t xml:space="preserve"> (</w:t>
      </w:r>
      <w:r w:rsidRPr="00C73849">
        <w:t>for time points 15 and 30 min and 6 h) was sodium [1-</w:t>
      </w:r>
      <w:r w:rsidRPr="00C73849">
        <w:rPr>
          <w:position w:val="11"/>
          <w:sz w:val="16"/>
        </w:rPr>
        <w:t>14</w:t>
      </w:r>
      <w:proofErr w:type="gramStart"/>
      <w:r w:rsidRPr="00C73849">
        <w:t>C]pyruvate</w:t>
      </w:r>
      <w:proofErr w:type="gramEnd"/>
      <w:r w:rsidRPr="00C73849">
        <w:t xml:space="preserve"> and the remainder sodium</w:t>
      </w:r>
      <w:r w:rsidRPr="00C73849">
        <w:rPr>
          <w:w w:val="99"/>
        </w:rPr>
        <w:t xml:space="preserve"> </w:t>
      </w:r>
      <w:r w:rsidRPr="00C73849">
        <w:t>[1-</w:t>
      </w:r>
      <w:r w:rsidRPr="00C73849">
        <w:rPr>
          <w:position w:val="11"/>
          <w:sz w:val="16"/>
        </w:rPr>
        <w:t>13</w:t>
      </w:r>
      <w:r w:rsidRPr="00C73849">
        <w:t xml:space="preserve">C]pyruvate. The rats received an average radioactivity dose of 446 </w:t>
      </w:r>
      <w:proofErr w:type="spellStart"/>
      <w:r w:rsidRPr="00C73849">
        <w:t>kBq</w:t>
      </w:r>
      <w:proofErr w:type="spellEnd"/>
      <w:r w:rsidRPr="00C73849">
        <w:t>/animal in a</w:t>
      </w:r>
      <w:r w:rsidR="002A7BB9">
        <w:t xml:space="preserve"> </w:t>
      </w:r>
      <w:r w:rsidRPr="00C73849">
        <w:t xml:space="preserve">dosing volume of 1 ml/kg </w:t>
      </w:r>
      <w:proofErr w:type="spellStart"/>
      <w:r w:rsidRPr="00C73849">
        <w:t>bw</w:t>
      </w:r>
      <w:proofErr w:type="spellEnd"/>
      <w:r w:rsidRPr="00C73849">
        <w:t xml:space="preserve"> administered as an intravenous bolus injection. The rats were</w:t>
      </w:r>
      <w:r w:rsidRPr="00C73849">
        <w:rPr>
          <w:w w:val="99"/>
        </w:rPr>
        <w:t xml:space="preserve"> </w:t>
      </w:r>
      <w:r w:rsidRPr="00C73849">
        <w:t>not anesthetized during the study.</w:t>
      </w:r>
    </w:p>
    <w:p w14:paraId="767F88BD" w14:textId="77777777" w:rsidR="00957F89" w:rsidRPr="00C73849" w:rsidRDefault="00D92D87" w:rsidP="005D3932">
      <w:pPr>
        <w:pStyle w:val="BodyText"/>
        <w:spacing w:before="69"/>
        <w:ind w:right="470"/>
        <w:jc w:val="both"/>
      </w:pPr>
      <w:r w:rsidRPr="00C73849">
        <w:t>Three rats per time point were sacrificed at 15 min, 30 min, 2 h, 6 h and 24 h post-injection.</w:t>
      </w:r>
      <w:r w:rsidRPr="00C73849">
        <w:rPr>
          <w:w w:val="99"/>
        </w:rPr>
        <w:t xml:space="preserve"> </w:t>
      </w:r>
      <w:r w:rsidRPr="00C73849">
        <w:t>Exhaled air and feces were collected from the 24-h sacrifice group, and urine and cage wash water were collected from all rats.</w:t>
      </w:r>
    </w:p>
    <w:p w14:paraId="15ADBB8A" w14:textId="77777777" w:rsidR="00957F89" w:rsidRPr="00C73849" w:rsidRDefault="00957F89" w:rsidP="005D3932">
      <w:pPr>
        <w:spacing w:before="11"/>
        <w:rPr>
          <w:rFonts w:ascii="Times New Roman" w:eastAsia="Times New Roman" w:hAnsi="Times New Roman" w:cs="Times New Roman"/>
          <w:sz w:val="20"/>
          <w:szCs w:val="20"/>
        </w:rPr>
      </w:pPr>
    </w:p>
    <w:p w14:paraId="450060CB" w14:textId="77777777" w:rsidR="00957F89" w:rsidRPr="00C73849" w:rsidRDefault="00D92D87" w:rsidP="005D3932">
      <w:pPr>
        <w:pStyle w:val="BodyText"/>
        <w:spacing w:line="239" w:lineRule="auto"/>
        <w:ind w:right="248"/>
      </w:pPr>
      <w:r w:rsidRPr="00C73849">
        <w:t>At 15 min post-dosing, the highest radioactivity concentrations were measured in urinary bladder contents, bone tissue and pancreas, whilst relatively high concentrations were found in</w:t>
      </w:r>
      <w:r w:rsidRPr="00C73849">
        <w:rPr>
          <w:w w:val="99"/>
        </w:rPr>
        <w:t xml:space="preserve"> </w:t>
      </w:r>
      <w:r w:rsidRPr="00C73849">
        <w:t>liver, small and large intestine wall, bone marrow and salivary glands. The lowest radioactivity concentrations were found in brain, spinal cord, white fat and testes.</w:t>
      </w:r>
    </w:p>
    <w:p w14:paraId="3A8E2669" w14:textId="77777777" w:rsidR="00957F89" w:rsidRPr="00C73849" w:rsidRDefault="00957F89" w:rsidP="005D3932">
      <w:pPr>
        <w:spacing w:before="10"/>
        <w:rPr>
          <w:rFonts w:ascii="Times New Roman" w:eastAsia="Times New Roman" w:hAnsi="Times New Roman" w:cs="Times New Roman"/>
          <w:sz w:val="20"/>
          <w:szCs w:val="20"/>
        </w:rPr>
      </w:pPr>
    </w:p>
    <w:p w14:paraId="7A645BBD" w14:textId="64E3A619" w:rsidR="00957F89" w:rsidRPr="00C73849" w:rsidRDefault="00D92D87" w:rsidP="005D3932">
      <w:pPr>
        <w:pStyle w:val="BodyText"/>
        <w:ind w:right="151"/>
      </w:pPr>
      <w:r w:rsidRPr="00C73849">
        <w:t>The radioactivity concentrations decreased with time in all organs and tissues. At 24 h post dosing, the highest concentrations were found in urinary bladder contents, bone marrow, large</w:t>
      </w:r>
      <w:r w:rsidRPr="00C73849">
        <w:rPr>
          <w:w w:val="99"/>
        </w:rPr>
        <w:t xml:space="preserve"> </w:t>
      </w:r>
      <w:r w:rsidRPr="00C73849">
        <w:t>intestine wall and skin. The lowest concentrations were found in brain, white fat and eye.</w:t>
      </w:r>
    </w:p>
    <w:p w14:paraId="77205A71" w14:textId="77777777" w:rsidR="00957F89" w:rsidRPr="00C73849" w:rsidRDefault="00957F89" w:rsidP="005D3932">
      <w:pPr>
        <w:spacing w:before="10"/>
        <w:rPr>
          <w:rFonts w:ascii="Times New Roman" w:eastAsia="Times New Roman" w:hAnsi="Times New Roman" w:cs="Times New Roman"/>
          <w:sz w:val="20"/>
          <w:szCs w:val="20"/>
        </w:rPr>
      </w:pPr>
    </w:p>
    <w:p w14:paraId="2F3A99C3" w14:textId="77777777" w:rsidR="00957F89" w:rsidRPr="00C73849" w:rsidRDefault="00D92D87" w:rsidP="005D3932">
      <w:pPr>
        <w:pStyle w:val="BodyText"/>
        <w:ind w:right="311"/>
      </w:pPr>
      <w:r w:rsidRPr="00C73849">
        <w:t>The highest total amounts of radioactivity were recovered in muscle, skin and bone tissue. At both 15 min and 24 h post dosing, these tissues accounted for approximately 70% of the</w:t>
      </w:r>
      <w:r w:rsidRPr="00C73849">
        <w:rPr>
          <w:w w:val="99"/>
        </w:rPr>
        <w:t xml:space="preserve"> </w:t>
      </w:r>
      <w:r w:rsidRPr="00C73849">
        <w:t>activity retained in the whole body.</w:t>
      </w:r>
    </w:p>
    <w:p w14:paraId="7629994A" w14:textId="77777777" w:rsidR="00957F89" w:rsidRPr="00C73849" w:rsidRDefault="00957F89" w:rsidP="005D3932">
      <w:pPr>
        <w:spacing w:before="10"/>
        <w:rPr>
          <w:rFonts w:ascii="Times New Roman" w:eastAsia="Times New Roman" w:hAnsi="Times New Roman" w:cs="Times New Roman"/>
          <w:sz w:val="20"/>
          <w:szCs w:val="20"/>
        </w:rPr>
      </w:pPr>
    </w:p>
    <w:p w14:paraId="34EAA8B7" w14:textId="77777777" w:rsidR="00957F89" w:rsidRPr="00C73849" w:rsidRDefault="00D92D87" w:rsidP="005D3932">
      <w:pPr>
        <w:pStyle w:val="BodyText"/>
        <w:ind w:right="311"/>
      </w:pPr>
      <w:r w:rsidRPr="00C73849">
        <w:t>The total recovery determined in whole-body sections decreased from 55% id at 15 min to</w:t>
      </w:r>
      <w:r w:rsidRPr="00C73849">
        <w:rPr>
          <w:w w:val="99"/>
        </w:rPr>
        <w:t xml:space="preserve"> </w:t>
      </w:r>
      <w:r w:rsidRPr="00C73849">
        <w:t>7.9% id at 24 h.</w:t>
      </w:r>
    </w:p>
    <w:p w14:paraId="29573FA3" w14:textId="77777777" w:rsidR="00957F89" w:rsidRPr="00C73849" w:rsidRDefault="00957F89" w:rsidP="005D3932">
      <w:pPr>
        <w:spacing w:before="2"/>
        <w:rPr>
          <w:rFonts w:ascii="Times New Roman" w:eastAsia="Times New Roman" w:hAnsi="Times New Roman" w:cs="Times New Roman"/>
          <w:sz w:val="21"/>
          <w:szCs w:val="21"/>
        </w:rPr>
      </w:pPr>
    </w:p>
    <w:p w14:paraId="13310AD0" w14:textId="77777777" w:rsidR="00957F89" w:rsidRPr="00C73849" w:rsidRDefault="00D92D87" w:rsidP="005D3932">
      <w:pPr>
        <w:pStyle w:val="BodyText"/>
        <w:spacing w:line="276" w:lineRule="exact"/>
        <w:ind w:right="343"/>
      </w:pPr>
      <w:r w:rsidRPr="00C73849">
        <w:t xml:space="preserve">The major elimination route was through exhaled air. At 24 h post-dosing, radioactivity corresponding to 56% of the total id was recovered in exhaled air, </w:t>
      </w:r>
      <w:r w:rsidR="00A50275" w:rsidRPr="00C73849">
        <w:t>because of</w:t>
      </w:r>
      <w:r w:rsidRPr="00C73849">
        <w:t xml:space="preserve"> the formation</w:t>
      </w:r>
      <w:r w:rsidRPr="00C73849">
        <w:rPr>
          <w:w w:val="99"/>
        </w:rPr>
        <w:t xml:space="preserve"> </w:t>
      </w:r>
      <w:r w:rsidRPr="00C73849">
        <w:t xml:space="preserve">of </w:t>
      </w:r>
      <w:r w:rsidRPr="00C73849">
        <w:rPr>
          <w:position w:val="11"/>
          <w:sz w:val="16"/>
        </w:rPr>
        <w:lastRenderedPageBreak/>
        <w:t>14</w:t>
      </w:r>
      <w:r w:rsidRPr="00C73849">
        <w:t>CO</w:t>
      </w:r>
      <w:r w:rsidRPr="00C73849">
        <w:rPr>
          <w:position w:val="-2"/>
          <w:sz w:val="16"/>
        </w:rPr>
        <w:t>2</w:t>
      </w:r>
      <w:r w:rsidRPr="00C73849">
        <w:t>. The elimination rate decreased biexponentially with time.</w:t>
      </w:r>
    </w:p>
    <w:p w14:paraId="5B7882AF" w14:textId="77777777" w:rsidR="00957F89" w:rsidRPr="00C73849" w:rsidRDefault="00D92D87" w:rsidP="005D3932">
      <w:pPr>
        <w:pStyle w:val="BodyText"/>
        <w:spacing w:before="241" w:line="274" w:lineRule="exact"/>
        <w:ind w:right="151"/>
      </w:pPr>
      <w:r w:rsidRPr="00C73849">
        <w:t xml:space="preserve">Only minor amounts of radioactivity were excreted in urine and </w:t>
      </w:r>
      <w:r w:rsidR="002A7BB9" w:rsidRPr="00C73849">
        <w:t>feces</w:t>
      </w:r>
      <w:r w:rsidRPr="00C73849">
        <w:t xml:space="preserve"> (2.1% and 0.26% of id</w:t>
      </w:r>
      <w:r w:rsidRPr="00C73849">
        <w:rPr>
          <w:w w:val="99"/>
        </w:rPr>
        <w:t xml:space="preserve"> </w:t>
      </w:r>
      <w:r w:rsidRPr="00C73849">
        <w:t>respectively, at 24 h post-dosing).</w:t>
      </w:r>
    </w:p>
    <w:p w14:paraId="393A6B76" w14:textId="77777777" w:rsidR="00957F89" w:rsidRPr="00C73849" w:rsidRDefault="00957F89" w:rsidP="005D3932">
      <w:pPr>
        <w:spacing w:before="10"/>
        <w:rPr>
          <w:rFonts w:ascii="Times New Roman" w:eastAsia="Times New Roman" w:hAnsi="Times New Roman" w:cs="Times New Roman"/>
          <w:sz w:val="20"/>
          <w:szCs w:val="20"/>
        </w:rPr>
      </w:pPr>
    </w:p>
    <w:p w14:paraId="11395953" w14:textId="77777777" w:rsidR="00957F89" w:rsidRPr="00C73849" w:rsidRDefault="00D92D87" w:rsidP="005D3932">
      <w:pPr>
        <w:pStyle w:val="BodyText"/>
        <w:spacing w:line="276" w:lineRule="exact"/>
        <w:ind w:right="311"/>
      </w:pPr>
      <w:r w:rsidRPr="00C73849">
        <w:t>The data from this study were in good accordance with data from the first study, allowing these</w:t>
      </w:r>
      <w:r w:rsidRPr="00C73849">
        <w:rPr>
          <w:w w:val="99"/>
        </w:rPr>
        <w:t xml:space="preserve"> </w:t>
      </w:r>
      <w:r w:rsidRPr="00C73849">
        <w:t>data sets to be pooled for evaluation of the biodistribution of radioactivity in the rat following injection of sodium [1-</w:t>
      </w:r>
      <w:r w:rsidRPr="00C73849">
        <w:rPr>
          <w:position w:val="11"/>
          <w:sz w:val="16"/>
        </w:rPr>
        <w:t>14</w:t>
      </w:r>
      <w:proofErr w:type="gramStart"/>
      <w:r w:rsidRPr="00C73849">
        <w:t>C]pyruvate</w:t>
      </w:r>
      <w:proofErr w:type="gramEnd"/>
      <w:r w:rsidRPr="00C73849">
        <w:t xml:space="preserve"> diluted with sodium [1-</w:t>
      </w:r>
      <w:r w:rsidRPr="00C73849">
        <w:rPr>
          <w:position w:val="11"/>
          <w:sz w:val="16"/>
        </w:rPr>
        <w:t>13</w:t>
      </w:r>
      <w:r w:rsidRPr="00C73849">
        <w:t>C]pyruvate from 30 s to 24 h</w:t>
      </w:r>
      <w:r w:rsidR="001E1911">
        <w:t xml:space="preserve"> </w:t>
      </w:r>
      <w:r w:rsidRPr="00C73849">
        <w:t>after administration.</w:t>
      </w:r>
    </w:p>
    <w:p w14:paraId="60247541" w14:textId="77777777" w:rsidR="00957F89" w:rsidRPr="00C73849" w:rsidRDefault="00957F89" w:rsidP="005D3932">
      <w:pPr>
        <w:spacing w:before="7"/>
        <w:rPr>
          <w:rFonts w:ascii="Times New Roman" w:eastAsia="Times New Roman" w:hAnsi="Times New Roman" w:cs="Times New Roman"/>
          <w:sz w:val="20"/>
          <w:szCs w:val="20"/>
        </w:rPr>
      </w:pPr>
    </w:p>
    <w:p w14:paraId="71B32FFA" w14:textId="0C680233" w:rsidR="00957F89" w:rsidRPr="00C73849" w:rsidRDefault="00D92D87" w:rsidP="005D3932">
      <w:pPr>
        <w:pStyle w:val="BodyText"/>
        <w:ind w:right="311"/>
      </w:pPr>
      <w:r w:rsidRPr="00C73849">
        <w:t xml:space="preserve">The total recovery was in the range of 53 to 67% of id at 24 h post-dosing. The total recovery is lower than expected, but since the overall results of these 2 studies indicate that in the rat </w:t>
      </w:r>
      <w:r w:rsidR="00995AB4">
        <w:t>IV</w:t>
      </w:r>
      <w:r w:rsidRPr="00C73849">
        <w:rPr>
          <w:w w:val="99"/>
        </w:rPr>
        <w:t xml:space="preserve"> </w:t>
      </w:r>
      <w:r w:rsidRPr="00C73849">
        <w:t>injected pyruvate is rapidly removed from the blood and is metabolized through the expected</w:t>
      </w:r>
      <w:r w:rsidRPr="00C73849">
        <w:rPr>
          <w:w w:val="99"/>
        </w:rPr>
        <w:t xml:space="preserve"> </w:t>
      </w:r>
      <w:r w:rsidRPr="00C73849">
        <w:t>metabolic pathways, this is still considered to be acceptable.</w:t>
      </w:r>
    </w:p>
    <w:p w14:paraId="02448335" w14:textId="77777777" w:rsidR="00957F89" w:rsidRPr="00980B07" w:rsidRDefault="00957F89" w:rsidP="005D3932">
      <w:pPr>
        <w:rPr>
          <w:rFonts w:ascii="Times New Roman" w:eastAsia="Times New Roman" w:hAnsi="Times New Roman" w:cs="Times New Roman"/>
        </w:rPr>
      </w:pPr>
    </w:p>
    <w:p w14:paraId="196A459F" w14:textId="77777777" w:rsidR="00957F89" w:rsidRPr="00C73849" w:rsidRDefault="00693531" w:rsidP="00996230">
      <w:pPr>
        <w:pStyle w:val="Heading3"/>
        <w:rPr>
          <w:rFonts w:eastAsia="Times New Roman" w:hAnsi="Times New Roman" w:cs="Times New Roman"/>
          <w:szCs w:val="24"/>
        </w:rPr>
      </w:pPr>
      <w:bookmarkStart w:id="86" w:name="_Toc34899970"/>
      <w:bookmarkStart w:id="87" w:name="_Toc33702499"/>
      <w:bookmarkStart w:id="88" w:name="_Toc176276932"/>
      <w:r>
        <w:t>5.2.5</w:t>
      </w:r>
      <w:r>
        <w:tab/>
        <w:t>M</w:t>
      </w:r>
      <w:r w:rsidR="00D92D87" w:rsidRPr="00C73849">
        <w:t>etabolism (interspecies comparison)</w:t>
      </w:r>
      <w:bookmarkEnd w:id="86"/>
      <w:bookmarkEnd w:id="87"/>
      <w:bookmarkEnd w:id="88"/>
    </w:p>
    <w:p w14:paraId="1CFDB58A" w14:textId="77777777" w:rsidR="00957F89" w:rsidRPr="00C73849" w:rsidRDefault="00957F89">
      <w:pPr>
        <w:spacing w:before="5"/>
        <w:rPr>
          <w:rFonts w:ascii="Times New Roman" w:eastAsia="Times New Roman" w:hAnsi="Times New Roman" w:cs="Times New Roman"/>
          <w:b/>
          <w:bCs/>
          <w:sz w:val="20"/>
          <w:szCs w:val="20"/>
        </w:rPr>
      </w:pPr>
    </w:p>
    <w:p w14:paraId="4C2A3245" w14:textId="7B17A85E" w:rsidR="00957F89" w:rsidRPr="00C73849" w:rsidRDefault="00D92D87" w:rsidP="009F5F26">
      <w:pPr>
        <w:pStyle w:val="BodyText"/>
        <w:ind w:right="311"/>
      </w:pPr>
      <w:r w:rsidRPr="00C73849">
        <w:t>As the metabolic pathways of pyruvate are well described in the literature, no specific</w:t>
      </w:r>
      <w:r w:rsidRPr="00C73849">
        <w:rPr>
          <w:w w:val="99"/>
        </w:rPr>
        <w:t xml:space="preserve"> </w:t>
      </w:r>
      <w:r w:rsidRPr="00C73849">
        <w:t>metabolism or plasma protein-binding studies have been performed. The conversion of pyruvate to lactate was studied using bioanalytical methods both in the conscious and the</w:t>
      </w:r>
      <w:r w:rsidRPr="00C73849">
        <w:rPr>
          <w:w w:val="99"/>
        </w:rPr>
        <w:t xml:space="preserve"> </w:t>
      </w:r>
      <w:r w:rsidRPr="00C73849">
        <w:t xml:space="preserve">anaesthetized dog, see </w:t>
      </w:r>
      <w:r w:rsidRPr="00A05C81">
        <w:rPr>
          <w:szCs w:val="22"/>
        </w:rPr>
        <w:t xml:space="preserve">section </w:t>
      </w:r>
      <w:r w:rsidR="00060C19" w:rsidRPr="005F6CE7">
        <w:rPr>
          <w:rFonts w:ascii="Calibri" w:hAnsi="Calibri"/>
          <w:szCs w:val="22"/>
        </w:rPr>
        <w:t>5.1.3</w:t>
      </w:r>
      <w:r w:rsidRPr="00044CE4">
        <w:t xml:space="preserve"> Safety Pharmacology</w:t>
      </w:r>
      <w:r w:rsidRPr="00C73849">
        <w:t>. The conversion of</w:t>
      </w:r>
      <w:r w:rsidR="009F5F26">
        <w:t xml:space="preserve"> </w:t>
      </w:r>
      <w:r w:rsidRPr="00C73849">
        <w:t>[1-</w:t>
      </w:r>
      <w:r w:rsidRPr="00C73849">
        <w:rPr>
          <w:position w:val="11"/>
          <w:sz w:val="16"/>
        </w:rPr>
        <w:t>13</w:t>
      </w:r>
      <w:proofErr w:type="gramStart"/>
      <w:r w:rsidRPr="00C73849">
        <w:t>C]pyruvate</w:t>
      </w:r>
      <w:proofErr w:type="gramEnd"/>
      <w:r w:rsidRPr="00C73849">
        <w:t xml:space="preserve"> to [1-</w:t>
      </w:r>
      <w:r w:rsidRPr="00C73849">
        <w:rPr>
          <w:position w:val="11"/>
          <w:sz w:val="16"/>
        </w:rPr>
        <w:t>13</w:t>
      </w:r>
      <w:r w:rsidRPr="00C73849">
        <w:t>C]lactate was studied in the dog using magnetic resonance</w:t>
      </w:r>
      <w:r w:rsidRPr="00C73849">
        <w:rPr>
          <w:w w:val="99"/>
        </w:rPr>
        <w:t xml:space="preserve"> </w:t>
      </w:r>
      <w:r w:rsidRPr="00C73849">
        <w:t>spectroscopy (MRS),</w:t>
      </w:r>
      <w:r w:rsidR="00044CE4">
        <w:t xml:space="preserve"> </w:t>
      </w:r>
      <w:r w:rsidRPr="00C73849">
        <w:t>see Study B101059 (the section on Primary Pharmacodynamics).</w:t>
      </w:r>
    </w:p>
    <w:p w14:paraId="09D75151" w14:textId="77777777" w:rsidR="00957F89" w:rsidRPr="00C73849" w:rsidRDefault="00957F89">
      <w:pPr>
        <w:rPr>
          <w:rFonts w:ascii="Times New Roman" w:eastAsia="Times New Roman" w:hAnsi="Times New Roman" w:cs="Times New Roman"/>
          <w:sz w:val="20"/>
          <w:szCs w:val="20"/>
        </w:rPr>
      </w:pPr>
    </w:p>
    <w:p w14:paraId="24575882" w14:textId="77777777" w:rsidR="00957F89" w:rsidRPr="00C73849" w:rsidRDefault="00693531" w:rsidP="00996230">
      <w:pPr>
        <w:pStyle w:val="Heading3"/>
        <w:rPr>
          <w:rFonts w:eastAsia="Times New Roman" w:hAnsi="Times New Roman" w:cs="Times New Roman"/>
          <w:szCs w:val="24"/>
        </w:rPr>
      </w:pPr>
      <w:bookmarkStart w:id="89" w:name="_Toc34899971"/>
      <w:bookmarkStart w:id="90" w:name="_Toc33702500"/>
      <w:bookmarkStart w:id="91" w:name="_Toc176276933"/>
      <w:r>
        <w:t>5.2.6</w:t>
      </w:r>
      <w:r>
        <w:tab/>
      </w:r>
      <w:r w:rsidR="00D92D87" w:rsidRPr="00C73849">
        <w:t>Excretion</w:t>
      </w:r>
      <w:bookmarkEnd w:id="89"/>
      <w:bookmarkEnd w:id="90"/>
      <w:bookmarkEnd w:id="91"/>
    </w:p>
    <w:p w14:paraId="45EB4306" w14:textId="77777777" w:rsidR="00957F89" w:rsidRPr="00C73849" w:rsidRDefault="00957F89">
      <w:pPr>
        <w:spacing w:before="5"/>
        <w:rPr>
          <w:rFonts w:ascii="Times New Roman" w:eastAsia="Times New Roman" w:hAnsi="Times New Roman" w:cs="Times New Roman"/>
          <w:b/>
          <w:bCs/>
          <w:sz w:val="20"/>
          <w:szCs w:val="20"/>
        </w:rPr>
      </w:pPr>
    </w:p>
    <w:p w14:paraId="6D77282D" w14:textId="77777777" w:rsidR="00957F89" w:rsidRPr="00C73849" w:rsidRDefault="00D92D87">
      <w:pPr>
        <w:pStyle w:val="BodyText"/>
        <w:ind w:right="151"/>
      </w:pPr>
      <w:r w:rsidRPr="00C73849">
        <w:t>No specific studies of excretion have been performed; reference is made to the biodistribution</w:t>
      </w:r>
      <w:r w:rsidRPr="00C73849">
        <w:rPr>
          <w:w w:val="99"/>
        </w:rPr>
        <w:t xml:space="preserve"> </w:t>
      </w:r>
      <w:r w:rsidRPr="00C73849">
        <w:t>studies described above.</w:t>
      </w:r>
    </w:p>
    <w:p w14:paraId="0F4D2EE0" w14:textId="77777777" w:rsidR="00957F89" w:rsidRPr="00C73849" w:rsidRDefault="00957F89">
      <w:pPr>
        <w:rPr>
          <w:rFonts w:ascii="Times New Roman" w:eastAsia="Times New Roman" w:hAnsi="Times New Roman" w:cs="Times New Roman"/>
          <w:sz w:val="24"/>
          <w:szCs w:val="24"/>
        </w:rPr>
      </w:pPr>
    </w:p>
    <w:p w14:paraId="1F0C09D7" w14:textId="77777777" w:rsidR="00957F89" w:rsidRPr="00C73849" w:rsidRDefault="00693531" w:rsidP="00996230">
      <w:pPr>
        <w:pStyle w:val="Heading3"/>
        <w:rPr>
          <w:rFonts w:eastAsia="Times New Roman" w:hAnsi="Times New Roman" w:cs="Times New Roman"/>
          <w:szCs w:val="24"/>
        </w:rPr>
      </w:pPr>
      <w:bookmarkStart w:id="92" w:name="_Toc34899972"/>
      <w:bookmarkStart w:id="93" w:name="_Toc33702501"/>
      <w:bookmarkStart w:id="94" w:name="_Toc176276934"/>
      <w:r>
        <w:t>5.2.7</w:t>
      </w:r>
      <w:r>
        <w:tab/>
      </w:r>
      <w:r w:rsidR="00D92D87" w:rsidRPr="00C73849">
        <w:t>Pharmacokinetic Drug Interactions</w:t>
      </w:r>
      <w:bookmarkEnd w:id="92"/>
      <w:bookmarkEnd w:id="93"/>
      <w:bookmarkEnd w:id="94"/>
    </w:p>
    <w:p w14:paraId="2BE23501" w14:textId="77777777" w:rsidR="00957F89" w:rsidRPr="00C73849" w:rsidRDefault="00957F89">
      <w:pPr>
        <w:spacing w:before="5"/>
        <w:rPr>
          <w:rFonts w:ascii="Times New Roman" w:eastAsia="Times New Roman" w:hAnsi="Times New Roman" w:cs="Times New Roman"/>
          <w:b/>
          <w:bCs/>
          <w:sz w:val="20"/>
          <w:szCs w:val="20"/>
        </w:rPr>
      </w:pPr>
    </w:p>
    <w:p w14:paraId="20182E2C" w14:textId="77777777" w:rsidR="00957F89" w:rsidRPr="00C73849" w:rsidRDefault="00D92D87">
      <w:pPr>
        <w:pStyle w:val="BodyText"/>
      </w:pPr>
      <w:r w:rsidRPr="00C73849">
        <w:t>No specific studies have been performed to date.</w:t>
      </w:r>
    </w:p>
    <w:p w14:paraId="5AB01A69" w14:textId="77777777" w:rsidR="00957F89" w:rsidRPr="00C73849" w:rsidRDefault="00957F89">
      <w:pPr>
        <w:rPr>
          <w:rFonts w:ascii="Times New Roman" w:eastAsia="Times New Roman" w:hAnsi="Times New Roman" w:cs="Times New Roman"/>
          <w:sz w:val="24"/>
          <w:szCs w:val="24"/>
        </w:rPr>
      </w:pPr>
    </w:p>
    <w:p w14:paraId="30F2127A" w14:textId="77777777" w:rsidR="00957F89" w:rsidRPr="00C73849" w:rsidRDefault="00693531" w:rsidP="00996230">
      <w:pPr>
        <w:pStyle w:val="Heading3"/>
        <w:rPr>
          <w:rFonts w:eastAsia="Times New Roman" w:hAnsi="Times New Roman" w:cs="Times New Roman"/>
          <w:szCs w:val="24"/>
        </w:rPr>
      </w:pPr>
      <w:bookmarkStart w:id="95" w:name="_Toc34899973"/>
      <w:bookmarkStart w:id="96" w:name="_Toc33702502"/>
      <w:bookmarkStart w:id="97" w:name="_Toc176276935"/>
      <w:r>
        <w:t>5.2.8</w:t>
      </w:r>
      <w:r>
        <w:tab/>
      </w:r>
      <w:r w:rsidR="00D92D87" w:rsidRPr="00C73849">
        <w:t>Other Pharmacokinetic Studies</w:t>
      </w:r>
      <w:bookmarkEnd w:id="95"/>
      <w:bookmarkEnd w:id="96"/>
      <w:bookmarkEnd w:id="97"/>
    </w:p>
    <w:p w14:paraId="51BB8E1D" w14:textId="77777777" w:rsidR="00957F89" w:rsidRPr="00C73849" w:rsidRDefault="00957F89">
      <w:pPr>
        <w:spacing w:before="5"/>
        <w:rPr>
          <w:rFonts w:ascii="Times New Roman" w:eastAsia="Times New Roman" w:hAnsi="Times New Roman" w:cs="Times New Roman"/>
          <w:b/>
          <w:bCs/>
          <w:sz w:val="20"/>
          <w:szCs w:val="20"/>
        </w:rPr>
      </w:pPr>
    </w:p>
    <w:p w14:paraId="2347C66E" w14:textId="436B7D0E" w:rsidR="00957F89" w:rsidRPr="00C73849" w:rsidRDefault="00D92D87">
      <w:pPr>
        <w:pStyle w:val="BodyText"/>
        <w:ind w:right="151"/>
      </w:pPr>
      <w:r w:rsidRPr="00C73849">
        <w:t>In two safety pharmacology studies (B101026 and B101036), blood concentrations of pyruvate</w:t>
      </w:r>
      <w:r w:rsidRPr="00C73849">
        <w:rPr>
          <w:w w:val="99"/>
        </w:rPr>
        <w:t xml:space="preserve"> </w:t>
      </w:r>
      <w:r w:rsidRPr="00C73849">
        <w:t>and lactate were studied following rapid bolus injection of mixture of pyruvic acid and</w:t>
      </w:r>
      <w:r w:rsidRPr="00C73849">
        <w:rPr>
          <w:w w:val="99"/>
        </w:rPr>
        <w:t xml:space="preserve"> </w:t>
      </w:r>
      <w:r w:rsidRPr="00C73849">
        <w:t>AH111501 sodium salt dissolved in TRIS/EDTA dissolution medium. For further reference to</w:t>
      </w:r>
      <w:r w:rsidRPr="00C73849">
        <w:rPr>
          <w:w w:val="99"/>
        </w:rPr>
        <w:t xml:space="preserve"> </w:t>
      </w:r>
      <w:r w:rsidRPr="00C73849">
        <w:t>these studies, see the section on Safety Pharmacology.</w:t>
      </w:r>
    </w:p>
    <w:p w14:paraId="13941FEA" w14:textId="77777777" w:rsidR="00957F89" w:rsidRPr="00C73849" w:rsidRDefault="00957F89">
      <w:pPr>
        <w:spacing w:before="3"/>
        <w:rPr>
          <w:rFonts w:ascii="Times New Roman" w:eastAsia="Times New Roman" w:hAnsi="Times New Roman" w:cs="Times New Roman"/>
          <w:sz w:val="21"/>
          <w:szCs w:val="21"/>
        </w:rPr>
      </w:pPr>
    </w:p>
    <w:p w14:paraId="3498FF18" w14:textId="6F4303AE" w:rsidR="00957F89" w:rsidRPr="003F4FAF" w:rsidRDefault="00D92D87" w:rsidP="003F4FAF">
      <w:pPr>
        <w:pStyle w:val="Heading5"/>
      </w:pPr>
      <w:bookmarkStart w:id="98" w:name="_Toc437961133"/>
      <w:bookmarkStart w:id="99" w:name="_Toc34899974"/>
      <w:bookmarkStart w:id="100" w:name="_Toc33702503"/>
      <w:r w:rsidRPr="003F4FAF">
        <w:rPr>
          <w:b/>
        </w:rPr>
        <w:t>5.2.8.1</w:t>
      </w:r>
      <w:bookmarkEnd w:id="98"/>
      <w:bookmarkEnd w:id="99"/>
      <w:bookmarkEnd w:id="100"/>
      <w:r w:rsidRPr="00C73849">
        <w:tab/>
      </w:r>
      <w:r w:rsidR="00650CAE">
        <w:tab/>
      </w:r>
      <w:r w:rsidRPr="00C73849">
        <w:t>GE study number: B101026</w:t>
      </w:r>
      <w:r w:rsidR="009F5F26">
        <w:t xml:space="preserve">. </w:t>
      </w:r>
      <w:r w:rsidR="00AE6106" w:rsidRPr="00C73849">
        <w:t xml:space="preserve">Cardiovascular assessment in </w:t>
      </w:r>
      <w:r w:rsidR="00131CA3" w:rsidRPr="00C73849">
        <w:t>anaesthetized</w:t>
      </w:r>
      <w:r w:rsidR="00AE6106" w:rsidRPr="00C73849">
        <w:t xml:space="preserve"> dog of pyruvate administered at high injection rates (non-GLP)</w:t>
      </w:r>
    </w:p>
    <w:p w14:paraId="6C7F0033" w14:textId="77777777" w:rsidR="00957F89" w:rsidRPr="00C73849" w:rsidRDefault="00957F89" w:rsidP="005D3932">
      <w:pPr>
        <w:ind w:left="1222" w:right="151"/>
        <w:rPr>
          <w:rFonts w:ascii="Times New Roman" w:eastAsia="Times New Roman" w:hAnsi="Times New Roman" w:cs="Times New Roman"/>
          <w:b/>
          <w:bCs/>
          <w:sz w:val="20"/>
          <w:szCs w:val="20"/>
        </w:rPr>
      </w:pPr>
    </w:p>
    <w:p w14:paraId="5F37A57A" w14:textId="77777777" w:rsidR="00957F89" w:rsidRPr="00C73849" w:rsidRDefault="00D92D87" w:rsidP="005D3932">
      <w:pPr>
        <w:pStyle w:val="BodyText"/>
        <w:ind w:right="311"/>
      </w:pPr>
      <w:r w:rsidRPr="00C73849">
        <w:t>Blood samples for determination of pyruvate and lactate concentrations in blood after</w:t>
      </w:r>
      <w:r w:rsidRPr="00C73849">
        <w:rPr>
          <w:w w:val="99"/>
        </w:rPr>
        <w:t xml:space="preserve"> </w:t>
      </w:r>
      <w:r w:rsidRPr="00C73849">
        <w:t>intravenous administration of pyruvic acid dissolved in 200 mM TRIS/EDTA dissolution</w:t>
      </w:r>
      <w:r w:rsidRPr="00C73849">
        <w:rPr>
          <w:w w:val="99"/>
        </w:rPr>
        <w:t xml:space="preserve"> </w:t>
      </w:r>
      <w:r w:rsidRPr="00C73849">
        <w:t xml:space="preserve">medium in anesthetized dogs were collected from a femoral vein at 3 min pre-dosing, and at 1, </w:t>
      </w:r>
      <w:proofErr w:type="gramStart"/>
      <w:r w:rsidRPr="00C73849">
        <w:t>3, 5, 10 and 15 min</w:t>
      </w:r>
      <w:proofErr w:type="gramEnd"/>
      <w:r w:rsidRPr="00C73849">
        <w:t xml:space="preserve"> post-dosing.</w:t>
      </w:r>
    </w:p>
    <w:p w14:paraId="74D42A62" w14:textId="77777777" w:rsidR="00957F89" w:rsidRPr="00C73849" w:rsidRDefault="00957F89" w:rsidP="005D3932">
      <w:pPr>
        <w:spacing w:before="10"/>
        <w:rPr>
          <w:rFonts w:ascii="Times New Roman" w:eastAsia="Times New Roman" w:hAnsi="Times New Roman" w:cs="Times New Roman"/>
          <w:sz w:val="20"/>
          <w:szCs w:val="20"/>
        </w:rPr>
      </w:pPr>
    </w:p>
    <w:p w14:paraId="0A6AF57B" w14:textId="77777777" w:rsidR="00957F89" w:rsidRPr="00C73849" w:rsidRDefault="00D92D87" w:rsidP="005D3932">
      <w:pPr>
        <w:pStyle w:val="BodyText"/>
        <w:ind w:right="485"/>
        <w:jc w:val="both"/>
      </w:pPr>
      <w:r w:rsidRPr="00C73849">
        <w:lastRenderedPageBreak/>
        <w:t xml:space="preserve">The pyruvate concentration was 500 </w:t>
      </w:r>
      <w:proofErr w:type="gramStart"/>
      <w:r w:rsidRPr="00C73849">
        <w:t>mM</w:t>
      </w:r>
      <w:proofErr w:type="gramEnd"/>
      <w:r w:rsidRPr="00C73849">
        <w:t xml:space="preserve"> and the dose levels were 0.71, 1.43, 2.14 and 2.86 ml/kg </w:t>
      </w:r>
      <w:proofErr w:type="spellStart"/>
      <w:r w:rsidRPr="00C73849">
        <w:t>bw</w:t>
      </w:r>
      <w:proofErr w:type="spellEnd"/>
      <w:r w:rsidRPr="00C73849">
        <w:t>, and the dose rate 5 ml/s or 2 ml/s. The minimum interval between dosing was 35 min. For each dog a different dosing sequence was used.</w:t>
      </w:r>
    </w:p>
    <w:p w14:paraId="4458172C" w14:textId="77777777" w:rsidR="00957F89" w:rsidRPr="00C73849" w:rsidRDefault="00957F89" w:rsidP="005D3932">
      <w:pPr>
        <w:spacing w:before="10"/>
        <w:rPr>
          <w:rFonts w:ascii="Times New Roman" w:eastAsia="Times New Roman" w:hAnsi="Times New Roman" w:cs="Times New Roman"/>
          <w:sz w:val="20"/>
          <w:szCs w:val="20"/>
        </w:rPr>
      </w:pPr>
    </w:p>
    <w:p w14:paraId="027DC243" w14:textId="77777777" w:rsidR="00957F89" w:rsidRPr="00C73849" w:rsidRDefault="00D92D87" w:rsidP="005D3932">
      <w:pPr>
        <w:pStyle w:val="BodyText"/>
        <w:ind w:right="151"/>
      </w:pPr>
      <w:r w:rsidRPr="00C73849">
        <w:t>Blood samples were also collected following administration of control items, for assessment of baseline pyruvate and lactate values throughout the study period.</w:t>
      </w:r>
    </w:p>
    <w:p w14:paraId="2D923E90" w14:textId="77777777" w:rsidR="00957F89" w:rsidRPr="00C73849" w:rsidRDefault="00957F89" w:rsidP="005D3932">
      <w:pPr>
        <w:spacing w:before="10"/>
        <w:rPr>
          <w:rFonts w:ascii="Times New Roman" w:eastAsia="Times New Roman" w:hAnsi="Times New Roman" w:cs="Times New Roman"/>
          <w:sz w:val="20"/>
          <w:szCs w:val="20"/>
        </w:rPr>
      </w:pPr>
    </w:p>
    <w:p w14:paraId="5E76D2F6" w14:textId="78F12F6E" w:rsidR="00957F89" w:rsidRPr="00C73849" w:rsidRDefault="00D92D87" w:rsidP="005D3932">
      <w:pPr>
        <w:pStyle w:val="BodyText"/>
        <w:ind w:right="311"/>
      </w:pPr>
      <w:r w:rsidRPr="00C73849">
        <w:t>The blood samples were analyzed using a validated reversed phase liquid chromatography mass spectrometry (LC-MS) for quantitative determination of pyruvate and lactate</w:t>
      </w:r>
      <w:r w:rsidRPr="00C73849">
        <w:rPr>
          <w:w w:val="99"/>
        </w:rPr>
        <w:t xml:space="preserve"> </w:t>
      </w:r>
      <w:r w:rsidRPr="00C73849">
        <w:t>concentrations in whole blood.</w:t>
      </w:r>
    </w:p>
    <w:p w14:paraId="0F87FE23" w14:textId="77777777" w:rsidR="00957F89" w:rsidRPr="00C73849" w:rsidRDefault="00957F89" w:rsidP="005D3932">
      <w:pPr>
        <w:spacing w:before="11"/>
        <w:rPr>
          <w:rFonts w:ascii="Times New Roman" w:eastAsia="Times New Roman" w:hAnsi="Times New Roman" w:cs="Times New Roman"/>
          <w:sz w:val="20"/>
          <w:szCs w:val="20"/>
        </w:rPr>
      </w:pPr>
    </w:p>
    <w:p w14:paraId="6F2D453A" w14:textId="77777777" w:rsidR="00957F89" w:rsidRPr="00C73849" w:rsidRDefault="00D92D87" w:rsidP="005D3932">
      <w:pPr>
        <w:pStyle w:val="BodyText"/>
        <w:spacing w:line="239" w:lineRule="auto"/>
        <w:ind w:right="899"/>
      </w:pPr>
      <w:r w:rsidRPr="00C73849">
        <w:t>The pharmacokinetics of pyruvate and lactate were assessed using non-compartmental</w:t>
      </w:r>
      <w:r w:rsidRPr="00C73849">
        <w:rPr>
          <w:w w:val="99"/>
        </w:rPr>
        <w:t xml:space="preserve"> </w:t>
      </w:r>
      <w:r w:rsidRPr="00C73849">
        <w:t>analysis. The data were corrected for pre-dose concentrations prior to pharmacokinetic</w:t>
      </w:r>
      <w:r w:rsidRPr="00C73849">
        <w:rPr>
          <w:w w:val="99"/>
        </w:rPr>
        <w:t xml:space="preserve"> </w:t>
      </w:r>
      <w:r w:rsidRPr="00C73849">
        <w:t>analysis.</w:t>
      </w:r>
    </w:p>
    <w:p w14:paraId="36C5AAF9" w14:textId="77777777" w:rsidR="00957F89" w:rsidRPr="00C73849" w:rsidRDefault="00957F89" w:rsidP="005D3932">
      <w:pPr>
        <w:spacing w:before="1"/>
        <w:rPr>
          <w:rFonts w:ascii="Times New Roman" w:eastAsia="Times New Roman" w:hAnsi="Times New Roman" w:cs="Times New Roman"/>
          <w:sz w:val="21"/>
          <w:szCs w:val="21"/>
        </w:rPr>
      </w:pPr>
    </w:p>
    <w:p w14:paraId="583CD152" w14:textId="77777777" w:rsidR="00957F89" w:rsidRPr="00C73849" w:rsidRDefault="00D92D87" w:rsidP="005D3932">
      <w:pPr>
        <w:pStyle w:val="BodyText"/>
        <w:spacing w:line="300" w:lineRule="exact"/>
      </w:pPr>
      <w:r w:rsidRPr="00C73849">
        <w:t>The C</w:t>
      </w:r>
      <w:r w:rsidRPr="00C73849">
        <w:rPr>
          <w:position w:val="-2"/>
          <w:sz w:val="16"/>
          <w:szCs w:val="16"/>
        </w:rPr>
        <w:t xml:space="preserve">max </w:t>
      </w:r>
      <w:r w:rsidRPr="00C73849">
        <w:t>ranged from 227</w:t>
      </w:r>
      <w:r w:rsidRPr="00C73849">
        <w:rPr>
          <w:rFonts w:ascii="Symbol" w:eastAsia="Symbol" w:hAnsi="Symbol" w:cs="Symbol"/>
        </w:rPr>
        <w:t></w:t>
      </w:r>
      <w:r w:rsidRPr="00C73849">
        <w:t>84 µg/ml in the 0.71 ml/kg dose group to 695</w:t>
      </w:r>
      <w:r w:rsidRPr="00C73849">
        <w:rPr>
          <w:rFonts w:ascii="Symbol" w:eastAsia="Symbol" w:hAnsi="Symbol" w:cs="Symbol"/>
        </w:rPr>
        <w:t></w:t>
      </w:r>
      <w:r w:rsidRPr="00C73849">
        <w:t>197 µg/ml in the</w:t>
      </w:r>
    </w:p>
    <w:p w14:paraId="30371FD7" w14:textId="0E25E9C4" w:rsidR="00957F89" w:rsidRPr="00C73849" w:rsidRDefault="00D92D87" w:rsidP="00C627EB">
      <w:pPr>
        <w:pStyle w:val="BodyText"/>
        <w:ind w:right="311"/>
      </w:pPr>
      <w:r w:rsidRPr="00C73849">
        <w:t>2.86 ml</w:t>
      </w:r>
      <w:r w:rsidR="001E75AA">
        <w:t>/kg</w:t>
      </w:r>
      <w:r w:rsidRPr="00C73849">
        <w:t xml:space="preserve"> dose group. In comparison, the blood concentration of pyruvate measured prior to the</w:t>
      </w:r>
      <w:r w:rsidRPr="00C73849">
        <w:rPr>
          <w:w w:val="99"/>
        </w:rPr>
        <w:t xml:space="preserve"> </w:t>
      </w:r>
      <w:r w:rsidRPr="00C73849">
        <w:t>first injection on each study day was in the range from 6 to 9 µg/ml blood. The average</w:t>
      </w:r>
      <w:r w:rsidRPr="00C73849">
        <w:rPr>
          <w:w w:val="99"/>
        </w:rPr>
        <w:t xml:space="preserve"> </w:t>
      </w:r>
      <w:r w:rsidRPr="00C73849">
        <w:t>concentration measured at 1 min post-dosing corresponded to 0.023% id/ml blood. Assuming a total blood volume of 2.0 l (9% of total body weight [Davies and Morris 1993]), the average</w:t>
      </w:r>
      <w:r w:rsidR="00C627EB">
        <w:t xml:space="preserve"> </w:t>
      </w:r>
      <w:r w:rsidRPr="00C73849">
        <w:t xml:space="preserve">in blood recovery, across all dose groups was estimated </w:t>
      </w:r>
      <w:r w:rsidR="002A7BB9" w:rsidRPr="00C73849">
        <w:t>at</w:t>
      </w:r>
      <w:r w:rsidRPr="00C73849">
        <w:t xml:space="preserve"> approximately 50% of the id at</w:t>
      </w:r>
      <w:r w:rsidRPr="00C73849">
        <w:rPr>
          <w:w w:val="99"/>
        </w:rPr>
        <w:t xml:space="preserve"> </w:t>
      </w:r>
      <w:r w:rsidRPr="00C73849">
        <w:t>1 min post-dosing.</w:t>
      </w:r>
    </w:p>
    <w:p w14:paraId="4DCD47E8" w14:textId="77777777" w:rsidR="00957F89" w:rsidRPr="00C73849" w:rsidRDefault="00957F89" w:rsidP="005D3932">
      <w:pPr>
        <w:spacing w:before="1"/>
        <w:rPr>
          <w:rFonts w:ascii="Times New Roman" w:eastAsia="Times New Roman" w:hAnsi="Times New Roman" w:cs="Times New Roman"/>
          <w:sz w:val="19"/>
          <w:szCs w:val="19"/>
        </w:rPr>
      </w:pPr>
    </w:p>
    <w:p w14:paraId="574C7016" w14:textId="77777777" w:rsidR="00957F89" w:rsidRPr="00C73849" w:rsidRDefault="00D92D87" w:rsidP="005D3932">
      <w:pPr>
        <w:pStyle w:val="BodyText"/>
        <w:ind w:right="311"/>
      </w:pPr>
      <w:r w:rsidRPr="00C73849">
        <w:t>Pyruvate was rapidly eliminated from the blood. The mean elimination half-life of pyruvate</w:t>
      </w:r>
      <w:r w:rsidRPr="00C73849">
        <w:rPr>
          <w:w w:val="99"/>
        </w:rPr>
        <w:t xml:space="preserve"> </w:t>
      </w:r>
      <w:r w:rsidRPr="00C73849">
        <w:t>was 15 min or less at all dose levels.</w:t>
      </w:r>
    </w:p>
    <w:p w14:paraId="2A74EFE8" w14:textId="77777777" w:rsidR="00957F89" w:rsidRPr="00C73849" w:rsidRDefault="00957F89" w:rsidP="005D3932">
      <w:pPr>
        <w:spacing w:before="2"/>
        <w:rPr>
          <w:rFonts w:ascii="Times New Roman" w:eastAsia="Times New Roman" w:hAnsi="Times New Roman" w:cs="Times New Roman"/>
          <w:sz w:val="21"/>
          <w:szCs w:val="21"/>
        </w:rPr>
      </w:pPr>
    </w:p>
    <w:p w14:paraId="6324710B" w14:textId="77777777" w:rsidR="00957F89" w:rsidRPr="00C73849" w:rsidRDefault="00D92D87" w:rsidP="005D3932">
      <w:pPr>
        <w:pStyle w:val="BodyText"/>
        <w:spacing w:line="276" w:lineRule="exact"/>
        <w:ind w:right="311"/>
      </w:pPr>
      <w:r w:rsidRPr="00C73849">
        <w:t>The bioanalytical data show that pyruvate is rapidly metabolized to lactate following</w:t>
      </w:r>
      <w:r w:rsidRPr="00C73849">
        <w:rPr>
          <w:w w:val="99"/>
        </w:rPr>
        <w:t xml:space="preserve"> </w:t>
      </w:r>
      <w:r w:rsidRPr="00C73849">
        <w:t>intravenous injection. The lactate T</w:t>
      </w:r>
      <w:r w:rsidRPr="00C73849">
        <w:rPr>
          <w:position w:val="-2"/>
          <w:sz w:val="16"/>
        </w:rPr>
        <w:t xml:space="preserve">max </w:t>
      </w:r>
      <w:r w:rsidRPr="00C73849">
        <w:t xml:space="preserve">was observed between </w:t>
      </w:r>
      <w:proofErr w:type="gramStart"/>
      <w:r w:rsidRPr="00C73849">
        <w:t>3 and 15 min</w:t>
      </w:r>
      <w:proofErr w:type="gramEnd"/>
      <w:r w:rsidRPr="00C73849">
        <w:t xml:space="preserve"> post-dosing. The</w:t>
      </w:r>
      <w:r w:rsidRPr="00C73849">
        <w:rPr>
          <w:w w:val="99"/>
        </w:rPr>
        <w:t xml:space="preserve"> </w:t>
      </w:r>
      <w:r w:rsidRPr="00C73849">
        <w:t>lactate C</w:t>
      </w:r>
      <w:r w:rsidRPr="00C73849">
        <w:rPr>
          <w:position w:val="-2"/>
          <w:sz w:val="16"/>
        </w:rPr>
        <w:t xml:space="preserve">max </w:t>
      </w:r>
      <w:r w:rsidRPr="00C73849">
        <w:t>was approximately 2- to 3-fold lower than that of pyruvate.</w:t>
      </w:r>
    </w:p>
    <w:p w14:paraId="0811A411" w14:textId="77777777" w:rsidR="00957F89" w:rsidRPr="00C73849" w:rsidRDefault="00957F89" w:rsidP="005D3932">
      <w:pPr>
        <w:spacing w:before="7"/>
        <w:rPr>
          <w:rFonts w:ascii="Times New Roman" w:eastAsia="Times New Roman" w:hAnsi="Times New Roman" w:cs="Times New Roman"/>
          <w:sz w:val="20"/>
          <w:szCs w:val="20"/>
        </w:rPr>
      </w:pPr>
    </w:p>
    <w:p w14:paraId="27CFD753" w14:textId="77777777" w:rsidR="00957F89" w:rsidRPr="00C73849" w:rsidRDefault="00D92D87" w:rsidP="005D3932">
      <w:pPr>
        <w:pStyle w:val="BodyText"/>
        <w:ind w:right="208"/>
      </w:pPr>
      <w:r w:rsidRPr="00C73849">
        <w:t>The terminal elimination half-life of lactate was difficult to determine due to increase in lactate</w:t>
      </w:r>
      <w:r w:rsidRPr="00C73849">
        <w:rPr>
          <w:w w:val="99"/>
        </w:rPr>
        <w:t xml:space="preserve"> </w:t>
      </w:r>
      <w:r w:rsidRPr="00C73849">
        <w:t>pre-dose concentrations throughout the injection sequence in each animal, probably due to</w:t>
      </w:r>
      <w:r w:rsidRPr="00C73849">
        <w:rPr>
          <w:w w:val="99"/>
        </w:rPr>
        <w:t xml:space="preserve"> </w:t>
      </w:r>
      <w:r w:rsidRPr="00C73849">
        <w:t>incomplete elimination of the previous dose before a new dose was administered.</w:t>
      </w:r>
    </w:p>
    <w:p w14:paraId="6B845900" w14:textId="77777777" w:rsidR="00957F89" w:rsidRPr="00C73849" w:rsidRDefault="00957F89" w:rsidP="005D3932">
      <w:pPr>
        <w:spacing w:before="10"/>
        <w:rPr>
          <w:rFonts w:ascii="Times New Roman" w:eastAsia="Times New Roman" w:hAnsi="Times New Roman" w:cs="Times New Roman"/>
          <w:sz w:val="20"/>
          <w:szCs w:val="20"/>
        </w:rPr>
      </w:pPr>
    </w:p>
    <w:p w14:paraId="4F574AA3" w14:textId="77777777" w:rsidR="00957F89" w:rsidRPr="00C73849" w:rsidRDefault="00D92D87" w:rsidP="005D3932">
      <w:pPr>
        <w:pStyle w:val="BodyText"/>
        <w:ind w:right="899"/>
      </w:pPr>
      <w:r w:rsidRPr="00C73849">
        <w:t>Systemic exposure to pyruvate increased proportionally with dose, with the highest</w:t>
      </w:r>
      <w:r w:rsidRPr="00C73849">
        <w:rPr>
          <w:w w:val="99"/>
        </w:rPr>
        <w:t xml:space="preserve"> </w:t>
      </w:r>
      <w:r w:rsidRPr="00C73849">
        <w:t>concentrations measured at the first sampling time point (1 min post-dosing).</w:t>
      </w:r>
    </w:p>
    <w:p w14:paraId="62D72FF2" w14:textId="77777777" w:rsidR="00957F89" w:rsidRPr="00C73849" w:rsidRDefault="00957F89" w:rsidP="005D3932">
      <w:pPr>
        <w:spacing w:before="2"/>
        <w:rPr>
          <w:rFonts w:ascii="Times New Roman" w:eastAsia="Times New Roman" w:hAnsi="Times New Roman" w:cs="Times New Roman"/>
          <w:sz w:val="21"/>
          <w:szCs w:val="21"/>
        </w:rPr>
      </w:pPr>
    </w:p>
    <w:p w14:paraId="745743DB" w14:textId="77777777" w:rsidR="00957F89" w:rsidRPr="00C73849" w:rsidRDefault="00D92D87" w:rsidP="005D3932">
      <w:pPr>
        <w:pStyle w:val="BodyText"/>
        <w:spacing w:line="276" w:lineRule="exact"/>
        <w:ind w:right="311"/>
      </w:pPr>
      <w:r w:rsidRPr="00C73849">
        <w:t>The dose proportionality of lactate exposure was difficult to evaluate, both due to build-up of pyruvate throughout the injection sequence, and as the concentrations observed in the lowest</w:t>
      </w:r>
      <w:r w:rsidRPr="00C73849">
        <w:rPr>
          <w:w w:val="99"/>
        </w:rPr>
        <w:t xml:space="preserve"> </w:t>
      </w:r>
      <w:r w:rsidRPr="00C73849">
        <w:t>dose group were low compared to the variance in pre-dose lactate concentrations. However, both C</w:t>
      </w:r>
      <w:r w:rsidRPr="00C73849">
        <w:rPr>
          <w:position w:val="-2"/>
          <w:sz w:val="16"/>
        </w:rPr>
        <w:t xml:space="preserve">max </w:t>
      </w:r>
      <w:r w:rsidRPr="00C73849">
        <w:t>and AUC</w:t>
      </w:r>
      <w:r w:rsidRPr="00C73849">
        <w:rPr>
          <w:position w:val="-2"/>
          <w:sz w:val="16"/>
        </w:rPr>
        <w:t xml:space="preserve">tot </w:t>
      </w:r>
      <w:r w:rsidRPr="00C73849">
        <w:t>showed a negative deviation from proportionality at the highest dose level.</w:t>
      </w:r>
    </w:p>
    <w:p w14:paraId="52D32CCE" w14:textId="77777777" w:rsidR="00957F89" w:rsidRPr="00C73849" w:rsidRDefault="00957F89" w:rsidP="005D3932">
      <w:pPr>
        <w:rPr>
          <w:rFonts w:ascii="Times New Roman" w:eastAsia="Times New Roman" w:hAnsi="Times New Roman" w:cs="Times New Roman"/>
          <w:sz w:val="21"/>
          <w:szCs w:val="21"/>
        </w:rPr>
      </w:pPr>
    </w:p>
    <w:p w14:paraId="0A6ACB9B" w14:textId="77777777" w:rsidR="00957F89" w:rsidRPr="003F4FAF" w:rsidRDefault="00D92D87" w:rsidP="003F4FAF">
      <w:pPr>
        <w:pStyle w:val="Heading5"/>
      </w:pPr>
      <w:bookmarkStart w:id="101" w:name="_Toc437961134"/>
      <w:bookmarkStart w:id="102" w:name="_Toc34899975"/>
      <w:bookmarkStart w:id="103" w:name="_Toc33702504"/>
      <w:r w:rsidRPr="003F4FAF">
        <w:t>5.2.8.2</w:t>
      </w:r>
      <w:bookmarkEnd w:id="101"/>
      <w:bookmarkEnd w:id="102"/>
      <w:bookmarkEnd w:id="103"/>
      <w:r w:rsidRPr="00A7241B">
        <w:tab/>
      </w:r>
      <w:r w:rsidR="00650CAE" w:rsidRPr="00A7241B">
        <w:tab/>
      </w:r>
      <w:proofErr w:type="spellStart"/>
      <w:r w:rsidRPr="00A7241B">
        <w:t>Porsolt</w:t>
      </w:r>
      <w:proofErr w:type="spellEnd"/>
      <w:r w:rsidRPr="00A7241B">
        <w:t xml:space="preserve"> study number: 06.075/5 (GE study number B101036)</w:t>
      </w:r>
      <w:r w:rsidR="005D3932" w:rsidRPr="00A7241B">
        <w:t xml:space="preserve">: </w:t>
      </w:r>
      <w:r w:rsidRPr="00A7241B">
        <w:t>Effects of rapid intravenous administration of a mixture of natural abundant pyruvic acid and 15 mM AH-111501 dissolved in TRIS/EDTA dissolution</w:t>
      </w:r>
      <w:r w:rsidRPr="003F4FAF">
        <w:t xml:space="preserve"> </w:t>
      </w:r>
      <w:r w:rsidRPr="00A7241B">
        <w:t>medium on the cardiovascular function in the conscious telemetered dog. (GLP)</w:t>
      </w:r>
    </w:p>
    <w:p w14:paraId="3E11BAF2" w14:textId="77777777" w:rsidR="00957F89" w:rsidRPr="00C73849" w:rsidRDefault="00957F89" w:rsidP="005D3932">
      <w:pPr>
        <w:spacing w:before="5"/>
        <w:rPr>
          <w:rFonts w:ascii="Times New Roman" w:eastAsia="Times New Roman" w:hAnsi="Times New Roman" w:cs="Times New Roman"/>
          <w:b/>
          <w:bCs/>
          <w:sz w:val="20"/>
          <w:szCs w:val="20"/>
        </w:rPr>
      </w:pPr>
    </w:p>
    <w:p w14:paraId="493DB440" w14:textId="57B58DAA" w:rsidR="00957F89" w:rsidRPr="00C73849" w:rsidRDefault="00D92D87" w:rsidP="005D3932">
      <w:pPr>
        <w:pStyle w:val="BodyText"/>
        <w:ind w:right="233"/>
      </w:pPr>
      <w:r w:rsidRPr="00C73849">
        <w:t>Blood samples were collected from four conscious dogs after injection of 250 mM pyruvate and 0.43 mg/ml AH111501 in TRIS/EDTA dissolution medium and after injection of filtered</w:t>
      </w:r>
      <w:r w:rsidR="001E1911">
        <w:rPr>
          <w:w w:val="99"/>
        </w:rPr>
        <w:t xml:space="preserve"> </w:t>
      </w:r>
      <w:r w:rsidRPr="00C73849">
        <w:t>test item and various control solutions. The dose levels for test item containing AH111501 and</w:t>
      </w:r>
      <w:r w:rsidRPr="00C73849">
        <w:rPr>
          <w:w w:val="99"/>
        </w:rPr>
        <w:t xml:space="preserve"> </w:t>
      </w:r>
      <w:r w:rsidRPr="00C73849">
        <w:t xml:space="preserve">filtered test item were 1.4, 4.3 and 5.7 ml/kg </w:t>
      </w:r>
      <w:proofErr w:type="spellStart"/>
      <w:r w:rsidRPr="00C73849">
        <w:t>bw</w:t>
      </w:r>
      <w:proofErr w:type="spellEnd"/>
      <w:r w:rsidRPr="00C73849">
        <w:t xml:space="preserve">, and the injection rate 5 ml/s. Each dog received nine discrete </w:t>
      </w:r>
      <w:r w:rsidRPr="00C73849">
        <w:lastRenderedPageBreak/>
        <w:t>injections, with an interval of at least 48 h between each administration.</w:t>
      </w:r>
      <w:r w:rsidRPr="00C73849">
        <w:rPr>
          <w:w w:val="99"/>
        </w:rPr>
        <w:t xml:space="preserve"> </w:t>
      </w:r>
      <w:r w:rsidRPr="00C73849">
        <w:t>Blood samples were collected from a jugular vein at 3 min pre-dosing, and at 1, 5, 10, 30 and</w:t>
      </w:r>
      <w:r w:rsidR="001E1911">
        <w:rPr>
          <w:w w:val="99"/>
        </w:rPr>
        <w:t xml:space="preserve"> </w:t>
      </w:r>
      <w:r w:rsidRPr="00C73849">
        <w:t>60 min after the start of each administration. The blood samples were analyzed using a</w:t>
      </w:r>
      <w:r w:rsidRPr="00C73849">
        <w:rPr>
          <w:w w:val="99"/>
        </w:rPr>
        <w:t xml:space="preserve"> </w:t>
      </w:r>
      <w:r w:rsidRPr="00C73849">
        <w:t>validated LC-MS method (M101001).</w:t>
      </w:r>
    </w:p>
    <w:p w14:paraId="5F38C906" w14:textId="77777777" w:rsidR="00957F89" w:rsidRPr="00C73849" w:rsidRDefault="00957F89" w:rsidP="005D3932">
      <w:pPr>
        <w:spacing w:before="10"/>
        <w:rPr>
          <w:rFonts w:ascii="Times New Roman" w:eastAsia="Times New Roman" w:hAnsi="Times New Roman" w:cs="Times New Roman"/>
          <w:sz w:val="20"/>
          <w:szCs w:val="20"/>
        </w:rPr>
      </w:pPr>
    </w:p>
    <w:p w14:paraId="2084D9DA" w14:textId="77777777" w:rsidR="00957F89" w:rsidRPr="00C73849" w:rsidRDefault="00D92D87" w:rsidP="005D3932">
      <w:pPr>
        <w:pStyle w:val="BodyText"/>
        <w:ind w:right="899"/>
      </w:pPr>
      <w:r w:rsidRPr="00C73849">
        <w:t>The bioanalytical data show that pyruvate is rapidly metabolized to lactate following</w:t>
      </w:r>
      <w:r w:rsidRPr="00C73849">
        <w:rPr>
          <w:w w:val="99"/>
        </w:rPr>
        <w:t xml:space="preserve"> </w:t>
      </w:r>
      <w:r w:rsidRPr="00C73849">
        <w:t>intravenous injection. The lactate T</w:t>
      </w:r>
      <w:r w:rsidRPr="00C73849">
        <w:rPr>
          <w:position w:val="-2"/>
          <w:sz w:val="16"/>
        </w:rPr>
        <w:t xml:space="preserve">max </w:t>
      </w:r>
      <w:r w:rsidRPr="00C73849">
        <w:t xml:space="preserve">was observed between </w:t>
      </w:r>
      <w:proofErr w:type="gramStart"/>
      <w:r w:rsidRPr="00C73849">
        <w:t>1 and 10 min</w:t>
      </w:r>
      <w:proofErr w:type="gramEnd"/>
      <w:r w:rsidRPr="00C73849">
        <w:t xml:space="preserve"> post-dosing.</w:t>
      </w:r>
    </w:p>
    <w:p w14:paraId="23A63E8A" w14:textId="77777777" w:rsidR="00957F89" w:rsidRPr="00C73849" w:rsidRDefault="00D92D87" w:rsidP="005D3932">
      <w:pPr>
        <w:pStyle w:val="BodyText"/>
        <w:spacing w:before="230" w:line="276" w:lineRule="exact"/>
        <w:ind w:right="316"/>
      </w:pPr>
      <w:r w:rsidRPr="00C73849">
        <w:t>There were no statistically significant differences in pyruvate or lactate C</w:t>
      </w:r>
      <w:r w:rsidRPr="00C73849">
        <w:rPr>
          <w:position w:val="-2"/>
          <w:sz w:val="16"/>
        </w:rPr>
        <w:t xml:space="preserve">max </w:t>
      </w:r>
      <w:r w:rsidRPr="00C73849">
        <w:t>or AUC</w:t>
      </w:r>
      <w:r w:rsidRPr="00C73849">
        <w:rPr>
          <w:position w:val="-2"/>
          <w:sz w:val="16"/>
        </w:rPr>
        <w:t xml:space="preserve">tot </w:t>
      </w:r>
      <w:r w:rsidRPr="00C73849">
        <w:t>between</w:t>
      </w:r>
      <w:r w:rsidRPr="00C73849">
        <w:rPr>
          <w:w w:val="99"/>
        </w:rPr>
        <w:t xml:space="preserve"> </w:t>
      </w:r>
      <w:r w:rsidRPr="00C73849">
        <w:t>filtered and unfiltered test substance in any of the dosing groups, suggesting that AH111501</w:t>
      </w:r>
      <w:r w:rsidR="001E1911">
        <w:t xml:space="preserve"> </w:t>
      </w:r>
      <w:r w:rsidRPr="00C73849">
        <w:t>did not have any effect on pyruvate pharmacokinetics.</w:t>
      </w:r>
    </w:p>
    <w:p w14:paraId="3BB9EC68" w14:textId="77777777" w:rsidR="00957F89" w:rsidRPr="00C73849" w:rsidRDefault="00957F89" w:rsidP="005D3932">
      <w:pPr>
        <w:spacing w:before="8"/>
        <w:rPr>
          <w:rFonts w:ascii="Times New Roman" w:eastAsia="Times New Roman" w:hAnsi="Times New Roman" w:cs="Times New Roman"/>
        </w:rPr>
      </w:pPr>
    </w:p>
    <w:p w14:paraId="66AF1511" w14:textId="77777777" w:rsidR="00957F89" w:rsidRPr="00C73849" w:rsidRDefault="00D92D87" w:rsidP="005D3932">
      <w:pPr>
        <w:pStyle w:val="BodyText"/>
        <w:spacing w:line="274" w:lineRule="exact"/>
        <w:ind w:right="311"/>
      </w:pPr>
      <w:r w:rsidRPr="00C73849">
        <w:t>Pyruvate was eliminated from blood with an average terminal elimination half-life of 18</w:t>
      </w:r>
      <w:r w:rsidRPr="00C73849">
        <w:rPr>
          <w:rFonts w:ascii="Symbol" w:eastAsia="Symbol" w:hAnsi="Symbol" w:cs="Symbol"/>
        </w:rPr>
        <w:t></w:t>
      </w:r>
      <w:r w:rsidRPr="00C73849">
        <w:t>11 min.</w:t>
      </w:r>
      <w:r w:rsidR="00631644">
        <w:t xml:space="preserve"> </w:t>
      </w:r>
      <w:r w:rsidRPr="00C73849">
        <w:t>The average concentration of pyruvate in blood across all dose groups at 1 min post-dosing</w:t>
      </w:r>
      <w:r w:rsidRPr="00C73849">
        <w:rPr>
          <w:w w:val="99"/>
        </w:rPr>
        <w:t xml:space="preserve"> </w:t>
      </w:r>
      <w:r w:rsidRPr="00C73849">
        <w:t>corresponded to 0.011</w:t>
      </w:r>
      <w:r w:rsidRPr="00C73849">
        <w:rPr>
          <w:rFonts w:ascii="Symbol" w:eastAsia="Symbol" w:hAnsi="Symbol" w:cs="Symbol"/>
        </w:rPr>
        <w:t></w:t>
      </w:r>
      <w:r w:rsidRPr="00C73849">
        <w:t>0.004% id/ml blood. Assuming a total blood volume of 1.1 l (9% of total body weight [Davies and Morris 1993], this corresponds to a recovery of 12% of the id in</w:t>
      </w:r>
      <w:r w:rsidRPr="00C73849">
        <w:rPr>
          <w:w w:val="99"/>
        </w:rPr>
        <w:t xml:space="preserve"> </w:t>
      </w:r>
      <w:r w:rsidRPr="00C73849">
        <w:t>blood 1 min post-dosing.</w:t>
      </w:r>
    </w:p>
    <w:p w14:paraId="65C80B5C" w14:textId="77777777" w:rsidR="00957F89" w:rsidRPr="00C73849" w:rsidRDefault="00957F89" w:rsidP="005D3932">
      <w:pPr>
        <w:spacing w:before="2"/>
        <w:rPr>
          <w:rFonts w:ascii="Times New Roman" w:eastAsia="Times New Roman" w:hAnsi="Times New Roman" w:cs="Times New Roman"/>
          <w:sz w:val="21"/>
          <w:szCs w:val="21"/>
        </w:rPr>
      </w:pPr>
    </w:p>
    <w:p w14:paraId="4668AEA0" w14:textId="77777777" w:rsidR="00957F89" w:rsidRPr="00C73849" w:rsidRDefault="00D92D87" w:rsidP="005D3932">
      <w:pPr>
        <w:pStyle w:val="BodyText"/>
        <w:spacing w:line="276" w:lineRule="exact"/>
        <w:ind w:right="248"/>
      </w:pPr>
      <w:r w:rsidRPr="00C73849">
        <w:t>Dose-normalized pyruvate data indicated that AUC</w:t>
      </w:r>
      <w:r w:rsidRPr="00C73849">
        <w:rPr>
          <w:position w:val="-2"/>
          <w:sz w:val="16"/>
        </w:rPr>
        <w:t xml:space="preserve">tot </w:t>
      </w:r>
      <w:r w:rsidRPr="00C73849">
        <w:t>increased proportionally with dose whereas C</w:t>
      </w:r>
      <w:r w:rsidRPr="00C73849">
        <w:rPr>
          <w:position w:val="-2"/>
          <w:sz w:val="16"/>
        </w:rPr>
        <w:t xml:space="preserve">max </w:t>
      </w:r>
      <w:r w:rsidRPr="00C73849">
        <w:t xml:space="preserve">tended to deviate negatively from proportionality in the 1.4 ml/kg </w:t>
      </w:r>
      <w:proofErr w:type="spellStart"/>
      <w:r w:rsidRPr="00C73849">
        <w:t>bw</w:t>
      </w:r>
      <w:proofErr w:type="spellEnd"/>
      <w:r w:rsidRPr="00C73849">
        <w:t xml:space="preserve"> dose group. The lower C</w:t>
      </w:r>
      <w:r w:rsidRPr="00C73849">
        <w:rPr>
          <w:position w:val="-2"/>
          <w:sz w:val="16"/>
        </w:rPr>
        <w:t xml:space="preserve">max </w:t>
      </w:r>
      <w:r w:rsidRPr="00C73849">
        <w:t>in the lowest dose group may be attributed to the shorter injection duration in</w:t>
      </w:r>
      <w:r w:rsidRPr="00C73849">
        <w:rPr>
          <w:w w:val="99"/>
        </w:rPr>
        <w:t xml:space="preserve"> </w:t>
      </w:r>
      <w:r w:rsidRPr="00C73849">
        <w:t>this group.</w:t>
      </w:r>
    </w:p>
    <w:p w14:paraId="390000AC" w14:textId="77777777" w:rsidR="00957F89" w:rsidRPr="00C73849" w:rsidRDefault="00957F89" w:rsidP="005D3932">
      <w:pPr>
        <w:spacing w:before="10"/>
        <w:rPr>
          <w:rFonts w:ascii="Times New Roman" w:eastAsia="Times New Roman" w:hAnsi="Times New Roman" w:cs="Times New Roman"/>
          <w:sz w:val="20"/>
          <w:szCs w:val="20"/>
        </w:rPr>
      </w:pPr>
    </w:p>
    <w:p w14:paraId="5026AA70" w14:textId="77777777" w:rsidR="00957F89" w:rsidRPr="00C73849" w:rsidRDefault="00D92D87" w:rsidP="005D3932">
      <w:pPr>
        <w:pStyle w:val="BodyText"/>
        <w:spacing w:line="276" w:lineRule="exact"/>
        <w:ind w:right="311"/>
      </w:pPr>
      <w:r w:rsidRPr="00C73849">
        <w:t>Dose-normalized lactate C</w:t>
      </w:r>
      <w:r w:rsidRPr="00C73849">
        <w:rPr>
          <w:position w:val="-2"/>
          <w:sz w:val="16"/>
        </w:rPr>
        <w:t xml:space="preserve">max </w:t>
      </w:r>
      <w:r w:rsidRPr="00C73849">
        <w:t>and AUC</w:t>
      </w:r>
      <w:r w:rsidRPr="00C73849">
        <w:rPr>
          <w:position w:val="-2"/>
          <w:sz w:val="16"/>
        </w:rPr>
        <w:t xml:space="preserve">tot </w:t>
      </w:r>
      <w:r w:rsidRPr="00C73849">
        <w:t>data indicated a positive deviation from</w:t>
      </w:r>
      <w:r w:rsidRPr="00C73849">
        <w:rPr>
          <w:w w:val="99"/>
        </w:rPr>
        <w:t xml:space="preserve"> </w:t>
      </w:r>
      <w:r w:rsidRPr="00C73849">
        <w:t xml:space="preserve">proportionality in the 1.4 ml/kg </w:t>
      </w:r>
      <w:proofErr w:type="spellStart"/>
      <w:r w:rsidRPr="00C73849">
        <w:t>bw</w:t>
      </w:r>
      <w:proofErr w:type="spellEnd"/>
      <w:r w:rsidRPr="00C73849">
        <w:t xml:space="preserve"> dose group. The biological significance of this is not</w:t>
      </w:r>
      <w:r w:rsidRPr="00C73849">
        <w:rPr>
          <w:w w:val="99"/>
        </w:rPr>
        <w:t xml:space="preserve"> </w:t>
      </w:r>
      <w:r w:rsidRPr="00C73849">
        <w:t>known.</w:t>
      </w:r>
    </w:p>
    <w:p w14:paraId="7665705D" w14:textId="77777777" w:rsidR="00957F89" w:rsidRPr="00C73849" w:rsidRDefault="00957F89" w:rsidP="005D3932">
      <w:pPr>
        <w:rPr>
          <w:rFonts w:ascii="Times New Roman" w:eastAsia="Times New Roman" w:hAnsi="Times New Roman" w:cs="Times New Roman"/>
          <w:sz w:val="24"/>
          <w:szCs w:val="24"/>
        </w:rPr>
      </w:pPr>
    </w:p>
    <w:p w14:paraId="2C948C48" w14:textId="77777777" w:rsidR="00957F89" w:rsidRPr="00C73849" w:rsidRDefault="00D92D87" w:rsidP="00996230">
      <w:pPr>
        <w:pStyle w:val="Heading3"/>
        <w:rPr>
          <w:rFonts w:eastAsia="Times New Roman" w:hAnsi="Times New Roman" w:cs="Times New Roman"/>
          <w:szCs w:val="24"/>
        </w:rPr>
      </w:pPr>
      <w:bookmarkStart w:id="104" w:name="_Toc34899976"/>
      <w:bookmarkStart w:id="105" w:name="_Toc33702505"/>
      <w:bookmarkStart w:id="106" w:name="_Toc176276936"/>
      <w:r w:rsidRPr="00996230">
        <w:rPr>
          <w:rStyle w:val="Heading3Char"/>
        </w:rPr>
        <w:t>5.2.9</w:t>
      </w:r>
      <w:r w:rsidRPr="00C73849">
        <w:tab/>
        <w:t>Discussion and Conclusions for Other Pharmacokinetic Studies</w:t>
      </w:r>
      <w:bookmarkEnd w:id="104"/>
      <w:bookmarkEnd w:id="105"/>
      <w:bookmarkEnd w:id="106"/>
    </w:p>
    <w:p w14:paraId="59D68098" w14:textId="77777777" w:rsidR="00957F89" w:rsidRPr="00C73849" w:rsidRDefault="00957F89">
      <w:pPr>
        <w:spacing w:before="5"/>
        <w:rPr>
          <w:rFonts w:ascii="Times New Roman" w:eastAsia="Times New Roman" w:hAnsi="Times New Roman" w:cs="Times New Roman"/>
          <w:b/>
          <w:bCs/>
          <w:sz w:val="20"/>
          <w:szCs w:val="20"/>
        </w:rPr>
      </w:pPr>
    </w:p>
    <w:p w14:paraId="15102A47" w14:textId="77777777" w:rsidR="00957F89" w:rsidRPr="00C73849" w:rsidRDefault="00D92D87">
      <w:pPr>
        <w:pStyle w:val="BodyText"/>
        <w:ind w:right="151"/>
      </w:pPr>
      <w:r w:rsidRPr="00C73849">
        <w:t>There were some significant differences in study design between the two pharmacokinetic</w:t>
      </w:r>
      <w:r w:rsidRPr="00C73849">
        <w:rPr>
          <w:w w:val="99"/>
        </w:rPr>
        <w:t xml:space="preserve"> </w:t>
      </w:r>
      <w:r w:rsidRPr="00C73849">
        <w:t>studies, both with respect to the test system and the test item.</w:t>
      </w:r>
    </w:p>
    <w:p w14:paraId="28329E37" w14:textId="77777777" w:rsidR="00957F89" w:rsidRPr="00C73849" w:rsidRDefault="00957F89">
      <w:pPr>
        <w:spacing w:before="10"/>
        <w:rPr>
          <w:rFonts w:ascii="Times New Roman" w:eastAsia="Times New Roman" w:hAnsi="Times New Roman" w:cs="Times New Roman"/>
          <w:sz w:val="20"/>
          <w:szCs w:val="20"/>
        </w:rPr>
      </w:pPr>
    </w:p>
    <w:p w14:paraId="38EC7534" w14:textId="22C36511" w:rsidR="00957F89" w:rsidRPr="00C73849" w:rsidRDefault="00D92D87">
      <w:pPr>
        <w:pStyle w:val="BodyText"/>
        <w:ind w:right="343"/>
      </w:pPr>
      <w:r w:rsidRPr="00C73849">
        <w:t>The animals were either anesthetized (B101026) or conscious (B101036), and the average</w:t>
      </w:r>
      <w:r w:rsidRPr="00C73849">
        <w:rPr>
          <w:w w:val="99"/>
        </w:rPr>
        <w:t xml:space="preserve"> </w:t>
      </w:r>
      <w:r w:rsidRPr="00C73849">
        <w:t>body weight of the dogs was nearly twice as high in the anesthetized dog study (22.8 kg) as in</w:t>
      </w:r>
      <w:r w:rsidRPr="00C73849">
        <w:rPr>
          <w:w w:val="99"/>
        </w:rPr>
        <w:t xml:space="preserve"> </w:t>
      </w:r>
      <w:r w:rsidRPr="00C73849">
        <w:t>the conscious dog study (12.1 kg). In B101026, the dosing interval varied from 35 to 50 min,</w:t>
      </w:r>
      <w:r w:rsidRPr="00C73849">
        <w:rPr>
          <w:w w:val="99"/>
        </w:rPr>
        <w:t xml:space="preserve"> </w:t>
      </w:r>
      <w:r w:rsidRPr="00C73849">
        <w:t>with 5 injections on one study day, whereas the dosing interval in B101036 was at least 48 h. The injection rate was identical.</w:t>
      </w:r>
    </w:p>
    <w:p w14:paraId="625921D5" w14:textId="77777777" w:rsidR="00957F89" w:rsidRPr="00C73849" w:rsidRDefault="00957F89">
      <w:pPr>
        <w:spacing w:before="10"/>
        <w:rPr>
          <w:rFonts w:ascii="Times New Roman" w:eastAsia="Times New Roman" w:hAnsi="Times New Roman" w:cs="Times New Roman"/>
          <w:sz w:val="20"/>
          <w:szCs w:val="20"/>
        </w:rPr>
      </w:pPr>
    </w:p>
    <w:p w14:paraId="1073CF55" w14:textId="77777777" w:rsidR="00957F89" w:rsidRPr="00C73849" w:rsidRDefault="00D92D87">
      <w:pPr>
        <w:pStyle w:val="BodyText"/>
        <w:ind w:right="311"/>
      </w:pPr>
      <w:r w:rsidRPr="00C73849">
        <w:t>The test item was formulated as a 500 mM pyruvate solution in the anesthetized dog study and</w:t>
      </w:r>
      <w:r w:rsidRPr="00C73849">
        <w:rPr>
          <w:w w:val="99"/>
        </w:rPr>
        <w:t xml:space="preserve"> </w:t>
      </w:r>
      <w:r w:rsidRPr="00C73849">
        <w:t xml:space="preserve">a 250 mM pyruvate solution in the conscious dog study solution. Thus, </w:t>
      </w:r>
      <w:proofErr w:type="gramStart"/>
      <w:r w:rsidRPr="00C73849">
        <w:t>with regard to</w:t>
      </w:r>
      <w:proofErr w:type="gramEnd"/>
      <w:r w:rsidRPr="00C73849">
        <w:t xml:space="preserve"> the</w:t>
      </w:r>
      <w:r w:rsidRPr="00C73849">
        <w:rPr>
          <w:w w:val="99"/>
        </w:rPr>
        <w:t xml:space="preserve"> </w:t>
      </w:r>
      <w:r w:rsidRPr="00C73849">
        <w:t>administered pyruvate dose, the 1.4 ml/kg and 5.7 ml/kg dose groups in the conscious dog study corresponded to the 0.71 ml/kg and 2.86 ml/kg dose groups in the anesthetized dog study, respectively. Throughout this section, these dose groups are referred to as the low-dose group and high-dose group. The injection rate in terms of volume/time was 5 ml/s in both</w:t>
      </w:r>
      <w:r w:rsidRPr="00C73849">
        <w:rPr>
          <w:w w:val="99"/>
        </w:rPr>
        <w:t xml:space="preserve"> </w:t>
      </w:r>
      <w:r w:rsidRPr="00C73849">
        <w:t>studies. Therefore, the dose-rate in terms of mg pyruvate/s was higher in the anesthetized dog study.</w:t>
      </w:r>
    </w:p>
    <w:p w14:paraId="45E5B962" w14:textId="77777777" w:rsidR="00957F89" w:rsidRPr="00C73849" w:rsidRDefault="00957F89">
      <w:pPr>
        <w:spacing w:before="2"/>
        <w:rPr>
          <w:rFonts w:ascii="Times New Roman" w:eastAsia="Times New Roman" w:hAnsi="Times New Roman" w:cs="Times New Roman"/>
          <w:sz w:val="21"/>
          <w:szCs w:val="21"/>
        </w:rPr>
      </w:pPr>
    </w:p>
    <w:p w14:paraId="1905C5B6" w14:textId="77777777" w:rsidR="00957F89" w:rsidRPr="00C73849" w:rsidRDefault="00D92D87">
      <w:pPr>
        <w:pStyle w:val="BodyText"/>
        <w:spacing w:line="276" w:lineRule="exact"/>
        <w:ind w:right="311"/>
      </w:pPr>
      <w:r w:rsidRPr="00C73849">
        <w:t>The systemic exposure to pyruvate and lactate was assessed by C</w:t>
      </w:r>
      <w:r w:rsidRPr="00C73849">
        <w:rPr>
          <w:position w:val="-2"/>
          <w:sz w:val="16"/>
        </w:rPr>
        <w:t xml:space="preserve">max </w:t>
      </w:r>
      <w:r w:rsidRPr="00C73849">
        <w:t>and AUC</w:t>
      </w:r>
      <w:r w:rsidRPr="00C73849">
        <w:rPr>
          <w:position w:val="-2"/>
          <w:sz w:val="16"/>
        </w:rPr>
        <w:t>tot</w:t>
      </w:r>
      <w:r w:rsidRPr="00C73849">
        <w:t>. The general</w:t>
      </w:r>
      <w:r w:rsidRPr="00C73849">
        <w:rPr>
          <w:w w:val="99"/>
        </w:rPr>
        <w:t xml:space="preserve"> </w:t>
      </w:r>
      <w:r w:rsidRPr="00C73849">
        <w:t>impression across both studies was systemic exposure proportional to dose for both pyruvate</w:t>
      </w:r>
      <w:r w:rsidRPr="00C73849">
        <w:rPr>
          <w:w w:val="99"/>
        </w:rPr>
        <w:t xml:space="preserve"> </w:t>
      </w:r>
      <w:r w:rsidRPr="00C73849">
        <w:t>and lactate.</w:t>
      </w:r>
    </w:p>
    <w:p w14:paraId="0D7E9A2E" w14:textId="77777777" w:rsidR="00957F89" w:rsidRPr="00C73849" w:rsidRDefault="00957F89">
      <w:pPr>
        <w:spacing w:before="10"/>
        <w:rPr>
          <w:rFonts w:ascii="Times New Roman" w:eastAsia="Times New Roman" w:hAnsi="Times New Roman" w:cs="Times New Roman"/>
          <w:sz w:val="20"/>
          <w:szCs w:val="20"/>
        </w:rPr>
      </w:pPr>
    </w:p>
    <w:p w14:paraId="4CED9FFE" w14:textId="77777777" w:rsidR="00957F89" w:rsidRPr="00C73849" w:rsidRDefault="00D92D87">
      <w:pPr>
        <w:pStyle w:val="BodyText"/>
        <w:spacing w:line="276" w:lineRule="exact"/>
        <w:ind w:right="215"/>
      </w:pPr>
      <w:r w:rsidRPr="00C73849">
        <w:t xml:space="preserve">The most significant differences between the two studies were the recovery of pyruvate in blood at 1 min post-dosing, and the more rapid formation of lactate in the study in </w:t>
      </w:r>
      <w:r w:rsidR="00631644" w:rsidRPr="00C73849">
        <w:t>the</w:t>
      </w:r>
      <w:r w:rsidR="00631644">
        <w:rPr>
          <w:w w:val="99"/>
        </w:rPr>
        <w:t xml:space="preserve"> </w:t>
      </w:r>
      <w:r w:rsidRPr="00C73849">
        <w:t xml:space="preserve">conscious dog. At </w:t>
      </w:r>
      <w:r w:rsidRPr="00C73849">
        <w:lastRenderedPageBreak/>
        <w:t>1 min post-dosing, the average recovery in blood was estimated at 50% of</w:t>
      </w:r>
      <w:r w:rsidR="001E1911">
        <w:t xml:space="preserve"> </w:t>
      </w:r>
      <w:r w:rsidRPr="00C73849">
        <w:t>id in the anesthetized dog study and as approx. 12% of id in the conscious dog study. The</w:t>
      </w:r>
      <w:r w:rsidR="001E1911">
        <w:rPr>
          <w:w w:val="99"/>
        </w:rPr>
        <w:t xml:space="preserve"> </w:t>
      </w:r>
      <w:r w:rsidRPr="00C73849">
        <w:t>rapid distribution from blood is consistent with imaging data from dogs, where the C</w:t>
      </w:r>
      <w:r w:rsidRPr="00C73849">
        <w:rPr>
          <w:position w:val="-2"/>
          <w:sz w:val="16"/>
        </w:rPr>
        <w:t xml:space="preserve">max </w:t>
      </w:r>
      <w:r w:rsidRPr="00C73849">
        <w:t>of both</w:t>
      </w:r>
      <w:r w:rsidRPr="00C73849">
        <w:rPr>
          <w:w w:val="99"/>
        </w:rPr>
        <w:t xml:space="preserve"> </w:t>
      </w:r>
      <w:r w:rsidRPr="00C73849">
        <w:t>pyruvate and lactate in prostate is observed less than 1 min after end of injection.</w:t>
      </w:r>
    </w:p>
    <w:p w14:paraId="531F9F7A" w14:textId="77777777" w:rsidR="00957F89" w:rsidRPr="00C73849" w:rsidRDefault="00957F89">
      <w:pPr>
        <w:spacing w:before="7"/>
        <w:rPr>
          <w:rFonts w:ascii="Times New Roman" w:eastAsia="Times New Roman" w:hAnsi="Times New Roman" w:cs="Times New Roman"/>
          <w:sz w:val="20"/>
          <w:szCs w:val="20"/>
        </w:rPr>
      </w:pPr>
    </w:p>
    <w:p w14:paraId="7F35DABE" w14:textId="77777777" w:rsidR="00957F89" w:rsidRPr="00C73849" w:rsidRDefault="00D92D87" w:rsidP="002131A0">
      <w:pPr>
        <w:pStyle w:val="BodyText"/>
        <w:ind w:right="151"/>
      </w:pPr>
      <w:r w:rsidRPr="00C73849">
        <w:t>It is not known whether these differences can be attributed to the differences in test item, the</w:t>
      </w:r>
      <w:r w:rsidRPr="00C73849">
        <w:rPr>
          <w:w w:val="99"/>
        </w:rPr>
        <w:t xml:space="preserve"> </w:t>
      </w:r>
      <w:r w:rsidRPr="00C73849">
        <w:t>difference in dose rate or differences between the anesthetized and the conscious dog. It is</w:t>
      </w:r>
      <w:r w:rsidR="00631644">
        <w:t xml:space="preserve"> </w:t>
      </w:r>
      <w:r w:rsidRPr="00C73849">
        <w:t>plausible that the higher cardiac output in the conscious dog results in a more rapid distribution</w:t>
      </w:r>
      <w:r w:rsidRPr="00C73849">
        <w:rPr>
          <w:w w:val="99"/>
        </w:rPr>
        <w:t xml:space="preserve"> </w:t>
      </w:r>
      <w:r w:rsidRPr="00C73849">
        <w:t>of pyruvate from the blood to peripheral compartments. It is also expected that a conscious</w:t>
      </w:r>
      <w:r w:rsidRPr="00C73849">
        <w:rPr>
          <w:w w:val="99"/>
        </w:rPr>
        <w:t xml:space="preserve"> </w:t>
      </w:r>
      <w:r w:rsidRPr="00C73849">
        <w:t>animal has a higher metabolic rate compared to an anaesthetized animal.</w:t>
      </w:r>
    </w:p>
    <w:p w14:paraId="5015998B" w14:textId="77777777" w:rsidR="00957F89" w:rsidRPr="00C73849" w:rsidRDefault="00957F89">
      <w:pPr>
        <w:spacing w:before="10"/>
        <w:rPr>
          <w:rFonts w:ascii="Times New Roman" w:eastAsia="Times New Roman" w:hAnsi="Times New Roman" w:cs="Times New Roman"/>
          <w:sz w:val="20"/>
          <w:szCs w:val="20"/>
        </w:rPr>
      </w:pPr>
    </w:p>
    <w:p w14:paraId="67B04056" w14:textId="77777777" w:rsidR="00957F89" w:rsidRPr="00C73849" w:rsidRDefault="00D92D87">
      <w:pPr>
        <w:pStyle w:val="BodyText"/>
      </w:pPr>
      <w:r w:rsidRPr="00C73849">
        <w:t>The dose-normalized pyruvate AUC</w:t>
      </w:r>
      <w:r w:rsidRPr="00C73849">
        <w:rPr>
          <w:position w:val="-2"/>
          <w:sz w:val="16"/>
        </w:rPr>
        <w:t xml:space="preserve">tot </w:t>
      </w:r>
      <w:r w:rsidRPr="00C73849">
        <w:t>was of the same order of magnitude in both studies.</w:t>
      </w:r>
    </w:p>
    <w:p w14:paraId="6FA11116" w14:textId="77777777" w:rsidR="00957F89" w:rsidRPr="00C73849" w:rsidRDefault="00D92D87">
      <w:pPr>
        <w:pStyle w:val="BodyText"/>
        <w:spacing w:before="227"/>
        <w:ind w:right="248"/>
      </w:pPr>
      <w:r w:rsidRPr="00C73849">
        <w:t>Rapid conversion of pyruvate to lactate was observed in both studies. The formation of lactate</w:t>
      </w:r>
      <w:r w:rsidRPr="00C73849">
        <w:rPr>
          <w:w w:val="99"/>
        </w:rPr>
        <w:t xml:space="preserve"> </w:t>
      </w:r>
      <w:r w:rsidRPr="00C73849">
        <w:t>appeared to be somewhat faster in conscious dogs than in anesthetized dogs, as the</w:t>
      </w:r>
      <w:r w:rsidRPr="00C73849">
        <w:rPr>
          <w:w w:val="99"/>
        </w:rPr>
        <w:t xml:space="preserve"> </w:t>
      </w:r>
      <w:r w:rsidRPr="00C73849">
        <w:t>concentration measured 1 min post-dosing in the conscious dog was as high as that in the 5 min</w:t>
      </w:r>
      <w:r w:rsidRPr="00C73849">
        <w:rPr>
          <w:w w:val="99"/>
        </w:rPr>
        <w:t xml:space="preserve"> </w:t>
      </w:r>
      <w:r w:rsidRPr="00C73849">
        <w:t>sample from the anesthetized dog. In the anesthetized dog, only minor amounts were observed</w:t>
      </w:r>
      <w:r w:rsidRPr="00C73849">
        <w:rPr>
          <w:w w:val="99"/>
        </w:rPr>
        <w:t xml:space="preserve"> </w:t>
      </w:r>
      <w:r w:rsidRPr="00C73849">
        <w:t xml:space="preserve">1 min post-dosing, and a significant build-up was not observed until </w:t>
      </w:r>
      <w:proofErr w:type="gramStart"/>
      <w:r w:rsidRPr="00C73849">
        <w:t>3 or 5 min</w:t>
      </w:r>
      <w:proofErr w:type="gramEnd"/>
      <w:r w:rsidRPr="00C73849">
        <w:t xml:space="preserve"> post-dosing.</w:t>
      </w:r>
    </w:p>
    <w:p w14:paraId="11195DC6" w14:textId="77777777" w:rsidR="00957F89" w:rsidRPr="00C73849" w:rsidRDefault="00957F89">
      <w:pPr>
        <w:rPr>
          <w:rFonts w:ascii="Times New Roman" w:eastAsia="Times New Roman" w:hAnsi="Times New Roman" w:cs="Times New Roman"/>
          <w:sz w:val="24"/>
          <w:szCs w:val="24"/>
        </w:rPr>
      </w:pPr>
    </w:p>
    <w:p w14:paraId="152F343F" w14:textId="77777777" w:rsidR="00957F89" w:rsidRPr="00C73849" w:rsidRDefault="00693531">
      <w:pPr>
        <w:pStyle w:val="Heading2"/>
        <w:rPr>
          <w:rFonts w:eastAsia="Times New Roman" w:hAnsi="Times New Roman" w:cs="Times New Roman"/>
          <w:szCs w:val="28"/>
        </w:rPr>
      </w:pPr>
      <w:bookmarkStart w:id="107" w:name="_Toc34899977"/>
      <w:bookmarkStart w:id="108" w:name="_Toc33702506"/>
      <w:bookmarkStart w:id="109" w:name="_Toc176276937"/>
      <w:r>
        <w:t>5.3</w:t>
      </w:r>
      <w:r>
        <w:tab/>
      </w:r>
      <w:r w:rsidR="00D92D87" w:rsidRPr="00C73849">
        <w:t>Toxicology</w:t>
      </w:r>
      <w:bookmarkEnd w:id="107"/>
      <w:bookmarkEnd w:id="108"/>
      <w:bookmarkEnd w:id="109"/>
    </w:p>
    <w:p w14:paraId="4EF41B05" w14:textId="77777777" w:rsidR="00957F89" w:rsidRPr="00C73849" w:rsidRDefault="00693531" w:rsidP="00996230">
      <w:pPr>
        <w:pStyle w:val="Heading3"/>
        <w:rPr>
          <w:rFonts w:eastAsia="Times New Roman" w:hAnsi="Times New Roman" w:cs="Times New Roman"/>
          <w:szCs w:val="24"/>
        </w:rPr>
      </w:pPr>
      <w:bookmarkStart w:id="110" w:name="_Toc34899978"/>
      <w:bookmarkStart w:id="111" w:name="_Toc33702507"/>
      <w:bookmarkStart w:id="112" w:name="_Toc176276938"/>
      <w:r>
        <w:t>5.3.1</w:t>
      </w:r>
      <w:r>
        <w:tab/>
      </w:r>
      <w:r w:rsidR="00D92D87" w:rsidRPr="00C73849">
        <w:t>Brief Summary</w:t>
      </w:r>
      <w:bookmarkEnd w:id="110"/>
      <w:bookmarkEnd w:id="111"/>
      <w:bookmarkEnd w:id="112"/>
    </w:p>
    <w:p w14:paraId="05BD6942" w14:textId="77777777" w:rsidR="00957F89" w:rsidRPr="00C73849" w:rsidRDefault="00957F89">
      <w:pPr>
        <w:spacing w:before="9"/>
        <w:rPr>
          <w:rFonts w:ascii="Times New Roman" w:eastAsia="Times New Roman" w:hAnsi="Times New Roman" w:cs="Times New Roman"/>
          <w:b/>
          <w:bCs/>
          <w:sz w:val="20"/>
          <w:szCs w:val="20"/>
        </w:rPr>
      </w:pPr>
    </w:p>
    <w:p w14:paraId="4E7BC5AB" w14:textId="77777777" w:rsidR="00957F89" w:rsidRPr="00C73849" w:rsidRDefault="00D92D87">
      <w:pPr>
        <w:pStyle w:val="BodyText"/>
        <w:spacing w:line="276" w:lineRule="exact"/>
        <w:ind w:right="311"/>
      </w:pPr>
      <w:r w:rsidRPr="00C73849">
        <w:t>Expanded single-dose GLP compliant toxicity studies have been conducted in the rat and the</w:t>
      </w:r>
      <w:r w:rsidRPr="00C73849">
        <w:rPr>
          <w:w w:val="99"/>
        </w:rPr>
        <w:t xml:space="preserve"> </w:t>
      </w:r>
      <w:r w:rsidRPr="00C73849">
        <w:t>dog with an intravenously administered test article of [1-</w:t>
      </w:r>
      <w:r w:rsidRPr="00C73849">
        <w:rPr>
          <w:position w:val="11"/>
          <w:sz w:val="16"/>
        </w:rPr>
        <w:t>13</w:t>
      </w:r>
      <w:proofErr w:type="gramStart"/>
      <w:r w:rsidRPr="00C73849">
        <w:t>C]pyruvate</w:t>
      </w:r>
      <w:proofErr w:type="gramEnd"/>
      <w:r w:rsidRPr="00C73849">
        <w:t xml:space="preserve"> (AH110896), containing</w:t>
      </w:r>
      <w:r w:rsidRPr="00C73849">
        <w:rPr>
          <w:w w:val="99"/>
        </w:rPr>
        <w:t xml:space="preserve"> </w:t>
      </w:r>
      <w:r w:rsidRPr="00C73849">
        <w:t>the novel excipient AH111501. To obtain maximum exposure, the animals were dosed twice</w:t>
      </w:r>
      <w:r w:rsidRPr="00C73849">
        <w:rPr>
          <w:w w:val="99"/>
        </w:rPr>
        <w:t xml:space="preserve"> </w:t>
      </w:r>
      <w:r w:rsidRPr="00C73849">
        <w:t>on the same day, with the maximum recommended dose volume of 20 ml/kg in the rat, and 5 ml/kg in the dog. Exposure was confirmed in the dog by analysis of blood samples. In addition to the pyruvate test article, the potential impurities, AH112623 (</w:t>
      </w:r>
      <w:proofErr w:type="spellStart"/>
      <w:r w:rsidRPr="00C73849">
        <w:t>parapyruvate</w:t>
      </w:r>
      <w:proofErr w:type="spellEnd"/>
      <w:r w:rsidRPr="00C73849">
        <w:t>),</w:t>
      </w:r>
      <w:r w:rsidRPr="00C73849">
        <w:rPr>
          <w:w w:val="99"/>
        </w:rPr>
        <w:t xml:space="preserve"> </w:t>
      </w:r>
      <w:r w:rsidRPr="00C73849">
        <w:t>AH112615 (reaction-product between pyruvic acid and TRIS), and AH113462 (lactone) were</w:t>
      </w:r>
      <w:r w:rsidRPr="00C73849">
        <w:rPr>
          <w:w w:val="99"/>
        </w:rPr>
        <w:t xml:space="preserve"> </w:t>
      </w:r>
      <w:r w:rsidRPr="00C73849">
        <w:t>tested in separate, expanded single-dose GLP toxicity studies in the rat.</w:t>
      </w:r>
    </w:p>
    <w:p w14:paraId="7D5B0FE7" w14:textId="77777777" w:rsidR="00957F89" w:rsidRPr="00C73849" w:rsidRDefault="00957F89">
      <w:pPr>
        <w:spacing w:before="7"/>
        <w:rPr>
          <w:rFonts w:ascii="Times New Roman" w:eastAsia="Times New Roman" w:hAnsi="Times New Roman" w:cs="Times New Roman"/>
          <w:sz w:val="20"/>
          <w:szCs w:val="20"/>
        </w:rPr>
      </w:pPr>
    </w:p>
    <w:p w14:paraId="297E0881" w14:textId="77777777" w:rsidR="00957F89" w:rsidRPr="00C73849" w:rsidRDefault="00D92D87">
      <w:pPr>
        <w:pStyle w:val="BodyText"/>
        <w:ind w:right="288"/>
      </w:pPr>
      <w:r w:rsidRPr="00C73849">
        <w:t xml:space="preserve">The pyruvate test article has also been evaluated in two </w:t>
      </w:r>
      <w:r w:rsidRPr="00C73849">
        <w:rPr>
          <w:i/>
        </w:rPr>
        <w:t xml:space="preserve">in vitro </w:t>
      </w:r>
      <w:r w:rsidRPr="00C73849">
        <w:t>genetic toxicology systems, comprising the bacterial reverse mutation test (Ames test) and the chromosomal aberration</w:t>
      </w:r>
      <w:r w:rsidRPr="00C73849">
        <w:rPr>
          <w:w w:val="99"/>
        </w:rPr>
        <w:t xml:space="preserve"> </w:t>
      </w:r>
      <w:r w:rsidRPr="00C73849">
        <w:t xml:space="preserve">assay with mouse lymphoma cells (MLA test), as well as in two separate mammalian </w:t>
      </w:r>
      <w:r w:rsidRPr="00C73849">
        <w:rPr>
          <w:i/>
        </w:rPr>
        <w:t xml:space="preserve">in vivo </w:t>
      </w:r>
      <w:r w:rsidRPr="00C73849">
        <w:t>assays in rats, comprising the test for induction of micronuclei in the polychromatic erythrocyte</w:t>
      </w:r>
      <w:r w:rsidRPr="00C73849">
        <w:rPr>
          <w:w w:val="99"/>
        </w:rPr>
        <w:t xml:space="preserve"> </w:t>
      </w:r>
      <w:r w:rsidRPr="00C73849">
        <w:t>of the bone marrow, and detection of DNA damage in the blood using the Comet assay. In addition, the excipient AH111501, and the potential impurities AH112623, AH112615 and</w:t>
      </w:r>
      <w:r w:rsidRPr="00C73849">
        <w:rPr>
          <w:w w:val="99"/>
        </w:rPr>
        <w:t xml:space="preserve"> </w:t>
      </w:r>
      <w:r w:rsidRPr="00C73849">
        <w:t>AH113462 were also evaluated in the Ames and MLA tests. The potential impurity</w:t>
      </w:r>
      <w:r w:rsidR="001E1911">
        <w:t xml:space="preserve"> </w:t>
      </w:r>
      <w:r w:rsidRPr="00C73849">
        <w:t xml:space="preserve">AH113462 was further tested in the </w:t>
      </w:r>
      <w:r w:rsidRPr="00C73849">
        <w:rPr>
          <w:i/>
        </w:rPr>
        <w:t xml:space="preserve">in vivo </w:t>
      </w:r>
      <w:r w:rsidRPr="00C73849">
        <w:t>assay for induction of micronuclei in the</w:t>
      </w:r>
      <w:r w:rsidRPr="00C73849">
        <w:rPr>
          <w:w w:val="99"/>
        </w:rPr>
        <w:t xml:space="preserve"> </w:t>
      </w:r>
      <w:r w:rsidRPr="00C73849">
        <w:t>polychromatic erythrocyte of the bone marrow in rat.</w:t>
      </w:r>
    </w:p>
    <w:p w14:paraId="631912CE" w14:textId="77777777" w:rsidR="00957F89" w:rsidRPr="00C73849" w:rsidRDefault="00957F89">
      <w:pPr>
        <w:spacing w:before="10"/>
        <w:rPr>
          <w:rFonts w:ascii="Times New Roman" w:eastAsia="Times New Roman" w:hAnsi="Times New Roman" w:cs="Times New Roman"/>
          <w:sz w:val="20"/>
          <w:szCs w:val="20"/>
        </w:rPr>
      </w:pPr>
    </w:p>
    <w:p w14:paraId="53F34FC9" w14:textId="77777777" w:rsidR="00957F89" w:rsidRPr="00C73849" w:rsidRDefault="00D92D87">
      <w:pPr>
        <w:pStyle w:val="BodyText"/>
        <w:ind w:right="899"/>
      </w:pPr>
      <w:r w:rsidRPr="00C73849">
        <w:t>Local tolerance studies were conducted in rabbits to investigate whether the pyruvate test</w:t>
      </w:r>
      <w:r w:rsidRPr="00C73849">
        <w:rPr>
          <w:w w:val="99"/>
        </w:rPr>
        <w:t xml:space="preserve"> </w:t>
      </w:r>
      <w:r w:rsidRPr="00C73849">
        <w:t>article induced signs of irritation when administered by the dermal, ocular, intra-arterial,</w:t>
      </w:r>
      <w:r w:rsidRPr="00C73849">
        <w:rPr>
          <w:w w:val="99"/>
        </w:rPr>
        <w:t xml:space="preserve"> </w:t>
      </w:r>
      <w:r w:rsidRPr="00C73849">
        <w:t xml:space="preserve">intramuscular, </w:t>
      </w:r>
      <w:r w:rsidR="002A7BB9" w:rsidRPr="00C73849">
        <w:t>and subcutaneous</w:t>
      </w:r>
      <w:r w:rsidRPr="00C73849">
        <w:t xml:space="preserve"> or </w:t>
      </w:r>
      <w:proofErr w:type="spellStart"/>
      <w:r w:rsidRPr="00C73849">
        <w:t>paravenous</w:t>
      </w:r>
      <w:proofErr w:type="spellEnd"/>
      <w:r w:rsidRPr="00C73849">
        <w:t xml:space="preserve"> routes.</w:t>
      </w:r>
    </w:p>
    <w:p w14:paraId="3848C1E3" w14:textId="77777777" w:rsidR="00957F89" w:rsidRPr="00C73849" w:rsidRDefault="00957F89">
      <w:pPr>
        <w:spacing w:before="10"/>
        <w:rPr>
          <w:rFonts w:ascii="Times New Roman" w:eastAsia="Times New Roman" w:hAnsi="Times New Roman" w:cs="Times New Roman"/>
          <w:sz w:val="20"/>
          <w:szCs w:val="20"/>
        </w:rPr>
      </w:pPr>
    </w:p>
    <w:p w14:paraId="5A430292" w14:textId="63034411" w:rsidR="00957F89" w:rsidRPr="003F4FAF" w:rsidRDefault="00693531" w:rsidP="00600016">
      <w:pPr>
        <w:pStyle w:val="Heading3"/>
      </w:pPr>
      <w:bookmarkStart w:id="113" w:name="_Toc34899979"/>
      <w:bookmarkStart w:id="114" w:name="_Toc33702508"/>
      <w:bookmarkStart w:id="115" w:name="_Toc176276939"/>
      <w:r>
        <w:lastRenderedPageBreak/>
        <w:t>5.3.2</w:t>
      </w:r>
      <w:r>
        <w:tab/>
      </w:r>
      <w:r w:rsidR="00D92D87" w:rsidRPr="00C73849">
        <w:t>Expanded Acute-Dose Toxicity</w:t>
      </w:r>
      <w:bookmarkEnd w:id="113"/>
      <w:bookmarkEnd w:id="114"/>
      <w:bookmarkEnd w:id="115"/>
    </w:p>
    <w:p w14:paraId="0F572E2C" w14:textId="77777777" w:rsidR="00600016" w:rsidRPr="00600016" w:rsidRDefault="00600016" w:rsidP="00B9598C">
      <w:pPr>
        <w:keepNext/>
      </w:pPr>
    </w:p>
    <w:p w14:paraId="57C68476" w14:textId="29D2DB31" w:rsidR="00F55F89" w:rsidRPr="00600016" w:rsidRDefault="00D92D87" w:rsidP="00B9598C">
      <w:pPr>
        <w:pStyle w:val="Heading4"/>
      </w:pPr>
      <w:bookmarkStart w:id="116" w:name="_Toc437961139"/>
      <w:bookmarkStart w:id="117" w:name="_Toc34899980"/>
      <w:bookmarkStart w:id="118" w:name="_Toc33702509"/>
      <w:r w:rsidRPr="003F4FAF">
        <w:t>5.3.2.1</w:t>
      </w:r>
      <w:bookmarkEnd w:id="116"/>
      <w:bookmarkEnd w:id="117"/>
      <w:bookmarkEnd w:id="118"/>
      <w:r w:rsidRPr="00600016">
        <w:tab/>
        <w:t>500 mM (44.6 mg/ml) [1-13</w:t>
      </w:r>
      <w:proofErr w:type="gramStart"/>
      <w:r w:rsidRPr="00600016">
        <w:t>C]pyruvate</w:t>
      </w:r>
      <w:proofErr w:type="gramEnd"/>
      <w:r w:rsidRPr="00600016">
        <w:t xml:space="preserve"> and 0.85 mg/ml AH111501</w:t>
      </w:r>
    </w:p>
    <w:p w14:paraId="192FB5B4" w14:textId="77777777" w:rsidR="001E5BB3" w:rsidRPr="001E5BB3" w:rsidRDefault="001E5BB3" w:rsidP="003F4FAF"/>
    <w:p w14:paraId="75D49282" w14:textId="77777777" w:rsidR="00957F89" w:rsidRPr="00C73849" w:rsidRDefault="00F55F89" w:rsidP="00650CAE">
      <w:pPr>
        <w:pStyle w:val="Heading5"/>
        <w:rPr>
          <w:rFonts w:eastAsia="Times New Roman" w:hAnsi="Times New Roman" w:cs="Times New Roman"/>
          <w:szCs w:val="24"/>
        </w:rPr>
      </w:pPr>
      <w:r>
        <w:t>5</w:t>
      </w:r>
      <w:r w:rsidR="009223F8">
        <w:t>.3.2.1.1</w:t>
      </w:r>
      <w:r w:rsidR="009223F8">
        <w:tab/>
      </w:r>
      <w:r w:rsidR="00D92D87" w:rsidRPr="00C73849">
        <w:t>GE study number: B101020</w:t>
      </w:r>
      <w:r w:rsidR="00631644">
        <w:t>:</w:t>
      </w:r>
      <w:r w:rsidR="009223F8">
        <w:t xml:space="preserve"> </w:t>
      </w:r>
      <w:r w:rsidR="00D92D87" w:rsidRPr="00C73849">
        <w:t>An expanded acute dose toxicity study with intravenously injected AH111501 dissolved in 13C Na-AH110896 in male and female rats (GLP)</w:t>
      </w:r>
    </w:p>
    <w:p w14:paraId="770577CA" w14:textId="77777777" w:rsidR="00957F89" w:rsidRPr="00C73849" w:rsidRDefault="00957F89" w:rsidP="005A4B55">
      <w:pPr>
        <w:rPr>
          <w:rFonts w:eastAsia="Times New Roman" w:hAnsi="Times New Roman" w:cs="Times New Roman"/>
          <w:sz w:val="20"/>
          <w:szCs w:val="20"/>
        </w:rPr>
      </w:pPr>
    </w:p>
    <w:p w14:paraId="27D1763F" w14:textId="77777777" w:rsidR="00957F89" w:rsidRPr="00C73849" w:rsidRDefault="00D92D87" w:rsidP="005A4B55">
      <w:r w:rsidRPr="00C73849">
        <w:t>Four groups of 12 male and 12 female Sprague-Dawley rats were administered either saline</w:t>
      </w:r>
      <w:r w:rsidRPr="00C73849">
        <w:rPr>
          <w:w w:val="99"/>
        </w:rPr>
        <w:t xml:space="preserve"> </w:t>
      </w:r>
      <w:r w:rsidRPr="00C73849">
        <w:t>control, TRIS/EDTA vehicle control, low dose (892 mg [1-</w:t>
      </w:r>
      <w:r w:rsidRPr="00C73849">
        <w:rPr>
          <w:position w:val="11"/>
          <w:sz w:val="16"/>
        </w:rPr>
        <w:t>13</w:t>
      </w:r>
      <w:proofErr w:type="gramStart"/>
      <w:r w:rsidRPr="00C73849">
        <w:t>C]pyruvate</w:t>
      </w:r>
      <w:proofErr w:type="gramEnd"/>
      <w:r w:rsidRPr="00C73849">
        <w:t xml:space="preserve"> /kg </w:t>
      </w:r>
      <w:proofErr w:type="spellStart"/>
      <w:r w:rsidRPr="00C73849">
        <w:t>bw</w:t>
      </w:r>
      <w:proofErr w:type="spellEnd"/>
      <w:r w:rsidRPr="00C73849">
        <w:t xml:space="preserve"> and 17 mg</w:t>
      </w:r>
      <w:r w:rsidRPr="00C73849">
        <w:rPr>
          <w:w w:val="99"/>
        </w:rPr>
        <w:t xml:space="preserve"> </w:t>
      </w:r>
      <w:r w:rsidRPr="00C73849">
        <w:t xml:space="preserve">AH111501/kg </w:t>
      </w:r>
      <w:proofErr w:type="spellStart"/>
      <w:r w:rsidRPr="00C73849">
        <w:t>bw</w:t>
      </w:r>
      <w:proofErr w:type="spellEnd"/>
      <w:r w:rsidRPr="00C73849">
        <w:t>) or high dose of the test item (1784 mg [1-</w:t>
      </w:r>
      <w:r w:rsidRPr="00C73849">
        <w:rPr>
          <w:position w:val="11"/>
          <w:sz w:val="16"/>
        </w:rPr>
        <w:t>13</w:t>
      </w:r>
      <w:r w:rsidRPr="00C73849">
        <w:t xml:space="preserve">C]pyruvate /kg </w:t>
      </w:r>
      <w:proofErr w:type="spellStart"/>
      <w:r w:rsidRPr="00C73849">
        <w:t>bw</w:t>
      </w:r>
      <w:proofErr w:type="spellEnd"/>
      <w:r w:rsidRPr="00C73849">
        <w:t xml:space="preserve"> and</w:t>
      </w:r>
      <w:r w:rsidR="00131CA3">
        <w:t xml:space="preserve"> </w:t>
      </w:r>
      <w:r w:rsidRPr="00C73849">
        <w:t xml:space="preserve">34 mg AH111501/kg </w:t>
      </w:r>
      <w:proofErr w:type="spellStart"/>
      <w:r w:rsidRPr="00C73849">
        <w:t>bw</w:t>
      </w:r>
      <w:proofErr w:type="spellEnd"/>
      <w:r w:rsidRPr="00C73849">
        <w:t>) of the test item. To study acute effects, an interim kill was performed on half of the animals in each group 24 h after dosing. Fourteen days post- treatment, the remaining animals were killed and necropsied.</w:t>
      </w:r>
    </w:p>
    <w:p w14:paraId="29B21E16" w14:textId="77777777" w:rsidR="00957F89" w:rsidRPr="00C73849" w:rsidRDefault="00957F89" w:rsidP="005A4B55">
      <w:pPr>
        <w:rPr>
          <w:rFonts w:ascii="Times New Roman" w:eastAsia="Times New Roman" w:hAnsi="Times New Roman" w:cs="Times New Roman"/>
          <w:sz w:val="20"/>
          <w:szCs w:val="20"/>
        </w:rPr>
      </w:pPr>
    </w:p>
    <w:p w14:paraId="31390B9C" w14:textId="6B089297" w:rsidR="00957F89" w:rsidRPr="00C73849" w:rsidRDefault="00D92D87" w:rsidP="005A4B55">
      <w:r w:rsidRPr="00C73849">
        <w:t>There were no mortalities and no adverse treatment-related clinical signs. No treatment-related effects on gross pathology, body weights or organ weights were observed. No treatment-</w:t>
      </w:r>
      <w:r w:rsidRPr="00C73849">
        <w:rPr>
          <w:w w:val="99"/>
        </w:rPr>
        <w:t xml:space="preserve"> </w:t>
      </w:r>
      <w:r w:rsidRPr="00C73849">
        <w:t xml:space="preserve">related </w:t>
      </w:r>
      <w:proofErr w:type="spellStart"/>
      <w:r w:rsidRPr="00C73849">
        <w:t>histomorphological</w:t>
      </w:r>
      <w:proofErr w:type="spellEnd"/>
      <w:r w:rsidRPr="00C73849">
        <w:t xml:space="preserve"> findings were observed. Microscopic examination of the injection</w:t>
      </w:r>
      <w:r w:rsidRPr="00C73849">
        <w:rPr>
          <w:w w:val="99"/>
        </w:rPr>
        <w:t xml:space="preserve"> </w:t>
      </w:r>
      <w:r w:rsidRPr="00C73849">
        <w:t>site indicated that local tolerance of the test item did not differ from that of physiological saline.</w:t>
      </w:r>
      <w:r w:rsidR="001E1911">
        <w:t xml:space="preserve"> </w:t>
      </w:r>
      <w:r w:rsidRPr="00C73849">
        <w:t>Changes in clinical pathology parameters were observed for the interim and the terminal</w:t>
      </w:r>
      <w:r w:rsidR="001E1911">
        <w:rPr>
          <w:w w:val="99"/>
        </w:rPr>
        <w:t xml:space="preserve"> </w:t>
      </w:r>
      <w:r w:rsidRPr="00C73849">
        <w:t>groups, but these effects were not considered to be of toxicological significance and most</w:t>
      </w:r>
      <w:r w:rsidR="001E1911">
        <w:rPr>
          <w:w w:val="99"/>
        </w:rPr>
        <w:t xml:space="preserve"> </w:t>
      </w:r>
      <w:r w:rsidRPr="00C73849">
        <w:t>of the changes were reversible.</w:t>
      </w:r>
    </w:p>
    <w:p w14:paraId="747F1C70" w14:textId="77777777" w:rsidR="00957F89" w:rsidRPr="00C73849" w:rsidRDefault="00957F89" w:rsidP="005A4B55">
      <w:pPr>
        <w:rPr>
          <w:rFonts w:ascii="Times New Roman" w:eastAsia="Times New Roman" w:hAnsi="Times New Roman" w:cs="Times New Roman"/>
          <w:sz w:val="21"/>
          <w:szCs w:val="21"/>
        </w:rPr>
      </w:pPr>
    </w:p>
    <w:p w14:paraId="4B72DA71" w14:textId="77777777" w:rsidR="00957F89" w:rsidRPr="00C73849" w:rsidRDefault="00D92D87" w:rsidP="005A4B55">
      <w:r w:rsidRPr="00C73849">
        <w:t xml:space="preserve">The No-Observed-Adverse-Effect-Level (NOAEL) in this study was 1784 mg/kg </w:t>
      </w:r>
      <w:proofErr w:type="spellStart"/>
      <w:r w:rsidRPr="00C73849">
        <w:t>bw</w:t>
      </w:r>
      <w:proofErr w:type="spellEnd"/>
      <w:r w:rsidRPr="00C73849">
        <w:t xml:space="preserve"> for [1-</w:t>
      </w:r>
      <w:r w:rsidRPr="00C73849">
        <w:rPr>
          <w:position w:val="11"/>
          <w:sz w:val="16"/>
        </w:rPr>
        <w:t>13</w:t>
      </w:r>
      <w:proofErr w:type="gramStart"/>
      <w:r w:rsidRPr="00C73849">
        <w:t>C]pyruvate</w:t>
      </w:r>
      <w:proofErr w:type="gramEnd"/>
      <w:r w:rsidRPr="00C73849">
        <w:t xml:space="preserve"> and 34 mg/kg </w:t>
      </w:r>
      <w:proofErr w:type="spellStart"/>
      <w:r w:rsidRPr="00C73849">
        <w:t>bw</w:t>
      </w:r>
      <w:proofErr w:type="spellEnd"/>
      <w:r w:rsidRPr="00C73849">
        <w:t xml:space="preserve"> for AH111501. The NOAEL expressed as Human</w:t>
      </w:r>
      <w:r w:rsidR="00131CA3">
        <w:t xml:space="preserve"> </w:t>
      </w:r>
      <w:r w:rsidRPr="00C73849">
        <w:t xml:space="preserve">Equivalent Doses (HED) based on body surface area was 288 mg/kg </w:t>
      </w:r>
      <w:proofErr w:type="spellStart"/>
      <w:r w:rsidRPr="00C73849">
        <w:t>bw</w:t>
      </w:r>
      <w:proofErr w:type="spellEnd"/>
      <w:r w:rsidRPr="00C73849">
        <w:t xml:space="preserve"> for [1-</w:t>
      </w:r>
      <w:r w:rsidRPr="00C73849">
        <w:rPr>
          <w:position w:val="11"/>
          <w:sz w:val="16"/>
        </w:rPr>
        <w:t>13</w:t>
      </w:r>
      <w:proofErr w:type="gramStart"/>
      <w:r w:rsidRPr="00C73849">
        <w:t>C]pyruvate</w:t>
      </w:r>
      <w:proofErr w:type="gramEnd"/>
      <w:r w:rsidRPr="00C73849">
        <w:rPr>
          <w:w w:val="99"/>
        </w:rPr>
        <w:t xml:space="preserve"> </w:t>
      </w:r>
      <w:r w:rsidRPr="00C73849">
        <w:t xml:space="preserve">and 5.5 mg/kg </w:t>
      </w:r>
      <w:proofErr w:type="spellStart"/>
      <w:r w:rsidRPr="00C73849">
        <w:t>bw</w:t>
      </w:r>
      <w:proofErr w:type="spellEnd"/>
      <w:r w:rsidRPr="00C73849">
        <w:t xml:space="preserve"> for AH111501.</w:t>
      </w:r>
    </w:p>
    <w:p w14:paraId="1032EE4E" w14:textId="77777777" w:rsidR="00957F89" w:rsidRPr="00C73849" w:rsidRDefault="00957F89" w:rsidP="005D3932">
      <w:pPr>
        <w:rPr>
          <w:rFonts w:ascii="Times New Roman" w:eastAsia="Times New Roman" w:hAnsi="Times New Roman" w:cs="Times New Roman"/>
          <w:sz w:val="21"/>
          <w:szCs w:val="21"/>
        </w:rPr>
      </w:pPr>
    </w:p>
    <w:p w14:paraId="0CECE43B" w14:textId="77777777" w:rsidR="00957F89" w:rsidRPr="002131A0" w:rsidRDefault="009223F8" w:rsidP="00A179DA">
      <w:pPr>
        <w:pStyle w:val="Heading5"/>
      </w:pPr>
      <w:r w:rsidRPr="00631644">
        <w:t>5.3.2.1.2</w:t>
      </w:r>
      <w:r w:rsidRPr="00631644">
        <w:tab/>
      </w:r>
      <w:r w:rsidR="00D92D87" w:rsidRPr="00631644">
        <w:t>TNO study number: 5887 (GE study number: B101017)</w:t>
      </w:r>
      <w:r w:rsidR="00631644" w:rsidRPr="00631644">
        <w:t xml:space="preserve">: </w:t>
      </w:r>
      <w:r w:rsidR="00D92D87" w:rsidRPr="002131A0">
        <w:t>Expanded Acute Dose Intravenous Toxicity Study with AH111501 Dissolved in 13C-AH110896 in Beagle Dogs (GLP)</w:t>
      </w:r>
    </w:p>
    <w:p w14:paraId="76FC6041" w14:textId="77777777" w:rsidR="00957F89" w:rsidRPr="00C73849" w:rsidRDefault="00957F89" w:rsidP="005D3932">
      <w:pPr>
        <w:spacing w:before="4"/>
        <w:rPr>
          <w:rFonts w:ascii="Times New Roman" w:eastAsia="Times New Roman" w:hAnsi="Times New Roman" w:cs="Times New Roman"/>
          <w:b/>
          <w:bCs/>
          <w:sz w:val="21"/>
          <w:szCs w:val="21"/>
        </w:rPr>
      </w:pPr>
    </w:p>
    <w:p w14:paraId="4B059FFD" w14:textId="77777777" w:rsidR="00957F89" w:rsidRPr="00C73849" w:rsidRDefault="00D92D87" w:rsidP="005D3932">
      <w:pPr>
        <w:pStyle w:val="BodyText"/>
        <w:spacing w:line="229" w:lineRule="auto"/>
        <w:ind w:right="248"/>
      </w:pPr>
      <w:r w:rsidRPr="00C73849">
        <w:t>Groups of three male and three female beagle dogs were treated with either saline control or with a high dose of test item (446 mg [1-</w:t>
      </w:r>
      <w:r w:rsidRPr="00C73849">
        <w:rPr>
          <w:position w:val="11"/>
          <w:sz w:val="16"/>
        </w:rPr>
        <w:t>13</w:t>
      </w:r>
      <w:proofErr w:type="gramStart"/>
      <w:r w:rsidRPr="00C73849">
        <w:t>C]pyruvate</w:t>
      </w:r>
      <w:proofErr w:type="gramEnd"/>
      <w:r w:rsidRPr="00C73849">
        <w:t xml:space="preserve"> /kg </w:t>
      </w:r>
      <w:proofErr w:type="spellStart"/>
      <w:r w:rsidRPr="00C73849">
        <w:t>bw</w:t>
      </w:r>
      <w:proofErr w:type="spellEnd"/>
      <w:r w:rsidRPr="00C73849">
        <w:t xml:space="preserve"> and 17 mg AH111501/kg </w:t>
      </w:r>
      <w:proofErr w:type="spellStart"/>
      <w:r w:rsidRPr="00C73849">
        <w:t>bw</w:t>
      </w:r>
      <w:proofErr w:type="spellEnd"/>
      <w:r w:rsidRPr="00C73849">
        <w:t xml:space="preserve">). Blood samples for hematology and clinical chemistry were taken 24 h and 14 days after dosing. Blood samples for </w:t>
      </w:r>
      <w:proofErr w:type="spellStart"/>
      <w:r w:rsidRPr="00C73849">
        <w:t>toxicokinetics</w:t>
      </w:r>
      <w:proofErr w:type="spellEnd"/>
      <w:r w:rsidRPr="00C73849">
        <w:t xml:space="preserve"> were collected 1 day before dosing (pre-dose) and </w:t>
      </w:r>
      <w:proofErr w:type="gramStart"/>
      <w:r w:rsidRPr="00C73849">
        <w:t>1, 3, 5 and</w:t>
      </w:r>
      <w:r w:rsidR="00131CA3">
        <w:t xml:space="preserve"> </w:t>
      </w:r>
      <w:r w:rsidRPr="00C73849">
        <w:t>15 min</w:t>
      </w:r>
      <w:proofErr w:type="gramEnd"/>
      <w:r w:rsidRPr="00C73849">
        <w:t xml:space="preserve"> post dosing. The dogs were killed 14 days after dosing for a complete post-mortem.</w:t>
      </w:r>
    </w:p>
    <w:p w14:paraId="31D788D9" w14:textId="77777777" w:rsidR="00957F89" w:rsidRPr="00C73849" w:rsidRDefault="00957F89" w:rsidP="005D3932">
      <w:pPr>
        <w:spacing w:before="10"/>
        <w:rPr>
          <w:rFonts w:ascii="Times New Roman" w:eastAsia="Times New Roman" w:hAnsi="Times New Roman" w:cs="Times New Roman"/>
          <w:sz w:val="20"/>
          <w:szCs w:val="20"/>
        </w:rPr>
      </w:pPr>
    </w:p>
    <w:p w14:paraId="34A9C1CD" w14:textId="77777777" w:rsidR="00957F89" w:rsidRPr="00C73849" w:rsidRDefault="00D92D87" w:rsidP="005D3932">
      <w:pPr>
        <w:pStyle w:val="BodyText"/>
        <w:ind w:right="343"/>
      </w:pPr>
      <w:r w:rsidRPr="00C73849">
        <w:t>No test item related changes were seen in clinical signs (other than that the urine transiently had a greenish color), ophthalmoscopy, body weight, food intake, hematology, clinical</w:t>
      </w:r>
      <w:r w:rsidRPr="00C73849">
        <w:rPr>
          <w:w w:val="99"/>
        </w:rPr>
        <w:t xml:space="preserve"> </w:t>
      </w:r>
      <w:r w:rsidRPr="00C73849">
        <w:t>chemistry, organ weights, gross findings at necropsy or in histopathology of the organs and tissues sampled.</w:t>
      </w:r>
    </w:p>
    <w:p w14:paraId="6F7CAE8F" w14:textId="77777777" w:rsidR="00957F89" w:rsidRPr="00C73849" w:rsidRDefault="00957F89" w:rsidP="005D3932">
      <w:pPr>
        <w:spacing w:before="2"/>
        <w:rPr>
          <w:rFonts w:ascii="Times New Roman" w:eastAsia="Times New Roman" w:hAnsi="Times New Roman" w:cs="Times New Roman"/>
          <w:sz w:val="21"/>
          <w:szCs w:val="21"/>
        </w:rPr>
      </w:pPr>
    </w:p>
    <w:p w14:paraId="1D41A308" w14:textId="087FFD69" w:rsidR="00957F89" w:rsidRPr="00C73849" w:rsidRDefault="00D92D87" w:rsidP="005D3932">
      <w:pPr>
        <w:pStyle w:val="BodyText"/>
        <w:spacing w:line="276" w:lineRule="exact"/>
        <w:ind w:right="276"/>
      </w:pPr>
      <w:r w:rsidRPr="00C73849">
        <w:t xml:space="preserve">The </w:t>
      </w:r>
      <w:proofErr w:type="spellStart"/>
      <w:r w:rsidRPr="00C73849">
        <w:t>toxicokinetics</w:t>
      </w:r>
      <w:proofErr w:type="spellEnd"/>
      <w:r w:rsidRPr="00C73849">
        <w:t xml:space="preserve"> of [1-</w:t>
      </w:r>
      <w:r w:rsidRPr="00C73849">
        <w:rPr>
          <w:position w:val="11"/>
          <w:sz w:val="16"/>
        </w:rPr>
        <w:t>13</w:t>
      </w:r>
      <w:proofErr w:type="gramStart"/>
      <w:r w:rsidRPr="00C73849">
        <w:t>C]pyruvate</w:t>
      </w:r>
      <w:proofErr w:type="gramEnd"/>
      <w:r w:rsidRPr="00C73849">
        <w:t xml:space="preserve"> and [1-</w:t>
      </w:r>
      <w:r w:rsidRPr="00C73849">
        <w:rPr>
          <w:position w:val="11"/>
          <w:sz w:val="16"/>
        </w:rPr>
        <w:t>13</w:t>
      </w:r>
      <w:r w:rsidRPr="00C73849">
        <w:t>C]lactate were assessed using non compartmental analysis. The toxicokinetic endpoints were estimated individually using</w:t>
      </w:r>
      <w:r w:rsidR="001E1911">
        <w:t xml:space="preserve"> </w:t>
      </w:r>
      <w:r w:rsidRPr="00C73849">
        <w:t>nominal dose volumes and exact sampling time points and summarized as mean values within</w:t>
      </w:r>
      <w:r w:rsidRPr="00C73849">
        <w:rPr>
          <w:w w:val="99"/>
        </w:rPr>
        <w:t xml:space="preserve"> </w:t>
      </w:r>
      <w:r w:rsidRPr="00C73849">
        <w:t>each dosing group. Following intravenous administration of [1-</w:t>
      </w:r>
      <w:r w:rsidRPr="00C73849">
        <w:rPr>
          <w:position w:val="11"/>
          <w:sz w:val="16"/>
        </w:rPr>
        <w:t>13</w:t>
      </w:r>
      <w:proofErr w:type="gramStart"/>
      <w:r w:rsidRPr="00C73849">
        <w:t>C]pyruvate</w:t>
      </w:r>
      <w:proofErr w:type="gramEnd"/>
      <w:r w:rsidRPr="00C73849">
        <w:t>, rapid conversion</w:t>
      </w:r>
      <w:r w:rsidRPr="00C73849">
        <w:rPr>
          <w:w w:val="99"/>
        </w:rPr>
        <w:t xml:space="preserve"> </w:t>
      </w:r>
      <w:r w:rsidRPr="00C73849">
        <w:t>to [1-</w:t>
      </w:r>
      <w:r w:rsidRPr="00C73849">
        <w:rPr>
          <w:position w:val="11"/>
          <w:sz w:val="16"/>
        </w:rPr>
        <w:t>13</w:t>
      </w:r>
      <w:r w:rsidRPr="00C73849">
        <w:t>C]lactate was observed. [1-</w:t>
      </w:r>
      <w:r w:rsidRPr="00C73849">
        <w:rPr>
          <w:position w:val="11"/>
          <w:sz w:val="16"/>
        </w:rPr>
        <w:t>13</w:t>
      </w:r>
      <w:proofErr w:type="gramStart"/>
      <w:r w:rsidRPr="00C73849">
        <w:t>C]pyruvate</w:t>
      </w:r>
      <w:proofErr w:type="gramEnd"/>
      <w:r w:rsidRPr="00C73849">
        <w:t xml:space="preserve"> was eliminated from the blood with an average</w:t>
      </w:r>
      <w:r w:rsidR="00131CA3">
        <w:t xml:space="preserve"> </w:t>
      </w:r>
      <w:r w:rsidRPr="00C73849">
        <w:t>terminal elimination half-life of 6.4</w:t>
      </w:r>
      <w:r w:rsidRPr="00C73849">
        <w:rPr>
          <w:rFonts w:ascii="Symbol" w:eastAsia="Symbol" w:hAnsi="Symbol" w:cs="Symbol"/>
        </w:rPr>
        <w:t></w:t>
      </w:r>
      <w:r w:rsidRPr="00C73849">
        <w:t>0.9 min, with no significant difference between male and</w:t>
      </w:r>
      <w:r w:rsidRPr="00C73849">
        <w:rPr>
          <w:w w:val="99"/>
        </w:rPr>
        <w:t xml:space="preserve"> </w:t>
      </w:r>
      <w:r w:rsidRPr="00C73849">
        <w:t>female animals. The average terminal elimination half-life of [1-</w:t>
      </w:r>
      <w:r w:rsidRPr="00C73849">
        <w:rPr>
          <w:position w:val="11"/>
          <w:sz w:val="16"/>
          <w:szCs w:val="16"/>
        </w:rPr>
        <w:t>13</w:t>
      </w:r>
      <w:proofErr w:type="gramStart"/>
      <w:r w:rsidRPr="00C73849">
        <w:t>C]lactate</w:t>
      </w:r>
      <w:proofErr w:type="gramEnd"/>
      <w:r w:rsidRPr="00C73849">
        <w:t xml:space="preserve"> was 6.4</w:t>
      </w:r>
      <w:r w:rsidRPr="00C73849">
        <w:rPr>
          <w:rFonts w:ascii="Symbol" w:eastAsia="Symbol" w:hAnsi="Symbol" w:cs="Symbol"/>
        </w:rPr>
        <w:t></w:t>
      </w:r>
      <w:r w:rsidRPr="00C73849">
        <w:t>0.6 min.</w:t>
      </w:r>
      <w:r w:rsidRPr="00C73849">
        <w:rPr>
          <w:w w:val="99"/>
        </w:rPr>
        <w:t xml:space="preserve"> </w:t>
      </w:r>
      <w:r w:rsidRPr="00C73849">
        <w:t>The maximum blood concentration (C</w:t>
      </w:r>
      <w:r w:rsidRPr="00C73849">
        <w:rPr>
          <w:position w:val="-2"/>
          <w:sz w:val="16"/>
          <w:szCs w:val="16"/>
        </w:rPr>
        <w:t xml:space="preserve">max) </w:t>
      </w:r>
      <w:r w:rsidRPr="00C73849">
        <w:t>for [1-</w:t>
      </w:r>
      <w:r w:rsidRPr="00C73849">
        <w:rPr>
          <w:position w:val="11"/>
          <w:sz w:val="16"/>
          <w:szCs w:val="16"/>
        </w:rPr>
        <w:t>13</w:t>
      </w:r>
      <w:proofErr w:type="gramStart"/>
      <w:r w:rsidRPr="00C73849">
        <w:t>C]pyruvate</w:t>
      </w:r>
      <w:proofErr w:type="gramEnd"/>
      <w:r w:rsidRPr="00C73849">
        <w:t xml:space="preserve"> was observed at the first blood</w:t>
      </w:r>
      <w:r w:rsidRPr="00C73849">
        <w:rPr>
          <w:w w:val="99"/>
        </w:rPr>
        <w:t xml:space="preserve"> </w:t>
      </w:r>
      <w:r w:rsidRPr="00C73849">
        <w:t>sampling time point (1 min post-dosing). The C</w:t>
      </w:r>
      <w:r w:rsidRPr="00C73849">
        <w:rPr>
          <w:position w:val="-2"/>
          <w:sz w:val="16"/>
          <w:szCs w:val="16"/>
        </w:rPr>
        <w:t xml:space="preserve">max </w:t>
      </w:r>
      <w:r w:rsidRPr="00C73849">
        <w:t>in female dogs was in the range of 2069 to</w:t>
      </w:r>
      <w:r w:rsidRPr="00C73849">
        <w:rPr>
          <w:w w:val="99"/>
        </w:rPr>
        <w:t xml:space="preserve"> </w:t>
      </w:r>
      <w:r w:rsidRPr="00C73849">
        <w:t xml:space="preserve">3875 </w:t>
      </w:r>
      <w:r w:rsidRPr="00C73849">
        <w:rPr>
          <w:rFonts w:ascii="Symbol" w:eastAsia="Symbol" w:hAnsi="Symbol" w:cs="Symbol"/>
        </w:rPr>
        <w:t></w:t>
      </w:r>
      <w:r w:rsidRPr="00C73849">
        <w:t>M, whereas the C</w:t>
      </w:r>
      <w:r w:rsidRPr="00C73849">
        <w:rPr>
          <w:position w:val="-2"/>
          <w:sz w:val="16"/>
          <w:szCs w:val="16"/>
        </w:rPr>
        <w:t xml:space="preserve">max </w:t>
      </w:r>
      <w:r w:rsidRPr="00C73849">
        <w:t xml:space="preserve">in male dogs was in the range of 2066 to 2789 </w:t>
      </w:r>
      <w:r w:rsidRPr="00C73849">
        <w:rPr>
          <w:rFonts w:ascii="Symbol" w:eastAsia="Symbol" w:hAnsi="Symbol" w:cs="Symbol"/>
        </w:rPr>
        <w:t></w:t>
      </w:r>
      <w:r w:rsidRPr="00C73849">
        <w:t>M. The average</w:t>
      </w:r>
      <w:r w:rsidRPr="00C73849">
        <w:rPr>
          <w:w w:val="99"/>
        </w:rPr>
        <w:t xml:space="preserve"> </w:t>
      </w:r>
      <w:r w:rsidRPr="00C73849">
        <w:t>C</w:t>
      </w:r>
      <w:r w:rsidRPr="00C73849">
        <w:rPr>
          <w:position w:val="-2"/>
          <w:sz w:val="16"/>
          <w:szCs w:val="16"/>
        </w:rPr>
        <w:t xml:space="preserve">max </w:t>
      </w:r>
      <w:r w:rsidRPr="00C73849">
        <w:t>was 2700</w:t>
      </w:r>
      <w:r w:rsidRPr="00C73849">
        <w:rPr>
          <w:rFonts w:ascii="Symbol" w:eastAsia="Symbol" w:hAnsi="Symbol" w:cs="Symbol"/>
        </w:rPr>
        <w:t></w:t>
      </w:r>
      <w:r w:rsidRPr="00C73849">
        <w:t>1416 µM. The blood concentration/time profiles of [1-</w:t>
      </w:r>
      <w:r w:rsidRPr="00C73849">
        <w:rPr>
          <w:position w:val="11"/>
          <w:sz w:val="16"/>
          <w:szCs w:val="16"/>
        </w:rPr>
        <w:t>13</w:t>
      </w:r>
      <w:proofErr w:type="gramStart"/>
      <w:r w:rsidRPr="00C73849">
        <w:t>C]lactate</w:t>
      </w:r>
      <w:proofErr w:type="gramEnd"/>
      <w:r w:rsidRPr="00C73849">
        <w:t xml:space="preserve"> suggested a</w:t>
      </w:r>
      <w:r w:rsidRPr="00C73849">
        <w:rPr>
          <w:w w:val="99"/>
        </w:rPr>
        <w:t xml:space="preserve"> </w:t>
      </w:r>
      <w:r w:rsidRPr="00C73849">
        <w:t>concentration peak at around 3 min, with no statistically significant difference in C</w:t>
      </w:r>
      <w:r w:rsidRPr="00C73849">
        <w:rPr>
          <w:position w:val="-2"/>
          <w:sz w:val="16"/>
          <w:szCs w:val="16"/>
        </w:rPr>
        <w:t xml:space="preserve">max </w:t>
      </w:r>
      <w:r w:rsidRPr="00C73849">
        <w:t>between</w:t>
      </w:r>
      <w:r w:rsidRPr="00C73849">
        <w:rPr>
          <w:w w:val="99"/>
        </w:rPr>
        <w:t xml:space="preserve"> </w:t>
      </w:r>
      <w:r w:rsidRPr="00C73849">
        <w:t>male and female animals.</w:t>
      </w:r>
    </w:p>
    <w:p w14:paraId="0A880623" w14:textId="3129528D" w:rsidR="00957F89" w:rsidRPr="00C73849" w:rsidRDefault="00D92D87" w:rsidP="005D3932">
      <w:pPr>
        <w:pStyle w:val="BodyText"/>
        <w:spacing w:line="276" w:lineRule="exact"/>
        <w:ind w:right="951"/>
      </w:pPr>
      <w:r w:rsidRPr="00C73849">
        <w:lastRenderedPageBreak/>
        <w:t>No-Observed-Adverse-Effect-Level (NOAEL</w:t>
      </w:r>
      <w:r w:rsidR="004E6B58">
        <w:t>)</w:t>
      </w:r>
      <w:r w:rsidRPr="00C73849">
        <w:t xml:space="preserve"> in this study was 446 mg/kg </w:t>
      </w:r>
      <w:proofErr w:type="spellStart"/>
      <w:r w:rsidRPr="00C73849">
        <w:t>bw</w:t>
      </w:r>
      <w:proofErr w:type="spellEnd"/>
      <w:r w:rsidRPr="00C73849">
        <w:t xml:space="preserve"> for [1-</w:t>
      </w:r>
      <w:r w:rsidRPr="00C73849">
        <w:rPr>
          <w:position w:val="11"/>
          <w:sz w:val="16"/>
        </w:rPr>
        <w:t>13</w:t>
      </w:r>
      <w:proofErr w:type="gramStart"/>
      <w:r w:rsidRPr="00C73849">
        <w:t>C]pyruvate</w:t>
      </w:r>
      <w:proofErr w:type="gramEnd"/>
      <w:r w:rsidRPr="00C73849">
        <w:t xml:space="preserve"> and 8.5 mg/kg </w:t>
      </w:r>
      <w:proofErr w:type="spellStart"/>
      <w:r w:rsidRPr="00C73849">
        <w:t>bw</w:t>
      </w:r>
      <w:proofErr w:type="spellEnd"/>
      <w:r w:rsidRPr="00C73849">
        <w:t xml:space="preserve"> for AH111501. The NOAEL expressed as Human</w:t>
      </w:r>
      <w:r w:rsidR="00131CA3">
        <w:t xml:space="preserve"> </w:t>
      </w:r>
      <w:r w:rsidRPr="00C73849">
        <w:t xml:space="preserve">Equivalent Doses (HED) based on body surface area was 247 mg/kg </w:t>
      </w:r>
      <w:proofErr w:type="spellStart"/>
      <w:r w:rsidRPr="00C73849">
        <w:t>bw</w:t>
      </w:r>
      <w:proofErr w:type="spellEnd"/>
      <w:r w:rsidRPr="00C73849">
        <w:t xml:space="preserve"> for [1-</w:t>
      </w:r>
      <w:r w:rsidRPr="00C73849">
        <w:rPr>
          <w:position w:val="11"/>
          <w:sz w:val="16"/>
        </w:rPr>
        <w:t>13</w:t>
      </w:r>
      <w:proofErr w:type="gramStart"/>
      <w:r w:rsidRPr="00C73849">
        <w:t>C]pyruvate</w:t>
      </w:r>
      <w:proofErr w:type="gramEnd"/>
      <w:r w:rsidRPr="00C73849">
        <w:rPr>
          <w:w w:val="99"/>
        </w:rPr>
        <w:t xml:space="preserve"> </w:t>
      </w:r>
      <w:r w:rsidRPr="00C73849">
        <w:t xml:space="preserve">and 4.7 mg/kg </w:t>
      </w:r>
      <w:proofErr w:type="spellStart"/>
      <w:r w:rsidRPr="00C73849">
        <w:t>bw</w:t>
      </w:r>
      <w:proofErr w:type="spellEnd"/>
      <w:r w:rsidRPr="00C73849">
        <w:t xml:space="preserve"> for AH111501.</w:t>
      </w:r>
    </w:p>
    <w:p w14:paraId="1F603579" w14:textId="77777777" w:rsidR="00957F89" w:rsidRPr="00C73849" w:rsidRDefault="00957F89" w:rsidP="005D3932">
      <w:pPr>
        <w:spacing w:before="3"/>
        <w:rPr>
          <w:rFonts w:ascii="Times New Roman" w:eastAsia="Times New Roman" w:hAnsi="Times New Roman" w:cs="Times New Roman"/>
          <w:sz w:val="25"/>
          <w:szCs w:val="25"/>
        </w:rPr>
      </w:pPr>
    </w:p>
    <w:p w14:paraId="48F024BE" w14:textId="77777777" w:rsidR="00957F89" w:rsidRPr="003F4FAF" w:rsidRDefault="00D92D87" w:rsidP="004841AD">
      <w:pPr>
        <w:pStyle w:val="Heading4"/>
      </w:pPr>
      <w:bookmarkStart w:id="119" w:name="_Toc437961140"/>
      <w:bookmarkStart w:id="120" w:name="_Toc34899981"/>
      <w:bookmarkStart w:id="121" w:name="_Toc33702510"/>
      <w:r w:rsidRPr="003F4FAF">
        <w:t>5.3.2.2</w:t>
      </w:r>
      <w:bookmarkEnd w:id="119"/>
      <w:bookmarkEnd w:id="120"/>
      <w:bookmarkEnd w:id="121"/>
      <w:r w:rsidRPr="004841AD">
        <w:tab/>
      </w:r>
      <w:r w:rsidR="00650CAE" w:rsidRPr="004841AD">
        <w:tab/>
      </w:r>
      <w:r w:rsidRPr="004841AD">
        <w:t>250 mM (22.3 mg/ml) [1-</w:t>
      </w:r>
      <w:r w:rsidRPr="003F4FAF">
        <w:t>13</w:t>
      </w:r>
      <w:proofErr w:type="gramStart"/>
      <w:r w:rsidRPr="004841AD">
        <w:t>C]pyruvate</w:t>
      </w:r>
      <w:proofErr w:type="gramEnd"/>
      <w:r w:rsidRPr="004841AD">
        <w:t xml:space="preserve"> and 0.43 mg/ml AH111501</w:t>
      </w:r>
    </w:p>
    <w:p w14:paraId="3FBE794C" w14:textId="77777777" w:rsidR="00957F89" w:rsidRPr="003F4FAF" w:rsidRDefault="00D92D87" w:rsidP="005A4B55">
      <w:pPr>
        <w:pStyle w:val="Heading5"/>
      </w:pPr>
      <w:bookmarkStart w:id="122" w:name="_Toc437961141"/>
      <w:bookmarkStart w:id="123" w:name="_Toc34899982"/>
      <w:bookmarkStart w:id="124" w:name="_Toc33702511"/>
      <w:r w:rsidRPr="003F4FAF">
        <w:t>5.3.2.2.1</w:t>
      </w:r>
      <w:bookmarkEnd w:id="122"/>
      <w:bookmarkEnd w:id="123"/>
      <w:bookmarkEnd w:id="124"/>
      <w:r w:rsidRPr="003F4FAF">
        <w:tab/>
        <w:t>GE study number: B101040</w:t>
      </w:r>
      <w:r w:rsidR="009223F8">
        <w:t>.</w:t>
      </w:r>
      <w:r w:rsidR="001E1911">
        <w:t xml:space="preserve"> </w:t>
      </w:r>
      <w:r w:rsidRPr="00C73849">
        <w:t>An expanded acute dose toxicity study with intravenously injected AH111501 in 250 mM AH110896 dissolved in 100 mM TRIS/EDTA in male and female</w:t>
      </w:r>
      <w:r w:rsidRPr="003F4FAF">
        <w:t xml:space="preserve"> </w:t>
      </w:r>
      <w:r w:rsidRPr="00C73849">
        <w:t>rats (GLP)</w:t>
      </w:r>
    </w:p>
    <w:p w14:paraId="09401E26" w14:textId="77777777" w:rsidR="00957F89" w:rsidRPr="003F4FAF" w:rsidRDefault="00957F89" w:rsidP="003F4FAF"/>
    <w:p w14:paraId="7BD13A7E" w14:textId="1950C7E9" w:rsidR="00957F89" w:rsidRPr="00C73849" w:rsidRDefault="00D92D87" w:rsidP="005D3932">
      <w:pPr>
        <w:pStyle w:val="BodyText"/>
        <w:spacing w:line="276" w:lineRule="exact"/>
        <w:ind w:right="311"/>
      </w:pPr>
      <w:r w:rsidRPr="00C73849">
        <w:t>Six groups of 12 male and 12 female Sprague-Dawley rats were administered saline control, or TRIS/EDTA vehicle control or a high dose of the test item (892 mg [1-</w:t>
      </w:r>
      <w:r w:rsidRPr="00C73849">
        <w:rPr>
          <w:position w:val="11"/>
          <w:sz w:val="16"/>
        </w:rPr>
        <w:t>13</w:t>
      </w:r>
      <w:proofErr w:type="gramStart"/>
      <w:r w:rsidRPr="00C73849">
        <w:t>C]pyruvate</w:t>
      </w:r>
      <w:proofErr w:type="gramEnd"/>
      <w:r w:rsidRPr="00C73849">
        <w:t xml:space="preserve">/kg </w:t>
      </w:r>
      <w:proofErr w:type="spellStart"/>
      <w:r w:rsidRPr="00C73849">
        <w:t>bw</w:t>
      </w:r>
      <w:proofErr w:type="spellEnd"/>
      <w:r w:rsidRPr="00C73849">
        <w:t xml:space="preserve"> and</w:t>
      </w:r>
      <w:r w:rsidRPr="00C73849">
        <w:rPr>
          <w:w w:val="99"/>
        </w:rPr>
        <w:t xml:space="preserve"> </w:t>
      </w:r>
      <w:r w:rsidRPr="00C73849">
        <w:t xml:space="preserve">17 mg AH111501/kg </w:t>
      </w:r>
      <w:proofErr w:type="spellStart"/>
      <w:r w:rsidRPr="00C73849">
        <w:t>bw</w:t>
      </w:r>
      <w:proofErr w:type="spellEnd"/>
      <w:r w:rsidRPr="00C73849">
        <w:t>). One group of six male and six female Sprague-Dawley rats was administered the low dose of the test item (446 mg [1-</w:t>
      </w:r>
      <w:r w:rsidRPr="00C73849">
        <w:rPr>
          <w:position w:val="11"/>
          <w:sz w:val="16"/>
        </w:rPr>
        <w:t>13</w:t>
      </w:r>
      <w:proofErr w:type="gramStart"/>
      <w:r w:rsidRPr="00C73849">
        <w:t>C]pyruvate</w:t>
      </w:r>
      <w:proofErr w:type="gramEnd"/>
      <w:r w:rsidRPr="00C73849">
        <w:t xml:space="preserve">/kg </w:t>
      </w:r>
      <w:proofErr w:type="spellStart"/>
      <w:r w:rsidRPr="00C73849">
        <w:t>bw</w:t>
      </w:r>
      <w:proofErr w:type="spellEnd"/>
      <w:r w:rsidRPr="00C73849">
        <w:t xml:space="preserve"> and 17 mg</w:t>
      </w:r>
      <w:r w:rsidRPr="00C73849">
        <w:rPr>
          <w:w w:val="99"/>
        </w:rPr>
        <w:t xml:space="preserve"> </w:t>
      </w:r>
      <w:r w:rsidRPr="00C73849">
        <w:t xml:space="preserve">AH111501/kg </w:t>
      </w:r>
      <w:proofErr w:type="spellStart"/>
      <w:r w:rsidRPr="00C73849">
        <w:t>bw</w:t>
      </w:r>
      <w:proofErr w:type="spellEnd"/>
      <w:r w:rsidRPr="00C73849">
        <w:t>). To study acute effects, an interim kill was performed in half of the saline</w:t>
      </w:r>
      <w:r w:rsidRPr="00C73849">
        <w:rPr>
          <w:w w:val="99"/>
        </w:rPr>
        <w:t xml:space="preserve"> </w:t>
      </w:r>
      <w:r w:rsidRPr="00C73849">
        <w:t>control, vehicle-control and high-dose animals 24 h after dosing. Fourteen days post- treatment, the remaining animals were killed and necropsied.</w:t>
      </w:r>
    </w:p>
    <w:p w14:paraId="24BDF7CD" w14:textId="77777777" w:rsidR="00957F89" w:rsidRPr="00C73849" w:rsidRDefault="00957F89" w:rsidP="005D3932">
      <w:pPr>
        <w:spacing w:before="7"/>
        <w:rPr>
          <w:rFonts w:ascii="Times New Roman" w:eastAsia="Times New Roman" w:hAnsi="Times New Roman" w:cs="Times New Roman"/>
          <w:sz w:val="20"/>
          <w:szCs w:val="20"/>
        </w:rPr>
      </w:pPr>
    </w:p>
    <w:p w14:paraId="26D8290C" w14:textId="77777777" w:rsidR="00957F89" w:rsidRPr="00C73849" w:rsidRDefault="00D92D87" w:rsidP="005D3932">
      <w:pPr>
        <w:pStyle w:val="BodyText"/>
        <w:spacing w:line="239" w:lineRule="auto"/>
        <w:ind w:right="286"/>
      </w:pPr>
      <w:r w:rsidRPr="00C73849">
        <w:t>There were no mortalities and no adverse treatment-related clinical signs. No test item related effects on gross pathology or body weights were observed. A statistically significant decrease</w:t>
      </w:r>
      <w:r w:rsidRPr="00C73849">
        <w:rPr>
          <w:w w:val="99"/>
        </w:rPr>
        <w:t xml:space="preserve"> </w:t>
      </w:r>
      <w:r w:rsidRPr="00C73849">
        <w:t>in heart weight was observed in the interim male high-dose group compared to the saline-</w:t>
      </w:r>
      <w:r w:rsidRPr="00C73849">
        <w:rPr>
          <w:w w:val="99"/>
        </w:rPr>
        <w:t xml:space="preserve"> </w:t>
      </w:r>
      <w:r w:rsidRPr="00C73849">
        <w:t>control group. This change was minor in magnitude and considered to have no toxicological</w:t>
      </w:r>
      <w:r w:rsidRPr="00C73849">
        <w:rPr>
          <w:w w:val="99"/>
        </w:rPr>
        <w:t xml:space="preserve"> </w:t>
      </w:r>
      <w:r w:rsidRPr="00C73849">
        <w:t xml:space="preserve">significance. The test item did not cause any overt adverse </w:t>
      </w:r>
      <w:proofErr w:type="spellStart"/>
      <w:r w:rsidRPr="00C73849">
        <w:t>histomorphological</w:t>
      </w:r>
      <w:proofErr w:type="spellEnd"/>
      <w:r w:rsidRPr="00C73849">
        <w:t xml:space="preserve"> findings and</w:t>
      </w:r>
      <w:r w:rsidRPr="00C73849">
        <w:rPr>
          <w:w w:val="99"/>
        </w:rPr>
        <w:t xml:space="preserve"> </w:t>
      </w:r>
      <w:r w:rsidRPr="00C73849">
        <w:t>microscopic examination of the injection site indicated that the local tolerability of the test item</w:t>
      </w:r>
      <w:r w:rsidRPr="00C73849">
        <w:rPr>
          <w:w w:val="99"/>
        </w:rPr>
        <w:t xml:space="preserve"> </w:t>
      </w:r>
      <w:r w:rsidRPr="00C73849">
        <w:t>did not differ significantly from that of physiological saline. There were statistically</w:t>
      </w:r>
      <w:r w:rsidR="001E1911">
        <w:t xml:space="preserve"> </w:t>
      </w:r>
      <w:r w:rsidRPr="00C73849">
        <w:t>significant changes in the test item-treated groups compared to the saline or vehicle groups in</w:t>
      </w:r>
      <w:r w:rsidRPr="00C73849">
        <w:rPr>
          <w:w w:val="99"/>
        </w:rPr>
        <w:t xml:space="preserve"> </w:t>
      </w:r>
      <w:r w:rsidRPr="00C73849">
        <w:t xml:space="preserve">some of the clinical pathology parameters. These changes </w:t>
      </w:r>
      <w:r w:rsidR="002530E8" w:rsidRPr="00C73849">
        <w:t>were</w:t>
      </w:r>
      <w:r w:rsidRPr="00C73849">
        <w:t xml:space="preserve"> without any adverse biological consequence and did not correlate with any </w:t>
      </w:r>
      <w:proofErr w:type="spellStart"/>
      <w:r w:rsidRPr="00C73849">
        <w:t>histomorphological</w:t>
      </w:r>
      <w:proofErr w:type="spellEnd"/>
      <w:r w:rsidRPr="00C73849">
        <w:t xml:space="preserve"> findings.</w:t>
      </w:r>
      <w:r w:rsidR="00131CA3">
        <w:t xml:space="preserve"> </w:t>
      </w:r>
      <w:r w:rsidRPr="00C73849">
        <w:t>These changes were therefore regarded to be of no toxicological significance.</w:t>
      </w:r>
    </w:p>
    <w:p w14:paraId="4DAB8654" w14:textId="77777777" w:rsidR="00957F89" w:rsidRPr="00C73849" w:rsidRDefault="00957F89" w:rsidP="005D3932">
      <w:pPr>
        <w:spacing w:before="10"/>
        <w:rPr>
          <w:rFonts w:ascii="Times New Roman" w:eastAsia="Times New Roman" w:hAnsi="Times New Roman" w:cs="Times New Roman"/>
          <w:sz w:val="20"/>
          <w:szCs w:val="20"/>
        </w:rPr>
      </w:pPr>
    </w:p>
    <w:p w14:paraId="484D1D9B" w14:textId="77777777" w:rsidR="00957F89" w:rsidRPr="00C73849" w:rsidRDefault="00D92D87" w:rsidP="005D3932">
      <w:pPr>
        <w:pStyle w:val="BodyText"/>
        <w:spacing w:line="276" w:lineRule="exact"/>
      </w:pPr>
      <w:r w:rsidRPr="00C73849">
        <w:t xml:space="preserve">To confirm that correct dose test articles were given to the animals, samples of the </w:t>
      </w:r>
      <w:r w:rsidR="002A7BB9" w:rsidRPr="00C73849">
        <w:t>dosing solution</w:t>
      </w:r>
      <w:r w:rsidRPr="00C73849">
        <w:t xml:space="preserve"> were analyzed for actual concentrations and purity of the test substance</w:t>
      </w:r>
      <w:r w:rsidR="00131CA3">
        <w:t xml:space="preserve"> </w:t>
      </w:r>
      <w:r w:rsidRPr="00C73849">
        <w:t>([1-</w:t>
      </w:r>
      <w:r w:rsidRPr="00C73849">
        <w:rPr>
          <w:position w:val="11"/>
          <w:sz w:val="16"/>
        </w:rPr>
        <w:t>13</w:t>
      </w:r>
      <w:proofErr w:type="gramStart"/>
      <w:r w:rsidRPr="00C73849">
        <w:t>C]pyruvate</w:t>
      </w:r>
      <w:proofErr w:type="gramEnd"/>
      <w:r w:rsidRPr="00C73849">
        <w:t>), and in addition pH and osmolality were measured. Selected samples were</w:t>
      </w:r>
      <w:r w:rsidR="00131CA3">
        <w:t xml:space="preserve"> </w:t>
      </w:r>
      <w:r w:rsidRPr="00C73849">
        <w:t>analyzed for concentration of AH111501 by HPLC and purity of [1-</w:t>
      </w:r>
      <w:r w:rsidRPr="00C73849">
        <w:rPr>
          <w:position w:val="11"/>
          <w:sz w:val="16"/>
        </w:rPr>
        <w:t>13</w:t>
      </w:r>
      <w:proofErr w:type="gramStart"/>
      <w:r w:rsidRPr="00C73849">
        <w:t>C]pyruvate</w:t>
      </w:r>
      <w:proofErr w:type="gramEnd"/>
      <w:r w:rsidRPr="00C73849">
        <w:t xml:space="preserve"> by NMR. All analytical results were within the expected range.</w:t>
      </w:r>
    </w:p>
    <w:p w14:paraId="51759C06" w14:textId="77777777" w:rsidR="00957F89" w:rsidRPr="00C73849" w:rsidRDefault="00957F89" w:rsidP="005D3932">
      <w:pPr>
        <w:spacing w:before="10"/>
        <w:rPr>
          <w:rFonts w:ascii="Times New Roman" w:eastAsia="Times New Roman" w:hAnsi="Times New Roman" w:cs="Times New Roman"/>
          <w:sz w:val="20"/>
          <w:szCs w:val="20"/>
        </w:rPr>
      </w:pPr>
    </w:p>
    <w:p w14:paraId="27EF6E6B" w14:textId="4B120392" w:rsidR="00957F89" w:rsidRPr="00C73849" w:rsidRDefault="00D92D87" w:rsidP="005D3932">
      <w:pPr>
        <w:pStyle w:val="BodyText"/>
        <w:spacing w:line="258" w:lineRule="exact"/>
      </w:pPr>
      <w:r w:rsidRPr="00C73849">
        <w:t>No-Observed-Adverse-Effect-Level (NOAEL</w:t>
      </w:r>
      <w:r w:rsidR="004E6B58">
        <w:t>)</w:t>
      </w:r>
      <w:r w:rsidRPr="00C73849">
        <w:t xml:space="preserve"> in this study was 892 mg/kg </w:t>
      </w:r>
      <w:proofErr w:type="spellStart"/>
      <w:r w:rsidRPr="00C73849">
        <w:t>bw</w:t>
      </w:r>
      <w:proofErr w:type="spellEnd"/>
      <w:r w:rsidRPr="00C73849">
        <w:t xml:space="preserve"> for</w:t>
      </w:r>
      <w:r w:rsidR="00131CA3">
        <w:t xml:space="preserve"> </w:t>
      </w:r>
      <w:r w:rsidR="00361C9C">
        <w:t>[</w:t>
      </w:r>
      <w:r w:rsidRPr="00C73849">
        <w:t>1-</w:t>
      </w:r>
      <w:r w:rsidRPr="00C73849">
        <w:rPr>
          <w:position w:val="11"/>
          <w:sz w:val="16"/>
        </w:rPr>
        <w:t>13</w:t>
      </w:r>
      <w:proofErr w:type="gramStart"/>
      <w:r w:rsidRPr="00C73849">
        <w:t>C]pyruvate</w:t>
      </w:r>
      <w:proofErr w:type="gramEnd"/>
      <w:r w:rsidRPr="00C73849">
        <w:t xml:space="preserve"> and 17 mg/kg </w:t>
      </w:r>
      <w:proofErr w:type="spellStart"/>
      <w:r w:rsidRPr="00C73849">
        <w:t>bw</w:t>
      </w:r>
      <w:proofErr w:type="spellEnd"/>
      <w:r w:rsidRPr="00C73849">
        <w:t xml:space="preserve"> for AH111501 in TRIS/EDTA dissolution medium. The</w:t>
      </w:r>
      <w:r w:rsidRPr="00C73849">
        <w:rPr>
          <w:w w:val="99"/>
        </w:rPr>
        <w:t xml:space="preserve"> </w:t>
      </w:r>
      <w:r w:rsidRPr="00C73849">
        <w:t>NOAEL expressed as Human Equivalent Doses (HED) based on body surface area was</w:t>
      </w:r>
      <w:r w:rsidR="00131CA3">
        <w:t xml:space="preserve"> </w:t>
      </w:r>
      <w:r w:rsidRPr="00C73849">
        <w:t xml:space="preserve">144 mg/kg </w:t>
      </w:r>
      <w:proofErr w:type="spellStart"/>
      <w:r w:rsidRPr="00C73849">
        <w:t>bw</w:t>
      </w:r>
      <w:proofErr w:type="spellEnd"/>
      <w:r w:rsidRPr="00C73849">
        <w:t xml:space="preserve"> for [1-</w:t>
      </w:r>
      <w:r w:rsidRPr="00C73849">
        <w:rPr>
          <w:position w:val="11"/>
          <w:sz w:val="16"/>
        </w:rPr>
        <w:t>13</w:t>
      </w:r>
      <w:proofErr w:type="gramStart"/>
      <w:r w:rsidRPr="00C73849">
        <w:t>C]pyruvate</w:t>
      </w:r>
      <w:proofErr w:type="gramEnd"/>
      <w:r w:rsidRPr="00C73849">
        <w:t xml:space="preserve"> and 2.75 mg/kg </w:t>
      </w:r>
      <w:proofErr w:type="spellStart"/>
      <w:r w:rsidRPr="00C73849">
        <w:t>bw</w:t>
      </w:r>
      <w:proofErr w:type="spellEnd"/>
      <w:r w:rsidRPr="00C73849">
        <w:t xml:space="preserve"> for AH111501.</w:t>
      </w:r>
    </w:p>
    <w:p w14:paraId="276BC95A" w14:textId="77777777" w:rsidR="00957F89" w:rsidRPr="002131A0" w:rsidRDefault="00957F89" w:rsidP="005D3932">
      <w:pPr>
        <w:spacing w:before="8"/>
      </w:pPr>
    </w:p>
    <w:p w14:paraId="6D184A4C" w14:textId="77777777" w:rsidR="00957F89" w:rsidRPr="00C73849" w:rsidRDefault="009223F8" w:rsidP="002B3334">
      <w:pPr>
        <w:pStyle w:val="Heading4"/>
        <w:rPr>
          <w:rFonts w:eastAsia="Times New Roman" w:hAnsi="Times New Roman" w:cs="Times New Roman"/>
          <w:szCs w:val="24"/>
        </w:rPr>
      </w:pPr>
      <w:r>
        <w:t>5.3.2.3</w:t>
      </w:r>
      <w:r>
        <w:tab/>
      </w:r>
      <w:r w:rsidR="00D92D87" w:rsidRPr="00C73849">
        <w:t>AH112623 (</w:t>
      </w:r>
      <w:proofErr w:type="spellStart"/>
      <w:r w:rsidR="00D92D87" w:rsidRPr="00C73849">
        <w:t>Parapyruvate</w:t>
      </w:r>
      <w:proofErr w:type="spellEnd"/>
      <w:r w:rsidR="00D92D87" w:rsidRPr="00C73849">
        <w:t>)</w:t>
      </w:r>
    </w:p>
    <w:p w14:paraId="57E7462F" w14:textId="77777777" w:rsidR="00957F89" w:rsidRPr="003F4FAF" w:rsidRDefault="009223F8" w:rsidP="005A4B55">
      <w:pPr>
        <w:pStyle w:val="Heading5"/>
      </w:pPr>
      <w:r>
        <w:t>5.3.2.3.1</w:t>
      </w:r>
      <w:r>
        <w:tab/>
      </w:r>
      <w:r w:rsidR="00D92D87" w:rsidRPr="00C73849">
        <w:t>GE study number: B101044</w:t>
      </w:r>
      <w:r>
        <w:t>.</w:t>
      </w:r>
      <w:r w:rsidR="001E1911">
        <w:t xml:space="preserve"> </w:t>
      </w:r>
      <w:r w:rsidR="00D92D87" w:rsidRPr="00C73849">
        <w:t xml:space="preserve">An Expanded Acute Dose Toxicity Study with Intravenously Injected </w:t>
      </w:r>
      <w:proofErr w:type="spellStart"/>
      <w:r w:rsidR="00D92D87" w:rsidRPr="00C73849">
        <w:t>Parapyruvate</w:t>
      </w:r>
      <w:proofErr w:type="spellEnd"/>
      <w:r w:rsidR="00D92D87" w:rsidRPr="00C73849">
        <w:t xml:space="preserve"> in Male and Female Rats (GLP)</w:t>
      </w:r>
    </w:p>
    <w:p w14:paraId="5E7C6D96" w14:textId="77777777" w:rsidR="00957F89" w:rsidRPr="00C73849" w:rsidRDefault="00957F89" w:rsidP="005D3932">
      <w:pPr>
        <w:spacing w:before="5"/>
        <w:rPr>
          <w:rFonts w:ascii="Times New Roman" w:eastAsia="Times New Roman" w:hAnsi="Times New Roman" w:cs="Times New Roman"/>
          <w:b/>
          <w:bCs/>
          <w:sz w:val="20"/>
          <w:szCs w:val="20"/>
        </w:rPr>
      </w:pPr>
    </w:p>
    <w:p w14:paraId="6684FEA3" w14:textId="77777777" w:rsidR="00957F89" w:rsidRPr="00C73849" w:rsidRDefault="00D92D87" w:rsidP="005D3932">
      <w:pPr>
        <w:pStyle w:val="BodyText"/>
        <w:ind w:right="152"/>
      </w:pPr>
      <w:r w:rsidRPr="00C73849">
        <w:t>Four groups of 12 male and 12 female Sprague-Dawley rats were administered either saline</w:t>
      </w:r>
      <w:r w:rsidRPr="00C73849">
        <w:rPr>
          <w:w w:val="99"/>
        </w:rPr>
        <w:t xml:space="preserve"> </w:t>
      </w:r>
      <w:r w:rsidRPr="00C73849">
        <w:t xml:space="preserve">(control animals), or a high dose (1216 mg/kg </w:t>
      </w:r>
      <w:proofErr w:type="spellStart"/>
      <w:r w:rsidRPr="00C73849">
        <w:t>bw</w:t>
      </w:r>
      <w:proofErr w:type="spellEnd"/>
      <w:r w:rsidRPr="00C73849">
        <w:t xml:space="preserve">) of </w:t>
      </w:r>
      <w:proofErr w:type="spellStart"/>
      <w:r w:rsidRPr="00C73849">
        <w:t>parapyruvate</w:t>
      </w:r>
      <w:proofErr w:type="spellEnd"/>
      <w:r w:rsidRPr="00C73849">
        <w:t xml:space="preserve"> (AH112623) dissolved in</w:t>
      </w:r>
      <w:r w:rsidR="001E1911">
        <w:rPr>
          <w:w w:val="99"/>
        </w:rPr>
        <w:t xml:space="preserve"> </w:t>
      </w:r>
      <w:r w:rsidRPr="00C73849">
        <w:t>20 mM phosphate buffer containing 75 mM NaOH. One group of 6 male and 6 female</w:t>
      </w:r>
      <w:r w:rsidRPr="00C73849">
        <w:rPr>
          <w:w w:val="99"/>
        </w:rPr>
        <w:t xml:space="preserve"> </w:t>
      </w:r>
      <w:r w:rsidRPr="00C73849">
        <w:t xml:space="preserve">Sprague-Dawley rats was administered a low dose of </w:t>
      </w:r>
      <w:proofErr w:type="spellStart"/>
      <w:r w:rsidRPr="00C73849">
        <w:t>parapyruvate</w:t>
      </w:r>
      <w:proofErr w:type="spellEnd"/>
      <w:r w:rsidRPr="00C73849">
        <w:t xml:space="preserve"> (608 mg/kg </w:t>
      </w:r>
      <w:proofErr w:type="spellStart"/>
      <w:r w:rsidRPr="00C73849">
        <w:t>bw</w:t>
      </w:r>
      <w:proofErr w:type="spellEnd"/>
      <w:r w:rsidRPr="00C73849">
        <w:t>). To obtain</w:t>
      </w:r>
      <w:r w:rsidRPr="00C73849">
        <w:rPr>
          <w:w w:val="99"/>
        </w:rPr>
        <w:t xml:space="preserve"> </w:t>
      </w:r>
      <w:r w:rsidRPr="00C73849">
        <w:t xml:space="preserve">maximum exposure, the animals were dosed twice on the same day (with approximately 4 h between the administrations) </w:t>
      </w:r>
      <w:r w:rsidRPr="00C73849">
        <w:lastRenderedPageBreak/>
        <w:t>with the maximum recommended dose volume of 20 ml/kg for</w:t>
      </w:r>
      <w:r w:rsidR="001E1911">
        <w:t xml:space="preserve"> </w:t>
      </w:r>
      <w:r w:rsidRPr="00C73849">
        <w:t>the high-dose and the control groups and with 10 ml/kg for the low-dose group. To study acute</w:t>
      </w:r>
      <w:r w:rsidRPr="00C73849">
        <w:rPr>
          <w:w w:val="99"/>
        </w:rPr>
        <w:t xml:space="preserve"> </w:t>
      </w:r>
      <w:r w:rsidRPr="00C73849">
        <w:t>effects, an interim kill on six males and six females in the high-dose and the control groups was performed at 24 h after dosing. Fourteen days post-treatment, the remaining animals were</w:t>
      </w:r>
      <w:r w:rsidR="001E1911">
        <w:rPr>
          <w:w w:val="99"/>
        </w:rPr>
        <w:t xml:space="preserve"> </w:t>
      </w:r>
      <w:r w:rsidRPr="00C73849">
        <w:t>killed and necropsied.</w:t>
      </w:r>
    </w:p>
    <w:p w14:paraId="1729A9AE" w14:textId="77777777" w:rsidR="00957F89" w:rsidRPr="00C73849" w:rsidRDefault="00957F89" w:rsidP="005D3932">
      <w:pPr>
        <w:spacing w:before="10"/>
        <w:rPr>
          <w:rFonts w:ascii="Times New Roman" w:eastAsia="Times New Roman" w:hAnsi="Times New Roman" w:cs="Times New Roman"/>
          <w:sz w:val="20"/>
          <w:szCs w:val="20"/>
        </w:rPr>
      </w:pPr>
    </w:p>
    <w:p w14:paraId="345F325B" w14:textId="0D1FCE49" w:rsidR="00957F89" w:rsidRPr="00C73849" w:rsidRDefault="00D92D87" w:rsidP="005D3932">
      <w:pPr>
        <w:pStyle w:val="BodyText"/>
        <w:spacing w:line="239" w:lineRule="auto"/>
        <w:ind w:right="343"/>
      </w:pPr>
      <w:r w:rsidRPr="00C73849">
        <w:t>There were no mortalities and no adverse treatment-related clinical signs. No test item related effects on gross pathology or body weights were observed. A small but statistically significant</w:t>
      </w:r>
      <w:r w:rsidRPr="00C73849">
        <w:rPr>
          <w:w w:val="99"/>
        </w:rPr>
        <w:t xml:space="preserve"> </w:t>
      </w:r>
      <w:r w:rsidRPr="00C73849">
        <w:t xml:space="preserve">decrease in absolute liver weight was seen for the male high dose group at 24 h after dosing compared to the saline group. This did not correlate to any </w:t>
      </w:r>
      <w:proofErr w:type="spellStart"/>
      <w:r w:rsidRPr="00C73849">
        <w:t>histomorphological</w:t>
      </w:r>
      <w:proofErr w:type="spellEnd"/>
      <w:r w:rsidRPr="00C73849">
        <w:t xml:space="preserve"> </w:t>
      </w:r>
      <w:proofErr w:type="gramStart"/>
      <w:r w:rsidRPr="00C73849">
        <w:t>findings</w:t>
      </w:r>
      <w:proofErr w:type="gramEnd"/>
      <w:r w:rsidRPr="00C73849">
        <w:t xml:space="preserve"> and</w:t>
      </w:r>
      <w:r w:rsidR="001E1911">
        <w:rPr>
          <w:w w:val="99"/>
        </w:rPr>
        <w:t xml:space="preserve"> </w:t>
      </w:r>
      <w:r w:rsidRPr="00C73849">
        <w:t xml:space="preserve">the change </w:t>
      </w:r>
      <w:r w:rsidR="002530E8" w:rsidRPr="00C73849">
        <w:t>was</w:t>
      </w:r>
      <w:r w:rsidRPr="00C73849">
        <w:t xml:space="preserve"> of no toxicological relevance. There were no test item related</w:t>
      </w:r>
      <w:r w:rsidRPr="00C73849">
        <w:rPr>
          <w:w w:val="99"/>
        </w:rPr>
        <w:t xml:space="preserve"> </w:t>
      </w:r>
      <w:r w:rsidRPr="00C73849">
        <w:t>microscopic findings in this study in either the interim group or the terminal group. All</w:t>
      </w:r>
      <w:r w:rsidRPr="00C73849">
        <w:rPr>
          <w:w w:val="99"/>
        </w:rPr>
        <w:t xml:space="preserve"> </w:t>
      </w:r>
      <w:r w:rsidRPr="00C73849">
        <w:t>microscopic findings were either related to venipuncture or were incidental and of the type</w:t>
      </w:r>
      <w:r w:rsidRPr="00C73849">
        <w:rPr>
          <w:w w:val="99"/>
        </w:rPr>
        <w:t xml:space="preserve"> </w:t>
      </w:r>
      <w:r w:rsidRPr="00C73849">
        <w:t xml:space="preserve">routinely observed in Sprague-Dawley rats of this age. There were small but statistically significant changes for some of the clinical pathology parameters when the test item treated groups were compared to the saline group, however, these changes did not correlate with any </w:t>
      </w:r>
      <w:proofErr w:type="spellStart"/>
      <w:r w:rsidRPr="00C73849">
        <w:t>histomorphological</w:t>
      </w:r>
      <w:proofErr w:type="spellEnd"/>
      <w:r w:rsidRPr="00C73849">
        <w:t xml:space="preserve"> findings and </w:t>
      </w:r>
      <w:r w:rsidR="002530E8" w:rsidRPr="00C73849">
        <w:t>were</w:t>
      </w:r>
      <w:r w:rsidRPr="00C73849">
        <w:t xml:space="preserve"> of no toxicological relevance.</w:t>
      </w:r>
    </w:p>
    <w:p w14:paraId="431BA519" w14:textId="77777777" w:rsidR="00957F89" w:rsidRPr="00C73849" w:rsidRDefault="00957F89" w:rsidP="005D3932">
      <w:pPr>
        <w:spacing w:before="10"/>
        <w:rPr>
          <w:rFonts w:ascii="Times New Roman" w:eastAsia="Times New Roman" w:hAnsi="Times New Roman" w:cs="Times New Roman"/>
          <w:sz w:val="20"/>
          <w:szCs w:val="20"/>
        </w:rPr>
      </w:pPr>
    </w:p>
    <w:p w14:paraId="16999A55" w14:textId="77777777" w:rsidR="00957F89" w:rsidRPr="00C73849" w:rsidRDefault="00D92D87" w:rsidP="005D3932">
      <w:pPr>
        <w:pStyle w:val="BodyText"/>
        <w:ind w:right="311"/>
      </w:pPr>
      <w:r w:rsidRPr="00C73849">
        <w:t>To confirm that correct dose test articles were given to the animals, samples of the dosing</w:t>
      </w:r>
      <w:r w:rsidRPr="00C73849">
        <w:rPr>
          <w:w w:val="99"/>
        </w:rPr>
        <w:t xml:space="preserve"> </w:t>
      </w:r>
      <w:r w:rsidRPr="00C73849">
        <w:t xml:space="preserve">solution were analyzed for concentrations and purity of </w:t>
      </w:r>
      <w:proofErr w:type="spellStart"/>
      <w:r w:rsidRPr="00C73849">
        <w:t>parapyruvate</w:t>
      </w:r>
      <w:proofErr w:type="spellEnd"/>
      <w:r w:rsidRPr="00C73849">
        <w:t xml:space="preserve"> by NMR. In </w:t>
      </w:r>
      <w:r w:rsidR="002530E8" w:rsidRPr="00C73849">
        <w:t>addition,</w:t>
      </w:r>
      <w:r w:rsidRPr="00C73849">
        <w:t xml:space="preserve"> pH and osmolality </w:t>
      </w:r>
      <w:r w:rsidR="003816B2" w:rsidRPr="00C73849">
        <w:t>were</w:t>
      </w:r>
      <w:r w:rsidRPr="00C73849">
        <w:t xml:space="preserve"> measured. The variability of the analytical results was considered acceptable. However, the lowest calculated assay value for </w:t>
      </w:r>
      <w:proofErr w:type="spellStart"/>
      <w:r w:rsidRPr="00C73849">
        <w:t>parapyruvate</w:t>
      </w:r>
      <w:proofErr w:type="spellEnd"/>
      <w:r w:rsidRPr="00C73849">
        <w:t xml:space="preserve"> was 30.4 mg/ml,</w:t>
      </w:r>
      <w:r w:rsidRPr="00C73849">
        <w:rPr>
          <w:w w:val="99"/>
        </w:rPr>
        <w:t xml:space="preserve"> </w:t>
      </w:r>
      <w:r w:rsidRPr="00C73849">
        <w:t>which was 76% of the target value of 40 mg/ml. Therefore, the estimated actual maximum</w:t>
      </w:r>
      <w:r w:rsidRPr="00C73849">
        <w:rPr>
          <w:w w:val="99"/>
        </w:rPr>
        <w:t xml:space="preserve"> </w:t>
      </w:r>
      <w:r w:rsidRPr="00C73849">
        <w:t xml:space="preserve">dose of </w:t>
      </w:r>
      <w:proofErr w:type="spellStart"/>
      <w:r w:rsidRPr="00C73849">
        <w:t>parapyruvate</w:t>
      </w:r>
      <w:proofErr w:type="spellEnd"/>
      <w:r w:rsidRPr="00C73849">
        <w:t xml:space="preserve"> administered to the animals was estimated as 1216 mg/kg </w:t>
      </w:r>
      <w:proofErr w:type="spellStart"/>
      <w:r w:rsidRPr="00C73849">
        <w:t>bw</w:t>
      </w:r>
      <w:proofErr w:type="spellEnd"/>
      <w:r w:rsidRPr="00C73849">
        <w:t>.</w:t>
      </w:r>
    </w:p>
    <w:p w14:paraId="1DC27816" w14:textId="77777777" w:rsidR="00957F89" w:rsidRPr="00C73849" w:rsidRDefault="00957F89" w:rsidP="005D3932">
      <w:pPr>
        <w:spacing w:before="10"/>
        <w:rPr>
          <w:rFonts w:ascii="Times New Roman" w:eastAsia="Times New Roman" w:hAnsi="Times New Roman" w:cs="Times New Roman"/>
          <w:sz w:val="20"/>
          <w:szCs w:val="20"/>
        </w:rPr>
      </w:pPr>
    </w:p>
    <w:p w14:paraId="4885A93A" w14:textId="5DE81343" w:rsidR="00957F89" w:rsidRPr="00C73849" w:rsidRDefault="00D92D87" w:rsidP="005D3932">
      <w:pPr>
        <w:pStyle w:val="BodyText"/>
        <w:ind w:right="219"/>
        <w:jc w:val="both"/>
      </w:pPr>
      <w:r w:rsidRPr="00C73849">
        <w:t xml:space="preserve">Intravenous administration of a dose of 1216 mg/kg </w:t>
      </w:r>
      <w:proofErr w:type="spellStart"/>
      <w:r w:rsidRPr="00C73849">
        <w:t>bw</w:t>
      </w:r>
      <w:proofErr w:type="spellEnd"/>
      <w:r w:rsidRPr="00C73849">
        <w:t xml:space="preserve"> </w:t>
      </w:r>
      <w:proofErr w:type="spellStart"/>
      <w:r w:rsidRPr="00C73849">
        <w:t>parapyruvate</w:t>
      </w:r>
      <w:proofErr w:type="spellEnd"/>
      <w:r w:rsidRPr="00C73849">
        <w:t xml:space="preserve"> to rats was well tolerated</w:t>
      </w:r>
      <w:r w:rsidRPr="00C73849">
        <w:rPr>
          <w:w w:val="99"/>
        </w:rPr>
        <w:t xml:space="preserve"> </w:t>
      </w:r>
      <w:r w:rsidRPr="00C73849">
        <w:t>when divided in two intravenous administrations of 20 ml/kg separated by 4 h and injected at a</w:t>
      </w:r>
      <w:r w:rsidRPr="00C73849">
        <w:rPr>
          <w:w w:val="99"/>
        </w:rPr>
        <w:t xml:space="preserve"> </w:t>
      </w:r>
      <w:r w:rsidRPr="00C73849">
        <w:t>rate of 1.2 ml/min. The estimated No-Observed-Adverse-Effect-Level</w:t>
      </w:r>
      <w:r w:rsidR="00EC6C69">
        <w:t xml:space="preserve"> </w:t>
      </w:r>
      <w:r w:rsidRPr="00C73849">
        <w:t>(NOAEL</w:t>
      </w:r>
      <w:r w:rsidR="00EC6C69">
        <w:t>)</w:t>
      </w:r>
      <w:r w:rsidRPr="00C73849">
        <w:t xml:space="preserve"> in this study</w:t>
      </w:r>
      <w:r w:rsidR="008A5BBE">
        <w:t xml:space="preserve"> </w:t>
      </w:r>
      <w:r w:rsidRPr="00C73849">
        <w:t xml:space="preserve">was 1216 mg/kg </w:t>
      </w:r>
      <w:proofErr w:type="spellStart"/>
      <w:r w:rsidRPr="00C73849">
        <w:t>bw</w:t>
      </w:r>
      <w:proofErr w:type="spellEnd"/>
      <w:r w:rsidRPr="00C73849">
        <w:t xml:space="preserve"> for </w:t>
      </w:r>
      <w:proofErr w:type="spellStart"/>
      <w:r w:rsidRPr="00C73849">
        <w:t>parapyruvate</w:t>
      </w:r>
      <w:proofErr w:type="spellEnd"/>
      <w:r w:rsidRPr="00C73849">
        <w:t xml:space="preserve">. The NOAEL expressed as Human Equivalent Doses (HED based on body surface area was 196 mg/kg </w:t>
      </w:r>
      <w:proofErr w:type="spellStart"/>
      <w:r w:rsidRPr="00C73849">
        <w:t>bw</w:t>
      </w:r>
      <w:proofErr w:type="spellEnd"/>
      <w:r w:rsidRPr="00C73849">
        <w:t>.</w:t>
      </w:r>
    </w:p>
    <w:p w14:paraId="4AB9E99D" w14:textId="77777777" w:rsidR="00957F89" w:rsidRPr="002131A0" w:rsidRDefault="00957F89" w:rsidP="005D3932">
      <w:pPr>
        <w:spacing w:before="8"/>
      </w:pPr>
    </w:p>
    <w:p w14:paraId="59441A2E" w14:textId="77777777" w:rsidR="00957F89" w:rsidRPr="00C73849" w:rsidRDefault="009223F8" w:rsidP="005A4B55">
      <w:pPr>
        <w:pStyle w:val="Heading4"/>
        <w:rPr>
          <w:rFonts w:eastAsia="Times New Roman" w:hAnsi="Times New Roman" w:cs="Times New Roman"/>
          <w:szCs w:val="24"/>
        </w:rPr>
      </w:pPr>
      <w:r>
        <w:t>5.3.2.4</w:t>
      </w:r>
      <w:r>
        <w:tab/>
      </w:r>
      <w:r w:rsidR="00D92D87" w:rsidRPr="00C73849">
        <w:t>AH112615 (Reaction-product between pyruvic acid and TRIS)</w:t>
      </w:r>
    </w:p>
    <w:p w14:paraId="24AD3100" w14:textId="77777777" w:rsidR="00957F89" w:rsidRPr="00996230" w:rsidRDefault="009223F8" w:rsidP="005A4B55">
      <w:pPr>
        <w:pStyle w:val="Heading5"/>
        <w:rPr>
          <w:rFonts w:eastAsia="Times New Roman" w:hAnsi="Times New Roman" w:cs="Times New Roman"/>
          <w:szCs w:val="24"/>
        </w:rPr>
      </w:pPr>
      <w:r>
        <w:rPr>
          <w:rFonts w:ascii="Times New Roman"/>
        </w:rPr>
        <w:t>5.3.2.4.1</w:t>
      </w:r>
      <w:r>
        <w:rPr>
          <w:rFonts w:ascii="Times New Roman"/>
        </w:rPr>
        <w:tab/>
      </w:r>
      <w:r w:rsidR="00D92D87" w:rsidRPr="009223F8">
        <w:rPr>
          <w:rFonts w:ascii="Times New Roman"/>
        </w:rPr>
        <w:t>GE study number: B101046</w:t>
      </w:r>
      <w:r w:rsidRPr="009223F8">
        <w:rPr>
          <w:rFonts w:ascii="Times New Roman"/>
        </w:rPr>
        <w:t xml:space="preserve">. </w:t>
      </w:r>
      <w:r w:rsidR="00D92D87" w:rsidRPr="009223F8">
        <w:t xml:space="preserve">An expanded acute dose toxicity study with </w:t>
      </w:r>
      <w:r w:rsidR="002A7BB9" w:rsidRPr="009223F8">
        <w:t>intravenously</w:t>
      </w:r>
      <w:r w:rsidR="00D92D87" w:rsidRPr="009223F8">
        <w:t xml:space="preserve"> injected AH-112615 (PA-TRIS) in male and female rats (GLP)</w:t>
      </w:r>
    </w:p>
    <w:p w14:paraId="233DA21F" w14:textId="77777777" w:rsidR="00957F89" w:rsidRPr="00C73849" w:rsidRDefault="00957F89" w:rsidP="005D3932">
      <w:pPr>
        <w:spacing w:before="5"/>
        <w:rPr>
          <w:rFonts w:ascii="Times New Roman" w:eastAsia="Times New Roman" w:hAnsi="Times New Roman" w:cs="Times New Roman"/>
          <w:b/>
          <w:bCs/>
          <w:sz w:val="20"/>
          <w:szCs w:val="20"/>
        </w:rPr>
      </w:pPr>
    </w:p>
    <w:p w14:paraId="0E813FEE" w14:textId="77777777" w:rsidR="00957F89" w:rsidRPr="00C73849" w:rsidRDefault="00D92D87" w:rsidP="005D3932">
      <w:pPr>
        <w:pStyle w:val="BodyText"/>
        <w:ind w:right="151"/>
      </w:pPr>
      <w:r w:rsidRPr="00C73849">
        <w:t>Six groups of 12 male and 12 female Sprague-Dawley rats were administered either saline</w:t>
      </w:r>
      <w:r w:rsidRPr="00C73849">
        <w:rPr>
          <w:w w:val="99"/>
        </w:rPr>
        <w:t xml:space="preserve"> </w:t>
      </w:r>
      <w:r w:rsidRPr="00C73849">
        <w:t xml:space="preserve">control, a high dose (1400 mg/kg </w:t>
      </w:r>
      <w:proofErr w:type="spellStart"/>
      <w:r w:rsidRPr="00C73849">
        <w:t>bw</w:t>
      </w:r>
      <w:proofErr w:type="spellEnd"/>
      <w:r w:rsidRPr="00C73849">
        <w:t xml:space="preserve">) or a low dose (700 mg/kg </w:t>
      </w:r>
      <w:proofErr w:type="spellStart"/>
      <w:r w:rsidRPr="00C73849">
        <w:t>bw</w:t>
      </w:r>
      <w:proofErr w:type="spellEnd"/>
      <w:r w:rsidRPr="00C73849">
        <w:t>) of test item AH112615 dissolved in sterile water. To obtain maximum exposure, the animals were dosed twice on the</w:t>
      </w:r>
      <w:r w:rsidRPr="00C73849">
        <w:rPr>
          <w:w w:val="99"/>
        </w:rPr>
        <w:t xml:space="preserve"> </w:t>
      </w:r>
      <w:r w:rsidRPr="00C73849">
        <w:t>same day (with approximately 4 h between the administrations) with the maximum</w:t>
      </w:r>
      <w:r w:rsidRPr="00C73849">
        <w:rPr>
          <w:w w:val="99"/>
        </w:rPr>
        <w:t xml:space="preserve"> </w:t>
      </w:r>
      <w:r w:rsidRPr="00C73849">
        <w:t>recommended dose volume of 20 ml/kg for the high-dose and the control groups and with</w:t>
      </w:r>
      <w:r w:rsidR="008A5BBE">
        <w:t xml:space="preserve"> </w:t>
      </w:r>
      <w:r w:rsidRPr="00C73849">
        <w:t>10 ml/kg for the low-dose group. To study acute effects, an interim kill was performed on half</w:t>
      </w:r>
      <w:r w:rsidRPr="00C73849">
        <w:rPr>
          <w:w w:val="99"/>
        </w:rPr>
        <w:t xml:space="preserve"> </w:t>
      </w:r>
      <w:r w:rsidRPr="00C73849">
        <w:t>of the animals 24 h after dosing. Fourteen days post-treatment, the remaining animals were</w:t>
      </w:r>
      <w:r w:rsidRPr="00C73849">
        <w:rPr>
          <w:w w:val="99"/>
        </w:rPr>
        <w:t xml:space="preserve"> </w:t>
      </w:r>
      <w:r w:rsidRPr="00C73849">
        <w:t>killed and necropsied.</w:t>
      </w:r>
    </w:p>
    <w:p w14:paraId="0F7E3793" w14:textId="77777777" w:rsidR="00957F89" w:rsidRPr="00C73849" w:rsidRDefault="00957F89" w:rsidP="005D3932">
      <w:pPr>
        <w:spacing w:before="10"/>
        <w:rPr>
          <w:rFonts w:ascii="Times New Roman" w:eastAsia="Times New Roman" w:hAnsi="Times New Roman" w:cs="Times New Roman"/>
          <w:sz w:val="20"/>
          <w:szCs w:val="20"/>
        </w:rPr>
      </w:pPr>
    </w:p>
    <w:p w14:paraId="7826B906" w14:textId="16B3F2CD" w:rsidR="00957F89" w:rsidRPr="00C73849" w:rsidRDefault="00D92D87" w:rsidP="005D3932">
      <w:pPr>
        <w:pStyle w:val="BodyText"/>
        <w:ind w:right="311"/>
      </w:pPr>
      <w:r w:rsidRPr="00C73849">
        <w:t>There were no mortalities and no adverse treatment-related clinical signs. No test item related effects on gross pathology or body weights were observed. A small but statistically significant</w:t>
      </w:r>
      <w:r w:rsidRPr="00C73849">
        <w:rPr>
          <w:w w:val="99"/>
        </w:rPr>
        <w:t xml:space="preserve"> </w:t>
      </w:r>
      <w:r w:rsidRPr="00C73849">
        <w:t xml:space="preserve">decrease in liver weight in the interim female high dose group and a small but statistically significant increase in brain weight in the terminal female high dose group were found compared to the saline group. These changes did not correlate with any </w:t>
      </w:r>
      <w:proofErr w:type="spellStart"/>
      <w:r w:rsidRPr="00C73849">
        <w:t>histomorphological</w:t>
      </w:r>
      <w:proofErr w:type="spellEnd"/>
      <w:r w:rsidRPr="00C73849">
        <w:rPr>
          <w:w w:val="99"/>
        </w:rPr>
        <w:t xml:space="preserve"> </w:t>
      </w:r>
      <w:r w:rsidRPr="00C73849">
        <w:t xml:space="preserve">findings and </w:t>
      </w:r>
      <w:r w:rsidR="003816B2" w:rsidRPr="00C73849">
        <w:t>were</w:t>
      </w:r>
      <w:r w:rsidRPr="00C73849">
        <w:t xml:space="preserve"> of no toxicological relevance. There were no test item</w:t>
      </w:r>
      <w:r w:rsidRPr="00C73849">
        <w:rPr>
          <w:w w:val="99"/>
        </w:rPr>
        <w:t xml:space="preserve"> </w:t>
      </w:r>
      <w:r w:rsidRPr="00C73849">
        <w:t>related microscopic findings in this study in either the interim-kill group or the terminal-kill</w:t>
      </w:r>
      <w:r w:rsidRPr="00C73849">
        <w:rPr>
          <w:w w:val="99"/>
        </w:rPr>
        <w:t xml:space="preserve"> </w:t>
      </w:r>
      <w:r w:rsidRPr="00C73849">
        <w:t>group. All microscopic findings were either related to venipuncture or were incidental and of the type routinely observed in Sprague-</w:t>
      </w:r>
      <w:r w:rsidRPr="00C73849">
        <w:lastRenderedPageBreak/>
        <w:t>Dawley rats of this age. There were small but</w:t>
      </w:r>
      <w:r w:rsidRPr="00C73849">
        <w:rPr>
          <w:w w:val="99"/>
        </w:rPr>
        <w:t xml:space="preserve"> </w:t>
      </w:r>
      <w:r w:rsidRPr="00C73849">
        <w:t>statistically significant changes in the test item-treated groups compared to the saline group in</w:t>
      </w:r>
      <w:r w:rsidRPr="00C73849">
        <w:rPr>
          <w:w w:val="99"/>
        </w:rPr>
        <w:t xml:space="preserve"> </w:t>
      </w:r>
      <w:r w:rsidRPr="00C73849">
        <w:t>some of the clinical pathology parameters.</w:t>
      </w:r>
      <w:r w:rsidR="001E1911">
        <w:t xml:space="preserve"> </w:t>
      </w:r>
      <w:r w:rsidRPr="00C73849">
        <w:t xml:space="preserve">However, these changes did not correlate with any </w:t>
      </w:r>
      <w:proofErr w:type="spellStart"/>
      <w:r w:rsidRPr="00C73849">
        <w:t>histomorphological</w:t>
      </w:r>
      <w:proofErr w:type="spellEnd"/>
      <w:r w:rsidRPr="00C73849">
        <w:t xml:space="preserve"> findings and </w:t>
      </w:r>
      <w:r w:rsidR="003816B2" w:rsidRPr="00C73849">
        <w:t>were</w:t>
      </w:r>
      <w:r w:rsidRPr="00C73849">
        <w:t xml:space="preserve"> of no toxicological relevance.</w:t>
      </w:r>
    </w:p>
    <w:p w14:paraId="009504FC" w14:textId="77777777" w:rsidR="00957F89" w:rsidRPr="00C73849" w:rsidRDefault="00957F89" w:rsidP="005D3932">
      <w:pPr>
        <w:spacing w:before="8"/>
        <w:rPr>
          <w:rFonts w:ascii="Times New Roman" w:eastAsia="Times New Roman" w:hAnsi="Times New Roman" w:cs="Times New Roman"/>
          <w:sz w:val="20"/>
          <w:szCs w:val="20"/>
        </w:rPr>
      </w:pPr>
    </w:p>
    <w:p w14:paraId="6FECD6F0" w14:textId="77777777" w:rsidR="00957F89" w:rsidRPr="00C73849" w:rsidRDefault="00D92D87" w:rsidP="005D3932">
      <w:pPr>
        <w:pStyle w:val="BodyText"/>
        <w:ind w:right="311"/>
      </w:pPr>
      <w:r w:rsidRPr="00C73849">
        <w:t xml:space="preserve">Samples of the dosing solution were analyzed for osmolality and </w:t>
      </w:r>
      <w:proofErr w:type="spellStart"/>
      <w:r w:rsidRPr="00C73849">
        <w:t>pH.</w:t>
      </w:r>
      <w:proofErr w:type="spellEnd"/>
      <w:r w:rsidRPr="00C73849">
        <w:t xml:space="preserve"> The analytical results</w:t>
      </w:r>
      <w:r w:rsidRPr="00C73849">
        <w:rPr>
          <w:w w:val="99"/>
        </w:rPr>
        <w:t xml:space="preserve"> </w:t>
      </w:r>
      <w:r w:rsidRPr="00C73849">
        <w:t xml:space="preserve">were as expected and considered acceptable. No analysis of the concentration AH112615 was done. </w:t>
      </w:r>
      <w:r w:rsidR="003816B2" w:rsidRPr="00C73849">
        <w:t>Therefore,</w:t>
      </w:r>
      <w:r w:rsidRPr="00C73849">
        <w:t xml:space="preserve"> the nominal concentration was used to estimate the dose of AH112615 administered to the animals.</w:t>
      </w:r>
    </w:p>
    <w:p w14:paraId="6BFEB982" w14:textId="77777777" w:rsidR="00957F89" w:rsidRPr="00C73849" w:rsidRDefault="00957F89" w:rsidP="005D3932">
      <w:pPr>
        <w:spacing w:before="10"/>
        <w:rPr>
          <w:rFonts w:ascii="Times New Roman" w:eastAsia="Times New Roman" w:hAnsi="Times New Roman" w:cs="Times New Roman"/>
          <w:sz w:val="20"/>
          <w:szCs w:val="20"/>
        </w:rPr>
      </w:pPr>
    </w:p>
    <w:p w14:paraId="261FB36E" w14:textId="25E0678E" w:rsidR="00957F89" w:rsidRPr="00C73849" w:rsidRDefault="00D92D87" w:rsidP="005D3932">
      <w:pPr>
        <w:pStyle w:val="BodyText"/>
        <w:ind w:right="151"/>
      </w:pPr>
      <w:r w:rsidRPr="00C73849">
        <w:t xml:space="preserve">Intravenous administration of a nominal dose of 1400 mg/kg </w:t>
      </w:r>
      <w:proofErr w:type="spellStart"/>
      <w:r w:rsidRPr="00C73849">
        <w:t>bw</w:t>
      </w:r>
      <w:proofErr w:type="spellEnd"/>
      <w:r w:rsidRPr="00C73849">
        <w:t xml:space="preserve"> of AH112615 to rats was well</w:t>
      </w:r>
      <w:r w:rsidRPr="00C73849">
        <w:rPr>
          <w:w w:val="99"/>
        </w:rPr>
        <w:t xml:space="preserve"> </w:t>
      </w:r>
      <w:r w:rsidRPr="00C73849">
        <w:t>tolerated when divided in two intravenous administrations of 20 ml/kg separated by 4 h and</w:t>
      </w:r>
      <w:r w:rsidRPr="00C73849">
        <w:rPr>
          <w:w w:val="99"/>
        </w:rPr>
        <w:t xml:space="preserve"> </w:t>
      </w:r>
      <w:r w:rsidRPr="00C73849">
        <w:t>injected at a rate of 1.2 ml/min. The nominal No-Observed-Adverse-Effect-Level (NOAEL</w:t>
      </w:r>
      <w:r w:rsidR="004E6B58">
        <w:t>)</w:t>
      </w:r>
      <w:r w:rsidRPr="00C73849">
        <w:t xml:space="preserve"> in</w:t>
      </w:r>
      <w:r w:rsidRPr="00C73849">
        <w:rPr>
          <w:w w:val="99"/>
        </w:rPr>
        <w:t xml:space="preserve"> </w:t>
      </w:r>
      <w:r w:rsidRPr="00C73849">
        <w:t xml:space="preserve">this study was 1400 mg/kg </w:t>
      </w:r>
      <w:proofErr w:type="spellStart"/>
      <w:r w:rsidRPr="00C73849">
        <w:t>bw</w:t>
      </w:r>
      <w:proofErr w:type="spellEnd"/>
      <w:r w:rsidRPr="00C73849">
        <w:t xml:space="preserve"> for AH112615. The NOAEL expressed as Human Equivalent</w:t>
      </w:r>
      <w:r w:rsidRPr="00C73849">
        <w:rPr>
          <w:w w:val="99"/>
        </w:rPr>
        <w:t xml:space="preserve"> </w:t>
      </w:r>
      <w:r w:rsidRPr="00C73849">
        <w:t xml:space="preserve">Doses (HED based on body surface area was 226 mg/kg </w:t>
      </w:r>
      <w:proofErr w:type="spellStart"/>
      <w:r w:rsidRPr="00C73849">
        <w:t>bw</w:t>
      </w:r>
      <w:proofErr w:type="spellEnd"/>
      <w:r w:rsidRPr="00C73849">
        <w:t>.</w:t>
      </w:r>
    </w:p>
    <w:p w14:paraId="29333889" w14:textId="77777777" w:rsidR="00957F89" w:rsidRPr="00C73849" w:rsidRDefault="00957F89" w:rsidP="005D3932">
      <w:pPr>
        <w:rPr>
          <w:rFonts w:ascii="Times New Roman" w:eastAsia="Times New Roman" w:hAnsi="Times New Roman" w:cs="Times New Roman"/>
          <w:sz w:val="20"/>
          <w:szCs w:val="20"/>
        </w:rPr>
      </w:pPr>
    </w:p>
    <w:p w14:paraId="2D0CB4BD" w14:textId="77777777" w:rsidR="00957F89" w:rsidRPr="00C73849" w:rsidRDefault="009223F8" w:rsidP="005A4B55">
      <w:pPr>
        <w:pStyle w:val="Heading4"/>
        <w:rPr>
          <w:rFonts w:eastAsia="Times New Roman" w:hAnsi="Times New Roman" w:cs="Times New Roman"/>
          <w:szCs w:val="24"/>
        </w:rPr>
      </w:pPr>
      <w:r>
        <w:t>5.3.2.5</w:t>
      </w:r>
      <w:r>
        <w:tab/>
      </w:r>
      <w:r w:rsidR="00D92D87" w:rsidRPr="00C73849">
        <w:t>AH113462 (Lactone)</w:t>
      </w:r>
    </w:p>
    <w:p w14:paraId="5B7E8FC0" w14:textId="77777777" w:rsidR="00957F89" w:rsidRPr="00C73849" w:rsidRDefault="009223F8" w:rsidP="005A4B55">
      <w:pPr>
        <w:pStyle w:val="Heading5"/>
        <w:rPr>
          <w:rFonts w:eastAsia="Times New Roman" w:hAnsi="Times New Roman" w:cs="Times New Roman"/>
          <w:szCs w:val="24"/>
        </w:rPr>
      </w:pPr>
      <w:r>
        <w:t>5.3.2.5.1</w:t>
      </w:r>
      <w:r>
        <w:tab/>
      </w:r>
      <w:r w:rsidR="00D92D87" w:rsidRPr="00C73849">
        <w:t xml:space="preserve">Covance study number 2789/011 (GE study number: B101065) </w:t>
      </w:r>
      <w:proofErr w:type="spellStart"/>
      <w:r w:rsidR="00D92D87" w:rsidRPr="00C73849">
        <w:t>Parapyruvate</w:t>
      </w:r>
      <w:proofErr w:type="spellEnd"/>
      <w:r w:rsidR="00D92D87" w:rsidRPr="00C73849">
        <w:t>/Lactone in TRIS Solution: Expanded acute dose toxicity study in</w:t>
      </w:r>
      <w:r w:rsidR="00D92D87" w:rsidRPr="00C73849">
        <w:rPr>
          <w:w w:val="99"/>
        </w:rPr>
        <w:t xml:space="preserve"> </w:t>
      </w:r>
      <w:r w:rsidR="00D92D87" w:rsidRPr="00C73849">
        <w:t>the rat (GLP)</w:t>
      </w:r>
    </w:p>
    <w:p w14:paraId="215D9178" w14:textId="77777777" w:rsidR="00957F89" w:rsidRPr="00C73849" w:rsidRDefault="00957F89" w:rsidP="005D3932">
      <w:pPr>
        <w:spacing w:before="9"/>
        <w:rPr>
          <w:rFonts w:ascii="Times New Roman" w:eastAsia="Times New Roman" w:hAnsi="Times New Roman" w:cs="Times New Roman"/>
          <w:b/>
          <w:bCs/>
          <w:sz w:val="20"/>
          <w:szCs w:val="20"/>
        </w:rPr>
      </w:pPr>
    </w:p>
    <w:p w14:paraId="1DA25E78" w14:textId="2CF184A2" w:rsidR="00957F89" w:rsidRPr="00C73849" w:rsidRDefault="00D92D87" w:rsidP="005D3932">
      <w:pPr>
        <w:pStyle w:val="BodyText"/>
        <w:spacing w:line="276" w:lineRule="exact"/>
        <w:ind w:right="283"/>
      </w:pPr>
      <w:r w:rsidRPr="00C73849">
        <w:t>The lactone impurity tested in this study may be present under the acidic conditions of the Kit</w:t>
      </w:r>
      <w:r w:rsidRPr="00C73849">
        <w:rPr>
          <w:w w:val="99"/>
        </w:rPr>
        <w:t xml:space="preserve"> </w:t>
      </w:r>
      <w:r w:rsidRPr="00C73849">
        <w:t>Component 1 (Mixture of [</w:t>
      </w:r>
      <w:r w:rsidRPr="00C73849">
        <w:rPr>
          <w:position w:val="11"/>
          <w:sz w:val="16"/>
        </w:rPr>
        <w:t>13</w:t>
      </w:r>
      <w:proofErr w:type="gramStart"/>
      <w:r w:rsidRPr="00C73849">
        <w:t>C]pyruvic</w:t>
      </w:r>
      <w:proofErr w:type="gramEnd"/>
      <w:r w:rsidRPr="00C73849">
        <w:t xml:space="preserve"> acid and 15 mM AH111501 sodium salt) but is under</w:t>
      </w:r>
      <w:r w:rsidRPr="00C73849">
        <w:rPr>
          <w:w w:val="99"/>
        </w:rPr>
        <w:t xml:space="preserve"> </w:t>
      </w:r>
      <w:r w:rsidRPr="00C73849">
        <w:t xml:space="preserve">neutral conditions converted to </w:t>
      </w:r>
      <w:proofErr w:type="spellStart"/>
      <w:r w:rsidRPr="00C73849">
        <w:t>parapyruvate</w:t>
      </w:r>
      <w:proofErr w:type="spellEnd"/>
      <w:r w:rsidRPr="00C73849">
        <w:t>. The inter-conversion takes some minutes, and</w:t>
      </w:r>
      <w:r w:rsidRPr="00C73849">
        <w:rPr>
          <w:w w:val="99"/>
        </w:rPr>
        <w:t xml:space="preserve"> </w:t>
      </w:r>
      <w:r w:rsidRPr="00C73849">
        <w:t>lactones may therefore be present in Hyperpolarized Pyruvate (</w:t>
      </w:r>
      <w:r w:rsidRPr="00C73849">
        <w:rPr>
          <w:position w:val="11"/>
          <w:sz w:val="16"/>
        </w:rPr>
        <w:t>13</w:t>
      </w:r>
      <w:r w:rsidRPr="00C73849">
        <w:t>C) Injection, as this is injected</w:t>
      </w:r>
      <w:r w:rsidRPr="00C73849">
        <w:rPr>
          <w:w w:val="99"/>
        </w:rPr>
        <w:t xml:space="preserve"> </w:t>
      </w:r>
      <w:r w:rsidRPr="00C73849">
        <w:t xml:space="preserve">shortly after neutralization. The test article used in the present study consisted of </w:t>
      </w:r>
      <w:proofErr w:type="spellStart"/>
      <w:r w:rsidRPr="00C73849">
        <w:t>parapyruvate</w:t>
      </w:r>
      <w:proofErr w:type="spellEnd"/>
      <w:r w:rsidRPr="00C73849">
        <w:rPr>
          <w:w w:val="99"/>
        </w:rPr>
        <w:t xml:space="preserve"> </w:t>
      </w:r>
      <w:r w:rsidRPr="00C73849">
        <w:t xml:space="preserve">formulated with </w:t>
      </w:r>
      <w:r w:rsidRPr="00A05C81">
        <w:t>HCl</w:t>
      </w:r>
      <w:r w:rsidR="00F10713" w:rsidRPr="005F6CE7">
        <w:rPr>
          <w:color w:val="FF0000"/>
        </w:rPr>
        <w:t>.</w:t>
      </w:r>
      <w:r w:rsidRPr="005F6CE7">
        <w:rPr>
          <w:color w:val="FF0000"/>
        </w:rPr>
        <w:t xml:space="preserve"> </w:t>
      </w:r>
      <w:r w:rsidR="00F10713">
        <w:t>T</w:t>
      </w:r>
      <w:r w:rsidRPr="00C73849">
        <w:t>he acidic mixture was allowed to equilibrate for approximately 48 h</w:t>
      </w:r>
      <w:r w:rsidR="001E1911">
        <w:t xml:space="preserve"> </w:t>
      </w:r>
      <w:r w:rsidRPr="00C73849">
        <w:t>after which it was neutralized with TRIS neutralization solution and administered within 10</w:t>
      </w:r>
      <w:r w:rsidR="001E1911">
        <w:t xml:space="preserve"> </w:t>
      </w:r>
      <w:r w:rsidRPr="00C73849">
        <w:t>min of neutralization. This test article procedure ensured that the lactone was present in the</w:t>
      </w:r>
      <w:r w:rsidRPr="00C73849">
        <w:rPr>
          <w:w w:val="99"/>
        </w:rPr>
        <w:t xml:space="preserve"> </w:t>
      </w:r>
      <w:r w:rsidRPr="00C73849">
        <w:t>highest achievable concentration while providing a test item suitable for intravenous</w:t>
      </w:r>
      <w:r w:rsidRPr="00C73849">
        <w:rPr>
          <w:w w:val="99"/>
        </w:rPr>
        <w:t xml:space="preserve"> </w:t>
      </w:r>
      <w:r w:rsidRPr="00C73849">
        <w:t xml:space="preserve">administration. The two potential impurities, </w:t>
      </w:r>
      <w:proofErr w:type="spellStart"/>
      <w:r w:rsidRPr="00C73849">
        <w:t>parapyruvate</w:t>
      </w:r>
      <w:proofErr w:type="spellEnd"/>
      <w:r w:rsidRPr="00C73849">
        <w:t xml:space="preserve"> and lactone, were present in similar</w:t>
      </w:r>
      <w:r w:rsidRPr="00C73849">
        <w:rPr>
          <w:w w:val="99"/>
        </w:rPr>
        <w:t xml:space="preserve"> </w:t>
      </w:r>
      <w:r w:rsidRPr="00C73849">
        <w:t>concentration in the neutralized test article.</w:t>
      </w:r>
    </w:p>
    <w:p w14:paraId="790EEC12" w14:textId="77777777" w:rsidR="00957F89" w:rsidRPr="00C73849" w:rsidRDefault="00957F89" w:rsidP="005D3932">
      <w:pPr>
        <w:spacing w:before="7"/>
        <w:rPr>
          <w:rFonts w:ascii="Times New Roman" w:eastAsia="Times New Roman" w:hAnsi="Times New Roman" w:cs="Times New Roman"/>
          <w:sz w:val="20"/>
          <w:szCs w:val="20"/>
        </w:rPr>
      </w:pPr>
    </w:p>
    <w:p w14:paraId="4C835D82" w14:textId="487A10B8" w:rsidR="00957F89" w:rsidRPr="00C73849" w:rsidRDefault="00D92D87" w:rsidP="005D3932">
      <w:pPr>
        <w:pStyle w:val="BodyText"/>
        <w:ind w:right="311"/>
      </w:pPr>
      <w:r w:rsidRPr="00C73849">
        <w:t xml:space="preserve">Four groups, each of six male and six female </w:t>
      </w:r>
      <w:proofErr w:type="spellStart"/>
      <w:proofErr w:type="gramStart"/>
      <w:r w:rsidRPr="00C73849">
        <w:t>Crl:WI</w:t>
      </w:r>
      <w:proofErr w:type="spellEnd"/>
      <w:proofErr w:type="gramEnd"/>
      <w:r w:rsidRPr="00C73849">
        <w:t xml:space="preserve"> (Han) rats, were given a single</w:t>
      </w:r>
      <w:r w:rsidRPr="00C73849">
        <w:rPr>
          <w:w w:val="99"/>
        </w:rPr>
        <w:t xml:space="preserve"> </w:t>
      </w:r>
      <w:r w:rsidRPr="00C73849">
        <w:t xml:space="preserve">intravenous administration of 0.9% saline, TRIS vehicle control, and nominal doses of 100 (low dose) or 200 (high dose) mg/kg </w:t>
      </w:r>
      <w:proofErr w:type="spellStart"/>
      <w:r w:rsidRPr="00C73849">
        <w:t>bw</w:t>
      </w:r>
      <w:proofErr w:type="spellEnd"/>
      <w:r w:rsidRPr="00C73849">
        <w:t xml:space="preserve"> </w:t>
      </w:r>
      <w:proofErr w:type="spellStart"/>
      <w:r w:rsidR="0006401D">
        <w:t>p</w:t>
      </w:r>
      <w:r w:rsidRPr="00C73849">
        <w:t>arapyruvate</w:t>
      </w:r>
      <w:proofErr w:type="spellEnd"/>
      <w:r w:rsidRPr="00C73849">
        <w:t>/Lactone in Tris Solution. An interim</w:t>
      </w:r>
      <w:r w:rsidRPr="00C73849">
        <w:rPr>
          <w:w w:val="99"/>
        </w:rPr>
        <w:t xml:space="preserve"> </w:t>
      </w:r>
      <w:r w:rsidRPr="00C73849">
        <w:t>kill was performed on half of the animals 24 h after dosing. Fourteen days post-treatment, the</w:t>
      </w:r>
      <w:r w:rsidRPr="00C73849">
        <w:rPr>
          <w:w w:val="99"/>
        </w:rPr>
        <w:t xml:space="preserve"> </w:t>
      </w:r>
      <w:r w:rsidRPr="00C73849">
        <w:t>remaining animals were killed and necropsied.</w:t>
      </w:r>
    </w:p>
    <w:p w14:paraId="66A71E83" w14:textId="77777777" w:rsidR="00957F89" w:rsidRPr="00C73849" w:rsidRDefault="00957F89" w:rsidP="005D3932">
      <w:pPr>
        <w:spacing w:before="10"/>
        <w:rPr>
          <w:rFonts w:ascii="Times New Roman" w:eastAsia="Times New Roman" w:hAnsi="Times New Roman" w:cs="Times New Roman"/>
          <w:sz w:val="20"/>
          <w:szCs w:val="20"/>
        </w:rPr>
      </w:pPr>
    </w:p>
    <w:p w14:paraId="344A8313" w14:textId="77777777" w:rsidR="00957F89" w:rsidRPr="00C73849" w:rsidRDefault="00D92D87" w:rsidP="005D3932">
      <w:pPr>
        <w:pStyle w:val="BodyText"/>
        <w:spacing w:line="239" w:lineRule="auto"/>
        <w:ind w:right="248"/>
      </w:pPr>
      <w:proofErr w:type="spellStart"/>
      <w:r w:rsidRPr="00C73849">
        <w:t>Parapyruvate</w:t>
      </w:r>
      <w:proofErr w:type="spellEnd"/>
      <w:r w:rsidRPr="00C73849">
        <w:t>/lactone in TRIS solution was formulated according to the user instruction,</w:t>
      </w:r>
      <w:r w:rsidRPr="00C73849">
        <w:rPr>
          <w:w w:val="99"/>
        </w:rPr>
        <w:t xml:space="preserve"> </w:t>
      </w:r>
      <w:r w:rsidRPr="00C73849">
        <w:t>assuming the stock solution comprised concentrations of 10 mg/ml for each of main</w:t>
      </w:r>
      <w:r w:rsidRPr="00C73849">
        <w:rPr>
          <w:w w:val="99"/>
        </w:rPr>
        <w:t xml:space="preserve"> </w:t>
      </w:r>
      <w:r w:rsidRPr="00C73849">
        <w:t xml:space="preserve">components, </w:t>
      </w:r>
      <w:proofErr w:type="spellStart"/>
      <w:r w:rsidRPr="00C73849">
        <w:t>parapyruvate</w:t>
      </w:r>
      <w:proofErr w:type="spellEnd"/>
      <w:r w:rsidRPr="00C73849">
        <w:t xml:space="preserve"> and lactone. However, the certificate of analysis showed that the</w:t>
      </w:r>
      <w:r w:rsidRPr="00C73849">
        <w:rPr>
          <w:w w:val="99"/>
        </w:rPr>
        <w:t xml:space="preserve"> </w:t>
      </w:r>
      <w:r w:rsidRPr="00C73849">
        <w:t xml:space="preserve">stock solution contained 8.6 mg/ml </w:t>
      </w:r>
      <w:proofErr w:type="spellStart"/>
      <w:r w:rsidRPr="00C73849">
        <w:t>parapyruvate</w:t>
      </w:r>
      <w:proofErr w:type="spellEnd"/>
      <w:r w:rsidRPr="00C73849">
        <w:t xml:space="preserve"> and 8.19 mg/ml lactone. The difference</w:t>
      </w:r>
      <w:r w:rsidRPr="00C73849">
        <w:rPr>
          <w:w w:val="99"/>
        </w:rPr>
        <w:t xml:space="preserve"> </w:t>
      </w:r>
      <w:r w:rsidRPr="00C73849">
        <w:t xml:space="preserve">between the target assay value and the observed assay value was attributed to increased water content in the dry dispensed substance. Accordingly, the actual concentrations for </w:t>
      </w:r>
      <w:proofErr w:type="spellStart"/>
      <w:r w:rsidRPr="00C73849">
        <w:t>parapyruvate</w:t>
      </w:r>
      <w:proofErr w:type="spellEnd"/>
      <w:r w:rsidRPr="00C73849">
        <w:rPr>
          <w:w w:val="99"/>
        </w:rPr>
        <w:t xml:space="preserve"> </w:t>
      </w:r>
      <w:r w:rsidRPr="00C73849">
        <w:t>and lactone were approximately 14-18% less than expected.</w:t>
      </w:r>
    </w:p>
    <w:p w14:paraId="29933091" w14:textId="77777777" w:rsidR="00957F89" w:rsidRPr="00C73849" w:rsidRDefault="00957F89" w:rsidP="005D3932">
      <w:pPr>
        <w:spacing w:before="10"/>
        <w:rPr>
          <w:rFonts w:ascii="Times New Roman" w:eastAsia="Times New Roman" w:hAnsi="Times New Roman" w:cs="Times New Roman"/>
          <w:sz w:val="20"/>
          <w:szCs w:val="20"/>
        </w:rPr>
      </w:pPr>
    </w:p>
    <w:p w14:paraId="0EBAFB27" w14:textId="77777777" w:rsidR="00957F89" w:rsidRPr="00C73849" w:rsidRDefault="00D92D87" w:rsidP="005D3932">
      <w:pPr>
        <w:pStyle w:val="BodyText"/>
        <w:ind w:right="311"/>
      </w:pPr>
      <w:r w:rsidRPr="00C73849">
        <w:t xml:space="preserve">Rats were evaluated for in-life observations, bodyweight, </w:t>
      </w:r>
      <w:r w:rsidR="002A7BB9" w:rsidRPr="00C73849">
        <w:t>hematology</w:t>
      </w:r>
      <w:r w:rsidRPr="00C73849">
        <w:t>, clinical chemistry, organ weights, macroscopic observations and microscopic observations.</w:t>
      </w:r>
    </w:p>
    <w:p w14:paraId="3641BDCB" w14:textId="77777777" w:rsidR="00957F89" w:rsidRPr="00C73849" w:rsidRDefault="00957F89" w:rsidP="005D3932">
      <w:pPr>
        <w:spacing w:before="10"/>
        <w:rPr>
          <w:rFonts w:ascii="Times New Roman" w:eastAsia="Times New Roman" w:hAnsi="Times New Roman" w:cs="Times New Roman"/>
          <w:sz w:val="20"/>
          <w:szCs w:val="20"/>
        </w:rPr>
      </w:pPr>
    </w:p>
    <w:p w14:paraId="131AD82F" w14:textId="0DE042D5" w:rsidR="00957F89" w:rsidRPr="00C73849" w:rsidRDefault="00D92D87" w:rsidP="005D3932">
      <w:pPr>
        <w:pStyle w:val="BodyText"/>
        <w:ind w:right="390"/>
        <w:jc w:val="both"/>
      </w:pPr>
      <w:r w:rsidRPr="00C73849">
        <w:t xml:space="preserve">Dose administration of </w:t>
      </w:r>
      <w:proofErr w:type="spellStart"/>
      <w:r w:rsidR="0006401D">
        <w:t>p</w:t>
      </w:r>
      <w:r w:rsidRPr="00C73849">
        <w:t>arapyruvate</w:t>
      </w:r>
      <w:proofErr w:type="spellEnd"/>
      <w:r w:rsidRPr="00C73849">
        <w:t xml:space="preserve">/Lactone in TRIS Solution at nominal dose levels of 100 and </w:t>
      </w:r>
      <w:r w:rsidRPr="00C73849">
        <w:lastRenderedPageBreak/>
        <w:t>200 mg/kg was well tolerated, with no clinical observations, effects on organ weights, or adverse effects on body weight and clinical pathology parameters.</w:t>
      </w:r>
    </w:p>
    <w:p w14:paraId="07E448D6" w14:textId="77777777" w:rsidR="00957F89" w:rsidRPr="00C73849" w:rsidRDefault="00957F89" w:rsidP="005D3932">
      <w:pPr>
        <w:spacing w:before="10"/>
        <w:rPr>
          <w:rFonts w:ascii="Times New Roman" w:eastAsia="Times New Roman" w:hAnsi="Times New Roman" w:cs="Times New Roman"/>
          <w:sz w:val="20"/>
          <w:szCs w:val="20"/>
        </w:rPr>
      </w:pPr>
    </w:p>
    <w:p w14:paraId="5BCAF156" w14:textId="77777777" w:rsidR="00957F89" w:rsidRPr="00C73849" w:rsidRDefault="00D92D87" w:rsidP="005D3932">
      <w:pPr>
        <w:pStyle w:val="BodyText"/>
        <w:ind w:right="232"/>
      </w:pPr>
      <w:r w:rsidRPr="00C73849">
        <w:t xml:space="preserve">Histopathological evaluations concluded that there were no changes that </w:t>
      </w:r>
      <w:r w:rsidR="00622015" w:rsidRPr="00C73849">
        <w:t>were</w:t>
      </w:r>
      <w:r w:rsidRPr="00C73849">
        <w:rPr>
          <w:w w:val="99"/>
        </w:rPr>
        <w:t xml:space="preserve"> </w:t>
      </w:r>
      <w:r w:rsidRPr="00C73849">
        <w:t>related to treatment with the test item. The possible exception to this was the increased incidences of minimal inflammatory foci in the liver of the top dose males at 14 days post- treatment, and in the top dose females at 24 h and 14 days after dosing, but the minor nature of these lesions, together with the occurrence of this finding in two control females at 14 days post-treatment, indicates that it is likely to be spontaneous, i.e. not related to treatment.</w:t>
      </w:r>
    </w:p>
    <w:p w14:paraId="139967E8" w14:textId="77777777" w:rsidR="00957F89" w:rsidRPr="00C73849" w:rsidRDefault="00957F89" w:rsidP="005D3932">
      <w:pPr>
        <w:spacing w:before="10"/>
        <w:rPr>
          <w:rFonts w:ascii="Times New Roman" w:eastAsia="Times New Roman" w:hAnsi="Times New Roman" w:cs="Times New Roman"/>
          <w:sz w:val="20"/>
          <w:szCs w:val="20"/>
        </w:rPr>
      </w:pPr>
    </w:p>
    <w:p w14:paraId="7F33E5D3" w14:textId="2F7E7F3D" w:rsidR="00957F89" w:rsidRPr="00C73849" w:rsidRDefault="00D92D87" w:rsidP="005D3932">
      <w:pPr>
        <w:pStyle w:val="BodyText"/>
        <w:ind w:right="248"/>
      </w:pPr>
      <w:r w:rsidRPr="00C73849">
        <w:t xml:space="preserve">In conclusion, administration of </w:t>
      </w:r>
      <w:proofErr w:type="spellStart"/>
      <w:r w:rsidR="004D4F6C">
        <w:t>p</w:t>
      </w:r>
      <w:r w:rsidRPr="00C73849">
        <w:t>arapyruvate</w:t>
      </w:r>
      <w:proofErr w:type="spellEnd"/>
      <w:r w:rsidRPr="00C73849">
        <w:t>/</w:t>
      </w:r>
      <w:r w:rsidR="004D4F6C">
        <w:t>l</w:t>
      </w:r>
      <w:r w:rsidRPr="00C73849">
        <w:t>actone in TRIS Solution at nominal dose levels</w:t>
      </w:r>
      <w:r w:rsidRPr="00C73849">
        <w:rPr>
          <w:w w:val="99"/>
        </w:rPr>
        <w:t xml:space="preserve"> </w:t>
      </w:r>
      <w:r w:rsidRPr="00C73849">
        <w:t xml:space="preserve">of 100 and 200 mg/kg </w:t>
      </w:r>
      <w:proofErr w:type="spellStart"/>
      <w:r w:rsidRPr="00C73849">
        <w:t>bw</w:t>
      </w:r>
      <w:proofErr w:type="spellEnd"/>
      <w:r w:rsidRPr="00C73849">
        <w:t xml:space="preserve"> was well tolerated, with no clinical observ</w:t>
      </w:r>
      <w:r w:rsidR="004D4F6C">
        <w:t>ed effects</w:t>
      </w:r>
      <w:r w:rsidRPr="00C73849">
        <w:t>, effects on organ</w:t>
      </w:r>
      <w:r w:rsidR="008A5BBE">
        <w:t xml:space="preserve"> </w:t>
      </w:r>
      <w:r w:rsidRPr="00C73849">
        <w:t xml:space="preserve">weights, or adverse effects on body weight and clinical pathology parameters. The NOAEL for </w:t>
      </w:r>
      <w:proofErr w:type="spellStart"/>
      <w:r w:rsidR="004D4F6C">
        <w:t>p</w:t>
      </w:r>
      <w:r w:rsidRPr="00C73849">
        <w:t>arapyruvate</w:t>
      </w:r>
      <w:proofErr w:type="spellEnd"/>
      <w:r w:rsidRPr="00C73849">
        <w:t>/</w:t>
      </w:r>
      <w:r w:rsidR="004D4F6C">
        <w:t>l</w:t>
      </w:r>
      <w:r w:rsidRPr="00C73849">
        <w:t xml:space="preserve">actone in TRIS Solution was 172 mg </w:t>
      </w:r>
      <w:proofErr w:type="spellStart"/>
      <w:r w:rsidRPr="00C73849">
        <w:t>parapyruvate</w:t>
      </w:r>
      <w:proofErr w:type="spellEnd"/>
      <w:r w:rsidRPr="00C73849">
        <w:t xml:space="preserve">/kg </w:t>
      </w:r>
      <w:proofErr w:type="spellStart"/>
      <w:r w:rsidRPr="00C73849">
        <w:t>bw</w:t>
      </w:r>
      <w:proofErr w:type="spellEnd"/>
      <w:r w:rsidRPr="00C73849">
        <w:t xml:space="preserve"> and</w:t>
      </w:r>
      <w:r w:rsidR="008A5BBE">
        <w:t xml:space="preserve"> </w:t>
      </w:r>
      <w:r w:rsidR="00631644">
        <w:t>164 mg</w:t>
      </w:r>
      <w:r w:rsidRPr="00C73849">
        <w:t xml:space="preserve"> lactone/kg </w:t>
      </w:r>
      <w:proofErr w:type="spellStart"/>
      <w:r w:rsidRPr="00C73849">
        <w:t>bw</w:t>
      </w:r>
      <w:proofErr w:type="spellEnd"/>
      <w:r w:rsidRPr="00C73849">
        <w:t>.</w:t>
      </w:r>
    </w:p>
    <w:p w14:paraId="0504D8DA" w14:textId="77777777" w:rsidR="00957F89" w:rsidRPr="00C73849" w:rsidRDefault="00957F89" w:rsidP="005D3932">
      <w:pPr>
        <w:rPr>
          <w:rFonts w:ascii="Times New Roman" w:eastAsia="Times New Roman" w:hAnsi="Times New Roman" w:cs="Times New Roman"/>
          <w:sz w:val="24"/>
          <w:szCs w:val="24"/>
        </w:rPr>
      </w:pPr>
    </w:p>
    <w:p w14:paraId="25FFC6CA" w14:textId="77777777" w:rsidR="00957F89" w:rsidRPr="00C73849" w:rsidRDefault="009223F8" w:rsidP="005A4B55">
      <w:pPr>
        <w:pStyle w:val="Heading3"/>
        <w:rPr>
          <w:rFonts w:eastAsia="Times New Roman" w:hAnsi="Times New Roman" w:cs="Times New Roman"/>
          <w:szCs w:val="24"/>
        </w:rPr>
      </w:pPr>
      <w:bookmarkStart w:id="125" w:name="_Toc34899983"/>
      <w:bookmarkStart w:id="126" w:name="_Toc33702512"/>
      <w:bookmarkStart w:id="127" w:name="_Toc176276940"/>
      <w:r>
        <w:t>5.3.3</w:t>
      </w:r>
      <w:r w:rsidR="008C15C2">
        <w:tab/>
      </w:r>
      <w:r w:rsidR="00D92D87" w:rsidRPr="00C73849">
        <w:t>Repeat-Dose Toxicity</w:t>
      </w:r>
      <w:bookmarkEnd w:id="125"/>
      <w:bookmarkEnd w:id="126"/>
      <w:bookmarkEnd w:id="127"/>
    </w:p>
    <w:p w14:paraId="6079F192" w14:textId="77777777" w:rsidR="00957F89" w:rsidRPr="00C73849" w:rsidRDefault="00957F89">
      <w:pPr>
        <w:spacing w:before="5"/>
        <w:rPr>
          <w:rFonts w:ascii="Times New Roman" w:eastAsia="Times New Roman" w:hAnsi="Times New Roman" w:cs="Times New Roman"/>
          <w:b/>
          <w:bCs/>
          <w:sz w:val="20"/>
          <w:szCs w:val="20"/>
        </w:rPr>
      </w:pPr>
    </w:p>
    <w:p w14:paraId="4135651A" w14:textId="77777777" w:rsidR="00957F89" w:rsidRPr="00C73849" w:rsidRDefault="00D92D87" w:rsidP="00631644">
      <w:pPr>
        <w:pStyle w:val="BodyText"/>
      </w:pPr>
      <w:r w:rsidRPr="00C73849">
        <w:t>No studies have been performed to date.</w:t>
      </w:r>
    </w:p>
    <w:p w14:paraId="387461F9" w14:textId="77777777" w:rsidR="00957F89" w:rsidRPr="00C73849" w:rsidRDefault="00957F89">
      <w:pPr>
        <w:rPr>
          <w:rFonts w:ascii="Times New Roman" w:eastAsia="Times New Roman" w:hAnsi="Times New Roman" w:cs="Times New Roman"/>
          <w:sz w:val="24"/>
          <w:szCs w:val="24"/>
        </w:rPr>
      </w:pPr>
    </w:p>
    <w:p w14:paraId="63DF6AE4" w14:textId="77777777" w:rsidR="00957F89" w:rsidRPr="009223F8" w:rsidRDefault="00D92D87" w:rsidP="00F670E8">
      <w:pPr>
        <w:pStyle w:val="Heading3"/>
        <w:numPr>
          <w:ilvl w:val="2"/>
          <w:numId w:val="9"/>
        </w:numPr>
        <w:rPr>
          <w:rFonts w:eastAsia="Times New Roman" w:hAnsi="Times New Roman" w:cs="Times New Roman"/>
          <w:szCs w:val="24"/>
        </w:rPr>
      </w:pPr>
      <w:bookmarkStart w:id="128" w:name="_Toc34899984"/>
      <w:bookmarkStart w:id="129" w:name="_Toc33702513"/>
      <w:bookmarkStart w:id="130" w:name="_Toc176276941"/>
      <w:r w:rsidRPr="009223F8">
        <w:t>Genotoxicity</w:t>
      </w:r>
      <w:bookmarkEnd w:id="128"/>
      <w:bookmarkEnd w:id="129"/>
      <w:bookmarkEnd w:id="130"/>
    </w:p>
    <w:p w14:paraId="0D149A14" w14:textId="77777777" w:rsidR="00957F89" w:rsidRPr="00980B07" w:rsidRDefault="00957F89">
      <w:pPr>
        <w:spacing w:before="3"/>
        <w:rPr>
          <w:rFonts w:ascii="Times New Roman" w:eastAsia="Times New Roman" w:hAnsi="Times New Roman" w:cs="Times New Roman"/>
          <w:b/>
          <w:bCs/>
        </w:rPr>
      </w:pPr>
    </w:p>
    <w:p w14:paraId="6A679E4C" w14:textId="77777777" w:rsidR="00957F89" w:rsidRPr="00C73849" w:rsidRDefault="00C86F89" w:rsidP="005A4B55">
      <w:pPr>
        <w:pStyle w:val="Heading4"/>
        <w:rPr>
          <w:rFonts w:eastAsia="Times New Roman" w:hAnsi="Times New Roman" w:cs="Times New Roman"/>
          <w:szCs w:val="24"/>
        </w:rPr>
      </w:pPr>
      <w:r>
        <w:t>5.3.4.1</w:t>
      </w:r>
      <w:r>
        <w:tab/>
      </w:r>
      <w:r w:rsidR="00D92D87" w:rsidRPr="00C73849">
        <w:t>[1-</w:t>
      </w:r>
      <w:r w:rsidR="00D92D87" w:rsidRPr="00C73849">
        <w:rPr>
          <w:position w:val="11"/>
          <w:sz w:val="16"/>
        </w:rPr>
        <w:t>13</w:t>
      </w:r>
      <w:proofErr w:type="gramStart"/>
      <w:r w:rsidR="00D92D87" w:rsidRPr="00C73849">
        <w:t>C]pyruvate</w:t>
      </w:r>
      <w:proofErr w:type="gramEnd"/>
      <w:r w:rsidR="00D92D87" w:rsidRPr="00C73849">
        <w:t xml:space="preserve"> and AH111501</w:t>
      </w:r>
      <w:r>
        <w:t xml:space="preserve">: </w:t>
      </w:r>
    </w:p>
    <w:p w14:paraId="2430A9D2" w14:textId="77777777" w:rsidR="00957F89" w:rsidRPr="00C73849" w:rsidRDefault="009223F8" w:rsidP="005A4B55">
      <w:pPr>
        <w:pStyle w:val="Heading5"/>
        <w:rPr>
          <w:rFonts w:eastAsia="Times New Roman" w:hAnsi="Times New Roman" w:cs="Times New Roman"/>
          <w:szCs w:val="24"/>
        </w:rPr>
      </w:pPr>
      <w:r>
        <w:t>5.3.4.1.1</w:t>
      </w:r>
      <w:r>
        <w:tab/>
      </w:r>
      <w:r w:rsidR="00D92D87" w:rsidRPr="00C73849">
        <w:t>TNO study number: 5605/15 (GE study number: B101014)</w:t>
      </w:r>
      <w:r>
        <w:t xml:space="preserve">. </w:t>
      </w:r>
      <w:r w:rsidR="00D92D87" w:rsidRPr="00C73849">
        <w:t>Bacterial reverse mutation test with AH111501 dissolved in 13C AH110896 (GLP)</w:t>
      </w:r>
    </w:p>
    <w:p w14:paraId="79EF9974" w14:textId="77777777" w:rsidR="00957F89" w:rsidRPr="00C73849" w:rsidRDefault="00957F89" w:rsidP="005D3932">
      <w:pPr>
        <w:spacing w:before="9"/>
        <w:rPr>
          <w:rFonts w:ascii="Times New Roman" w:eastAsia="Times New Roman" w:hAnsi="Times New Roman" w:cs="Times New Roman"/>
          <w:b/>
          <w:bCs/>
          <w:sz w:val="20"/>
          <w:szCs w:val="20"/>
        </w:rPr>
      </w:pPr>
    </w:p>
    <w:p w14:paraId="77DEF1DF" w14:textId="77777777" w:rsidR="00957F89" w:rsidRPr="00C73849" w:rsidRDefault="00D92D87" w:rsidP="005D3932">
      <w:pPr>
        <w:pStyle w:val="BodyText"/>
        <w:spacing w:line="276" w:lineRule="exact"/>
        <w:ind w:right="276"/>
      </w:pPr>
      <w:r w:rsidRPr="00C73849">
        <w:t xml:space="preserve">The test item was assayed for mutagenicity in five histidine-requiring strains of </w:t>
      </w:r>
      <w:r w:rsidRPr="00C73849">
        <w:rPr>
          <w:i/>
        </w:rPr>
        <w:t xml:space="preserve">Salmonella typhimurium </w:t>
      </w:r>
      <w:r w:rsidRPr="00C73849">
        <w:t>(TA98, TA100, TA1535, TA1537, TA102), both in the absence and in the</w:t>
      </w:r>
      <w:r w:rsidRPr="00C73849">
        <w:rPr>
          <w:w w:val="99"/>
        </w:rPr>
        <w:t xml:space="preserve"> </w:t>
      </w:r>
      <w:r w:rsidRPr="00C73849">
        <w:t>presence of S-9 (rat liver metabolic activation system), in two separate experiments. The</w:t>
      </w:r>
      <w:r w:rsidRPr="00C73849">
        <w:rPr>
          <w:w w:val="99"/>
        </w:rPr>
        <w:t xml:space="preserve"> </w:t>
      </w:r>
      <w:r w:rsidRPr="00C73849">
        <w:t>contents of the vial containing a mixture of [1-</w:t>
      </w:r>
      <w:r w:rsidRPr="00C73849">
        <w:rPr>
          <w:position w:val="11"/>
          <w:sz w:val="16"/>
        </w:rPr>
        <w:t>13</w:t>
      </w:r>
      <w:proofErr w:type="gramStart"/>
      <w:r w:rsidRPr="00C73849">
        <w:t>C]pyruvic</w:t>
      </w:r>
      <w:proofErr w:type="gramEnd"/>
      <w:r w:rsidRPr="00C73849">
        <w:t xml:space="preserve"> acid and AH111501 were dissolved</w:t>
      </w:r>
      <w:r w:rsidRPr="00C73849">
        <w:rPr>
          <w:w w:val="99"/>
        </w:rPr>
        <w:t xml:space="preserve"> </w:t>
      </w:r>
      <w:r w:rsidRPr="00C73849">
        <w:t>in 44 ml TRIS/EDTA dissolution medium, so the nominal composition of the test item stock</w:t>
      </w:r>
      <w:r w:rsidRPr="00C73849">
        <w:rPr>
          <w:w w:val="99"/>
        </w:rPr>
        <w:t xml:space="preserve"> </w:t>
      </w:r>
      <w:r w:rsidRPr="00C73849">
        <w:t>solution was 50 mg/ml [1-</w:t>
      </w:r>
      <w:r w:rsidRPr="00C73849">
        <w:rPr>
          <w:position w:val="11"/>
          <w:sz w:val="16"/>
        </w:rPr>
        <w:t>13</w:t>
      </w:r>
      <w:r w:rsidRPr="00C73849">
        <w:t>C]pyruvate and 0.97 mg/ml AH111501. The amounts tested</w:t>
      </w:r>
      <w:r w:rsidR="001E1911">
        <w:rPr>
          <w:w w:val="99"/>
        </w:rPr>
        <w:t xml:space="preserve"> </w:t>
      </w:r>
      <w:r w:rsidRPr="00C73849">
        <w:t>ranged from 61 to 5000 µg/plate with respect to [1-</w:t>
      </w:r>
      <w:r w:rsidRPr="00C73849">
        <w:rPr>
          <w:position w:val="11"/>
          <w:sz w:val="16"/>
        </w:rPr>
        <w:t>13</w:t>
      </w:r>
      <w:proofErr w:type="gramStart"/>
      <w:r w:rsidRPr="00C73849">
        <w:t>C]pyruvate</w:t>
      </w:r>
      <w:proofErr w:type="gramEnd"/>
      <w:r w:rsidRPr="00C73849">
        <w:t>.</w:t>
      </w:r>
    </w:p>
    <w:p w14:paraId="3EF1E63B" w14:textId="77777777" w:rsidR="00957F89" w:rsidRPr="00C73849" w:rsidRDefault="00D92D87" w:rsidP="005D3932">
      <w:pPr>
        <w:pStyle w:val="BodyText"/>
        <w:spacing w:before="201"/>
        <w:ind w:right="311"/>
      </w:pPr>
      <w:r w:rsidRPr="00C73849">
        <w:t>In all strains, both in the presence and absence of S-9, the test article of [1-</w:t>
      </w:r>
      <w:r w:rsidRPr="00C73849">
        <w:rPr>
          <w:position w:val="11"/>
          <w:sz w:val="16"/>
        </w:rPr>
        <w:t>13</w:t>
      </w:r>
      <w:proofErr w:type="gramStart"/>
      <w:r w:rsidRPr="00C73849">
        <w:t>C]pyruvate</w:t>
      </w:r>
      <w:proofErr w:type="gramEnd"/>
      <w:r w:rsidRPr="00C73849">
        <w:rPr>
          <w:w w:val="99"/>
        </w:rPr>
        <w:t xml:space="preserve"> </w:t>
      </w:r>
      <w:r w:rsidRPr="00C73849">
        <w:t>containing AH111501 did not cause a dose-related or more than two-fold increase in the mean</w:t>
      </w:r>
      <w:r w:rsidRPr="00C73849">
        <w:rPr>
          <w:w w:val="99"/>
        </w:rPr>
        <w:t xml:space="preserve"> </w:t>
      </w:r>
      <w:r w:rsidRPr="00C73849">
        <w:t>number of revertant colonies appearing in the test plates when compared to the background spontaneous reversion rate observed with the vehicle. The mean number of his+ revertant</w:t>
      </w:r>
      <w:r w:rsidRPr="00C73849">
        <w:rPr>
          <w:w w:val="99"/>
        </w:rPr>
        <w:t xml:space="preserve"> </w:t>
      </w:r>
      <w:r w:rsidRPr="00C73849">
        <w:t>colonies with the vehicle controls was within the acceptable range, and the positive controls</w:t>
      </w:r>
      <w:r w:rsidRPr="00C73849">
        <w:rPr>
          <w:w w:val="99"/>
        </w:rPr>
        <w:t xml:space="preserve"> </w:t>
      </w:r>
      <w:r w:rsidRPr="00C73849">
        <w:t>gave the expected increase in the mean number of revertant colonies.</w:t>
      </w:r>
    </w:p>
    <w:p w14:paraId="611A46C4" w14:textId="77777777" w:rsidR="00957F89" w:rsidRPr="00C73849" w:rsidRDefault="00957F89" w:rsidP="005D3932">
      <w:pPr>
        <w:spacing w:before="9"/>
        <w:rPr>
          <w:rFonts w:ascii="Times New Roman" w:eastAsia="Times New Roman" w:hAnsi="Times New Roman" w:cs="Times New Roman"/>
          <w:sz w:val="18"/>
          <w:szCs w:val="18"/>
        </w:rPr>
      </w:pPr>
    </w:p>
    <w:p w14:paraId="4819A52B" w14:textId="77777777" w:rsidR="00957F89" w:rsidRPr="00C73849" w:rsidRDefault="00D92D87" w:rsidP="005D3932">
      <w:pPr>
        <w:pStyle w:val="BodyText"/>
        <w:spacing w:line="229" w:lineRule="auto"/>
        <w:ind w:right="157"/>
        <w:jc w:val="both"/>
      </w:pPr>
      <w:r w:rsidRPr="00C73849">
        <w:t>In conclusion, mixture of [1-</w:t>
      </w:r>
      <w:r w:rsidRPr="00C73849">
        <w:rPr>
          <w:position w:val="11"/>
          <w:sz w:val="16"/>
        </w:rPr>
        <w:t>13</w:t>
      </w:r>
      <w:proofErr w:type="gramStart"/>
      <w:r w:rsidRPr="00C73849">
        <w:t>C]pyruvate</w:t>
      </w:r>
      <w:proofErr w:type="gramEnd"/>
      <w:r w:rsidRPr="00C73849">
        <w:t xml:space="preserve"> and AH111501 dissolved in TRIS/EDTA dissolution</w:t>
      </w:r>
      <w:r w:rsidRPr="00C73849">
        <w:rPr>
          <w:w w:val="99"/>
        </w:rPr>
        <w:t xml:space="preserve"> </w:t>
      </w:r>
      <w:r w:rsidRPr="00C73849">
        <w:t xml:space="preserve">medium did not induce mutation in the five histidine-requiring strains (TA98, TA100, TA1535, TA1537, TA102) of </w:t>
      </w:r>
      <w:r w:rsidRPr="00C73849">
        <w:rPr>
          <w:i/>
        </w:rPr>
        <w:t>Salmonella typhimurium</w:t>
      </w:r>
      <w:r w:rsidRPr="00C73849">
        <w:t>, when tested at amounts up to 5000 µg/plate with</w:t>
      </w:r>
      <w:r w:rsidRPr="00C73849">
        <w:rPr>
          <w:w w:val="99"/>
        </w:rPr>
        <w:t xml:space="preserve"> </w:t>
      </w:r>
      <w:r w:rsidRPr="00C73849">
        <w:t>respect to [1-</w:t>
      </w:r>
      <w:r w:rsidRPr="00C73849">
        <w:rPr>
          <w:position w:val="11"/>
          <w:sz w:val="16"/>
        </w:rPr>
        <w:t>13</w:t>
      </w:r>
      <w:r w:rsidRPr="00C73849">
        <w:t>C]pyruvate in the presence and absence of S-9.</w:t>
      </w:r>
    </w:p>
    <w:p w14:paraId="1AE245E7" w14:textId="22E40235" w:rsidR="00957F89" w:rsidRPr="009223F8" w:rsidRDefault="009223F8" w:rsidP="005A4B55">
      <w:pPr>
        <w:pStyle w:val="Heading5"/>
      </w:pPr>
      <w:r>
        <w:lastRenderedPageBreak/>
        <w:t>5.3.4.1.2</w:t>
      </w:r>
      <w:r>
        <w:tab/>
      </w:r>
      <w:r w:rsidR="00D92D87" w:rsidRPr="009223F8">
        <w:t>Covance study number: 2570/3 (GE study number: B101043)</w:t>
      </w:r>
      <w:r w:rsidRPr="009223F8">
        <w:t>.</w:t>
      </w:r>
      <w:r w:rsidR="001E1911">
        <w:t xml:space="preserve"> </w:t>
      </w:r>
      <w:r w:rsidR="00D92D87" w:rsidRPr="009223F8">
        <w:t xml:space="preserve">Formulation containing 557 </w:t>
      </w:r>
      <w:r w:rsidR="000D2F12" w:rsidRPr="005F6CE7">
        <w:t>m</w:t>
      </w:r>
      <w:r w:rsidR="00D92D87" w:rsidRPr="00A05C81">
        <w:t>M</w:t>
      </w:r>
      <w:r w:rsidR="00D92D87" w:rsidRPr="009223F8">
        <w:t xml:space="preserve"> AH-111501 and 500 mM 13C Pyruvate</w:t>
      </w:r>
      <w:r w:rsidR="001E1911">
        <w:t xml:space="preserve"> </w:t>
      </w:r>
      <w:r w:rsidR="00D92D87" w:rsidRPr="009223F8">
        <w:t>(AH-110896) in 200 mM TRIS: Reverse Mutation in five Histidine-requiring strains of Salmonella typhimurium (GLP)</w:t>
      </w:r>
    </w:p>
    <w:p w14:paraId="75A07C3E" w14:textId="77777777" w:rsidR="00957F89" w:rsidRPr="00C73849" w:rsidRDefault="00D92D87" w:rsidP="005D3932">
      <w:pPr>
        <w:pStyle w:val="BodyText"/>
        <w:spacing w:before="204" w:line="236" w:lineRule="auto"/>
        <w:ind w:right="151"/>
      </w:pPr>
      <w:r w:rsidRPr="00C73849">
        <w:t>A test article containing 500 mM [1-</w:t>
      </w:r>
      <w:r w:rsidRPr="00C73849">
        <w:rPr>
          <w:position w:val="11"/>
          <w:sz w:val="16"/>
          <w:szCs w:val="16"/>
        </w:rPr>
        <w:t>13</w:t>
      </w:r>
      <w:r w:rsidRPr="00C73849">
        <w:t>C]pyruvate and 0.85 mg/ml AH111501 in TRIS/EDTA</w:t>
      </w:r>
      <w:r w:rsidRPr="00C73849">
        <w:rPr>
          <w:w w:val="99"/>
        </w:rPr>
        <w:t xml:space="preserve"> </w:t>
      </w:r>
      <w:r w:rsidRPr="00C73849">
        <w:t xml:space="preserve">dissolution medium was assayed for mutagenicity in five histidine-requiring strains (TA98, TA100, TA1535, TA1537 and TA102) of </w:t>
      </w:r>
      <w:r w:rsidRPr="00C73849">
        <w:rPr>
          <w:rFonts w:cs="Times New Roman"/>
          <w:i/>
        </w:rPr>
        <w:t>Salmonella typhimurium</w:t>
      </w:r>
      <w:r w:rsidRPr="00C73849">
        <w:t>, both in the absence and in</w:t>
      </w:r>
      <w:r w:rsidRPr="00C73849">
        <w:rPr>
          <w:w w:val="99"/>
        </w:rPr>
        <w:t xml:space="preserve"> </w:t>
      </w:r>
      <w:r w:rsidRPr="00C73849">
        <w:t>the presence of S-9 (rat liver metabolic activation system), in two separate experiments using</w:t>
      </w:r>
      <w:r w:rsidRPr="00C73849">
        <w:rPr>
          <w:w w:val="99"/>
        </w:rPr>
        <w:t xml:space="preserve"> </w:t>
      </w:r>
      <w:r w:rsidRPr="00C73849">
        <w:t>treatment amounts of [1-</w:t>
      </w:r>
      <w:r w:rsidRPr="00C73849">
        <w:rPr>
          <w:position w:val="11"/>
          <w:sz w:val="16"/>
          <w:szCs w:val="16"/>
        </w:rPr>
        <w:t>13</w:t>
      </w:r>
      <w:r w:rsidRPr="00C73849">
        <w:t xml:space="preserve">C]pyruvate ranging from 1.6 to 5352 </w:t>
      </w:r>
      <w:r w:rsidRPr="00C73849">
        <w:rPr>
          <w:rFonts w:ascii="Symbol" w:eastAsia="Symbol" w:hAnsi="Symbol" w:cs="Symbol"/>
        </w:rPr>
        <w:t></w:t>
      </w:r>
      <w:r w:rsidRPr="00C73849">
        <w:t>g/plate.</w:t>
      </w:r>
    </w:p>
    <w:p w14:paraId="28CB41BF" w14:textId="77777777" w:rsidR="00957F89" w:rsidRPr="00C73849" w:rsidRDefault="00957F89" w:rsidP="005D3932">
      <w:pPr>
        <w:rPr>
          <w:rFonts w:ascii="Times New Roman" w:eastAsia="Times New Roman" w:hAnsi="Times New Roman" w:cs="Times New Roman"/>
          <w:sz w:val="20"/>
          <w:szCs w:val="20"/>
        </w:rPr>
      </w:pPr>
    </w:p>
    <w:p w14:paraId="18A61388" w14:textId="77777777" w:rsidR="00957F89" w:rsidRDefault="00D92D87" w:rsidP="005D3932">
      <w:pPr>
        <w:pStyle w:val="BodyText"/>
        <w:spacing w:before="80" w:line="228" w:lineRule="auto"/>
        <w:ind w:right="224"/>
      </w:pPr>
      <w:r w:rsidRPr="00C73849">
        <w:t>Dose test article analysis confirmed correct test article of test item. No statistically significant</w:t>
      </w:r>
      <w:r w:rsidRPr="00C73849">
        <w:rPr>
          <w:w w:val="99"/>
        </w:rPr>
        <w:t xml:space="preserve"> </w:t>
      </w:r>
      <w:r w:rsidRPr="00C73849">
        <w:t>dose-related and reproducible increases in number of revertant colonies were observed in any strain following treatments in the absence or presence of S-9. Therefore, this study did not</w:t>
      </w:r>
      <w:r w:rsidRPr="00C73849">
        <w:rPr>
          <w:w w:val="99"/>
        </w:rPr>
        <w:t xml:space="preserve"> </w:t>
      </w:r>
      <w:r w:rsidR="00622015" w:rsidRPr="00C73849">
        <w:t>provide</w:t>
      </w:r>
      <w:r w:rsidRPr="00C73849">
        <w:t xml:space="preserve"> any evidence of any mutagenic activity of [1-</w:t>
      </w:r>
      <w:r w:rsidRPr="00C73849">
        <w:rPr>
          <w:position w:val="11"/>
          <w:sz w:val="16"/>
          <w:szCs w:val="16"/>
        </w:rPr>
        <w:t>13</w:t>
      </w:r>
      <w:proofErr w:type="gramStart"/>
      <w:r w:rsidRPr="00C73849">
        <w:t>C]pyruvate</w:t>
      </w:r>
      <w:proofErr w:type="gramEnd"/>
      <w:r w:rsidRPr="00C73849">
        <w:t>. It was concluded that the</w:t>
      </w:r>
      <w:r w:rsidRPr="00C73849">
        <w:rPr>
          <w:w w:val="99"/>
        </w:rPr>
        <w:t xml:space="preserve"> </w:t>
      </w:r>
      <w:r w:rsidRPr="00C73849">
        <w:t>[1-</w:t>
      </w:r>
      <w:r w:rsidRPr="00C73849">
        <w:rPr>
          <w:position w:val="11"/>
          <w:sz w:val="16"/>
          <w:szCs w:val="16"/>
        </w:rPr>
        <w:t>13</w:t>
      </w:r>
      <w:proofErr w:type="gramStart"/>
      <w:r w:rsidRPr="00C73849">
        <w:t>C]pyruvate</w:t>
      </w:r>
      <w:proofErr w:type="gramEnd"/>
      <w:r w:rsidRPr="00C73849">
        <w:t xml:space="preserve"> did not induce mutations in five histidine-requiring strains (TA98, TA100, TA1535, TA1537 and TA102) of </w:t>
      </w:r>
      <w:r w:rsidRPr="00C73849">
        <w:rPr>
          <w:rFonts w:cs="Times New Roman"/>
          <w:i/>
        </w:rPr>
        <w:t xml:space="preserve">Salmonella typhimurium </w:t>
      </w:r>
      <w:r w:rsidRPr="00C73849">
        <w:t xml:space="preserve">when tested under the conditions of the study; i.e. up to 5352 </w:t>
      </w:r>
      <w:r w:rsidRPr="00C73849">
        <w:rPr>
          <w:rFonts w:ascii="Symbol" w:eastAsia="Symbol" w:hAnsi="Symbol" w:cs="Symbol"/>
        </w:rPr>
        <w:t></w:t>
      </w:r>
      <w:r w:rsidRPr="00C73849">
        <w:t>g/plate of [1-</w:t>
      </w:r>
      <w:r w:rsidRPr="00C73849">
        <w:rPr>
          <w:position w:val="11"/>
          <w:sz w:val="16"/>
          <w:szCs w:val="16"/>
        </w:rPr>
        <w:t>13</w:t>
      </w:r>
      <w:r w:rsidRPr="00C73849">
        <w:t>C]pyruvate, in the absence or presence of S-9.</w:t>
      </w:r>
    </w:p>
    <w:p w14:paraId="36480566" w14:textId="77777777" w:rsidR="00DA5F23" w:rsidRPr="00C73849" w:rsidRDefault="00DA5F23" w:rsidP="005D3932">
      <w:pPr>
        <w:pStyle w:val="BodyText"/>
        <w:spacing w:before="80" w:line="228" w:lineRule="auto"/>
        <w:ind w:right="224"/>
      </w:pPr>
    </w:p>
    <w:p w14:paraId="0403EE5A" w14:textId="77777777" w:rsidR="00957F89" w:rsidRPr="00996230" w:rsidRDefault="009223F8" w:rsidP="005A4B55">
      <w:pPr>
        <w:pStyle w:val="Heading5"/>
      </w:pPr>
      <w:r>
        <w:rPr>
          <w:rFonts w:ascii="Times New Roman"/>
        </w:rPr>
        <w:t>5.3.4.1.3</w:t>
      </w:r>
      <w:r>
        <w:rPr>
          <w:rFonts w:ascii="Times New Roman"/>
        </w:rPr>
        <w:tab/>
      </w:r>
      <w:r w:rsidR="00D92D87" w:rsidRPr="00996230">
        <w:t>TNO study number: 5603/08 (GE study number: B101015)</w:t>
      </w:r>
      <w:r w:rsidR="00996230" w:rsidRPr="00996230">
        <w:t xml:space="preserve">. </w:t>
      </w:r>
      <w:r w:rsidR="00D92D87" w:rsidRPr="00996230">
        <w:t>Gene mutation test at the TK-locus of L5178Y cells with AH111501 dissolved in 13C AH110896 (GLP)</w:t>
      </w:r>
    </w:p>
    <w:p w14:paraId="25DBB36F" w14:textId="77777777" w:rsidR="00957F89" w:rsidRPr="00C73849" w:rsidRDefault="00D92D87" w:rsidP="005D3932">
      <w:pPr>
        <w:pStyle w:val="BodyText"/>
        <w:spacing w:before="239" w:line="231" w:lineRule="auto"/>
        <w:ind w:right="176"/>
      </w:pPr>
      <w:r w:rsidRPr="00C73849">
        <w:t xml:space="preserve">The test item was assayed for its ability to induce mutation at the </w:t>
      </w:r>
      <w:proofErr w:type="spellStart"/>
      <w:r w:rsidRPr="00C73849">
        <w:rPr>
          <w:rFonts w:cs="Times New Roman"/>
          <w:i/>
        </w:rPr>
        <w:t>tk</w:t>
      </w:r>
      <w:proofErr w:type="spellEnd"/>
      <w:r w:rsidRPr="00C73849">
        <w:rPr>
          <w:rFonts w:cs="Times New Roman"/>
          <w:i/>
        </w:rPr>
        <w:t xml:space="preserve"> </w:t>
      </w:r>
      <w:r w:rsidRPr="00C73849">
        <w:t xml:space="preserve">locus (5 </w:t>
      </w:r>
      <w:proofErr w:type="spellStart"/>
      <w:r w:rsidRPr="00C73849">
        <w:t>trifluorothymidine</w:t>
      </w:r>
      <w:proofErr w:type="spellEnd"/>
      <w:r w:rsidRPr="00C73849">
        <w:rPr>
          <w:w w:val="99"/>
        </w:rPr>
        <w:t xml:space="preserve"> </w:t>
      </w:r>
      <w:r w:rsidRPr="00C73849">
        <w:t>resistance) in mouse lymphoma cells. The study consisted of two independent experiments,</w:t>
      </w:r>
      <w:r w:rsidRPr="00C73849">
        <w:rPr>
          <w:w w:val="99"/>
        </w:rPr>
        <w:t xml:space="preserve"> </w:t>
      </w:r>
      <w:r w:rsidRPr="00C73849">
        <w:t>each in the absence and presence of S-9 (rat liver metabolic activation system). The contents</w:t>
      </w:r>
      <w:r w:rsidR="001E1911">
        <w:t xml:space="preserve"> </w:t>
      </w:r>
      <w:r w:rsidRPr="00C73849">
        <w:t>of the vial containing a mixture of [1-</w:t>
      </w:r>
      <w:r w:rsidRPr="00C73849">
        <w:rPr>
          <w:position w:val="11"/>
          <w:sz w:val="16"/>
          <w:szCs w:val="16"/>
        </w:rPr>
        <w:t>13</w:t>
      </w:r>
      <w:proofErr w:type="gramStart"/>
      <w:r w:rsidRPr="00C73849">
        <w:t>C]pyruvic</w:t>
      </w:r>
      <w:proofErr w:type="gramEnd"/>
      <w:r w:rsidRPr="00C73849">
        <w:t xml:space="preserve"> acid and AH111501 were dissolved in 44 ml</w:t>
      </w:r>
      <w:r w:rsidRPr="00C73849">
        <w:rPr>
          <w:w w:val="99"/>
        </w:rPr>
        <w:t xml:space="preserve"> </w:t>
      </w:r>
      <w:r w:rsidRPr="00C73849">
        <w:t>TRIS/EDTA dissolution medium, so the nominal composition of the test item stock solution</w:t>
      </w:r>
      <w:r w:rsidRPr="00C73849">
        <w:rPr>
          <w:w w:val="99"/>
        </w:rPr>
        <w:t xml:space="preserve"> </w:t>
      </w:r>
      <w:r w:rsidRPr="00C73849">
        <w:t>was 50 mg/ml [1-</w:t>
      </w:r>
      <w:r w:rsidRPr="00C73849">
        <w:rPr>
          <w:position w:val="11"/>
          <w:sz w:val="16"/>
          <w:szCs w:val="16"/>
        </w:rPr>
        <w:t>13</w:t>
      </w:r>
      <w:r w:rsidRPr="00C73849">
        <w:t>C]pyruvate and 0.97 mg/ml AH111501. The experiments were conducted</w:t>
      </w:r>
      <w:r w:rsidRPr="00C73849">
        <w:rPr>
          <w:w w:val="99"/>
        </w:rPr>
        <w:t xml:space="preserve"> </w:t>
      </w:r>
      <w:r w:rsidRPr="00C73849">
        <w:t xml:space="preserve">with concentrations ranging from 9.2 µg/ml to 5000 </w:t>
      </w:r>
      <w:r w:rsidRPr="00C73849">
        <w:rPr>
          <w:rFonts w:ascii="Symbol" w:eastAsia="Symbol" w:hAnsi="Symbol" w:cs="Symbol"/>
        </w:rPr>
        <w:t></w:t>
      </w:r>
      <w:r w:rsidRPr="00C73849">
        <w:t>g/ml of [1-</w:t>
      </w:r>
      <w:r w:rsidRPr="00C73849">
        <w:rPr>
          <w:position w:val="11"/>
          <w:sz w:val="16"/>
          <w:szCs w:val="16"/>
        </w:rPr>
        <w:t>13</w:t>
      </w:r>
      <w:proofErr w:type="gramStart"/>
      <w:r w:rsidRPr="00C73849">
        <w:t>C]pyruvate</w:t>
      </w:r>
      <w:proofErr w:type="gramEnd"/>
      <w:r w:rsidRPr="00C73849">
        <w:t>. A TRIS/EDTA vehicle control was included in all experiments. A 4 h treatment incubation period was used in</w:t>
      </w:r>
      <w:r w:rsidRPr="00C73849">
        <w:rPr>
          <w:w w:val="99"/>
        </w:rPr>
        <w:t xml:space="preserve"> </w:t>
      </w:r>
      <w:r w:rsidRPr="00C73849">
        <w:t>all experiments performed in the presence of S-9. In the absence of S-9, a 24 h treatment</w:t>
      </w:r>
      <w:r w:rsidRPr="00C73849">
        <w:rPr>
          <w:w w:val="99"/>
        </w:rPr>
        <w:t xml:space="preserve"> </w:t>
      </w:r>
      <w:r w:rsidRPr="00C73849">
        <w:t>incubation period was used.</w:t>
      </w:r>
    </w:p>
    <w:p w14:paraId="787F80C3" w14:textId="77777777" w:rsidR="00957F89" w:rsidRPr="00C73849" w:rsidRDefault="00957F89" w:rsidP="005D3932">
      <w:pPr>
        <w:rPr>
          <w:rFonts w:ascii="Times New Roman" w:eastAsia="Times New Roman" w:hAnsi="Times New Roman" w:cs="Times New Roman"/>
          <w:sz w:val="21"/>
          <w:szCs w:val="21"/>
        </w:rPr>
      </w:pPr>
    </w:p>
    <w:p w14:paraId="4E7BB811" w14:textId="77777777" w:rsidR="00957F89" w:rsidRPr="00C73849" w:rsidRDefault="00D92D87" w:rsidP="005D3932">
      <w:pPr>
        <w:pStyle w:val="BodyText"/>
        <w:ind w:right="311"/>
      </w:pPr>
      <w:r w:rsidRPr="00C73849">
        <w:t xml:space="preserve">In the first experiment, an increase of about 200 mutants per 1 million </w:t>
      </w:r>
      <w:proofErr w:type="spellStart"/>
      <w:r w:rsidRPr="00C73849">
        <w:t>clonable</w:t>
      </w:r>
      <w:proofErr w:type="spellEnd"/>
      <w:r w:rsidRPr="00C73849">
        <w:t xml:space="preserve"> cells compared</w:t>
      </w:r>
      <w:r w:rsidRPr="00C73849">
        <w:rPr>
          <w:w w:val="99"/>
        </w:rPr>
        <w:t xml:space="preserve"> </w:t>
      </w:r>
      <w:r w:rsidRPr="00C73849">
        <w:t xml:space="preserve">to the vehicle control solution was observed at the highest concentration of 5000 </w:t>
      </w:r>
      <w:r w:rsidRPr="00C73849">
        <w:rPr>
          <w:rFonts w:ascii="Symbol" w:eastAsia="Symbol" w:hAnsi="Symbol" w:cs="Symbol"/>
        </w:rPr>
        <w:t></w:t>
      </w:r>
      <w:r w:rsidRPr="00C73849">
        <w:t>g/ml</w:t>
      </w:r>
      <w:r w:rsidR="00631644">
        <w:t xml:space="preserve"> </w:t>
      </w:r>
      <w:r w:rsidRPr="00C73849">
        <w:t>[1-</w:t>
      </w:r>
      <w:r w:rsidRPr="00C73849">
        <w:rPr>
          <w:position w:val="11"/>
          <w:sz w:val="16"/>
        </w:rPr>
        <w:t>13</w:t>
      </w:r>
      <w:proofErr w:type="gramStart"/>
      <w:r w:rsidRPr="00C73849">
        <w:t>C]pyruvate</w:t>
      </w:r>
      <w:proofErr w:type="gramEnd"/>
      <w:r w:rsidRPr="00C73849">
        <w:t xml:space="preserve"> in the absence of S-9. The mutant frequency (MF) of the vehicle control was also increased compared to that of the historical negative control. In the presence of S-9, no increases in MF were observed at any concentration of the test item.</w:t>
      </w:r>
    </w:p>
    <w:p w14:paraId="7B514E7F" w14:textId="77777777" w:rsidR="00957F89" w:rsidRPr="00C73849" w:rsidRDefault="00957F89" w:rsidP="005D3932">
      <w:pPr>
        <w:spacing w:before="9"/>
        <w:rPr>
          <w:rFonts w:ascii="Times New Roman" w:eastAsia="Times New Roman" w:hAnsi="Times New Roman" w:cs="Times New Roman"/>
          <w:sz w:val="20"/>
          <w:szCs w:val="20"/>
        </w:rPr>
      </w:pPr>
    </w:p>
    <w:p w14:paraId="793D54AC" w14:textId="77777777" w:rsidR="00957F89" w:rsidRPr="00C73849" w:rsidRDefault="00D92D87" w:rsidP="005D3932">
      <w:pPr>
        <w:pStyle w:val="BodyText"/>
        <w:spacing w:line="238" w:lineRule="auto"/>
        <w:ind w:right="225"/>
      </w:pPr>
      <w:r w:rsidRPr="00C73849">
        <w:t>In the second experiment in the absence of S-9, an untreated control (culture medium), a</w:t>
      </w:r>
      <w:r w:rsidRPr="00C73849">
        <w:rPr>
          <w:w w:val="99"/>
        </w:rPr>
        <w:t xml:space="preserve"> </w:t>
      </w:r>
      <w:r w:rsidRPr="00C73849">
        <w:t xml:space="preserve">mannitol control solution with identical osmolality to 5000 </w:t>
      </w:r>
      <w:r w:rsidRPr="00C73849">
        <w:rPr>
          <w:rFonts w:ascii="Symbol" w:eastAsia="Symbol" w:hAnsi="Symbol" w:cs="Symbol"/>
        </w:rPr>
        <w:t></w:t>
      </w:r>
      <w:r w:rsidRPr="00C73849">
        <w:t xml:space="preserve">g/ml of AH110896, and a pH- neutralized TRIS/EDTA dissolution medium control solution </w:t>
      </w:r>
      <w:proofErr w:type="gramStart"/>
      <w:r w:rsidRPr="00C73849">
        <w:t>were</w:t>
      </w:r>
      <w:proofErr w:type="gramEnd"/>
      <w:r w:rsidRPr="00C73849">
        <w:t xml:space="preserve"> included. In the absence of S-9, an increase in MF compared to the vehicle control solution was observed at the highest</w:t>
      </w:r>
      <w:r w:rsidRPr="00C73849">
        <w:rPr>
          <w:w w:val="99"/>
        </w:rPr>
        <w:t xml:space="preserve"> </w:t>
      </w:r>
      <w:r w:rsidRPr="00C73849">
        <w:t xml:space="preserve">concentration of 5000 </w:t>
      </w:r>
      <w:r w:rsidRPr="00C73849">
        <w:rPr>
          <w:rFonts w:ascii="Symbol" w:eastAsia="Symbol" w:hAnsi="Symbol" w:cs="Symbol"/>
        </w:rPr>
        <w:t></w:t>
      </w:r>
      <w:r w:rsidRPr="00C73849">
        <w:t>g/ml [1-</w:t>
      </w:r>
      <w:r w:rsidRPr="00C73849">
        <w:rPr>
          <w:position w:val="11"/>
          <w:sz w:val="16"/>
          <w:szCs w:val="16"/>
        </w:rPr>
        <w:t>13</w:t>
      </w:r>
      <w:proofErr w:type="gramStart"/>
      <w:r w:rsidRPr="00C73849">
        <w:t>C]pyruvate</w:t>
      </w:r>
      <w:proofErr w:type="gramEnd"/>
      <w:r w:rsidRPr="00C73849">
        <w:t>. The MF of the vehicle control was also</w:t>
      </w:r>
      <w:r w:rsidRPr="00C73849">
        <w:rPr>
          <w:w w:val="99"/>
        </w:rPr>
        <w:t xml:space="preserve"> </w:t>
      </w:r>
      <w:r w:rsidRPr="00C73849">
        <w:t>increased compared to the normal control. The MF of the mannitol control was in the same</w:t>
      </w:r>
      <w:r w:rsidRPr="00C73849">
        <w:rPr>
          <w:w w:val="99"/>
        </w:rPr>
        <w:t xml:space="preserve"> </w:t>
      </w:r>
      <w:r w:rsidRPr="00C73849">
        <w:t>range as the normal control. However, the MF of the neutralized TRIS/EDTA dissolution</w:t>
      </w:r>
      <w:r w:rsidRPr="00C73849">
        <w:rPr>
          <w:w w:val="99"/>
        </w:rPr>
        <w:t xml:space="preserve"> </w:t>
      </w:r>
      <w:r w:rsidRPr="00C73849">
        <w:t>medium was highest of all. In the presence of S-9 no increases were observed at any concentration of the test item.</w:t>
      </w:r>
    </w:p>
    <w:p w14:paraId="40E6321C" w14:textId="77777777" w:rsidR="00957F89" w:rsidRPr="00C73849" w:rsidRDefault="00D92D87" w:rsidP="005D3932">
      <w:pPr>
        <w:pStyle w:val="BodyText"/>
        <w:spacing w:before="205"/>
        <w:ind w:right="151"/>
      </w:pPr>
      <w:r w:rsidRPr="00C73849">
        <w:t>In the presence of S-9, the test article containing [1-</w:t>
      </w:r>
      <w:r w:rsidRPr="00C73849">
        <w:rPr>
          <w:position w:val="11"/>
          <w:sz w:val="16"/>
        </w:rPr>
        <w:t>13</w:t>
      </w:r>
      <w:proofErr w:type="gramStart"/>
      <w:r w:rsidRPr="00C73849">
        <w:t>C]pyruvate</w:t>
      </w:r>
      <w:proofErr w:type="gramEnd"/>
      <w:r w:rsidRPr="00C73849">
        <w:t xml:space="preserve"> and AH111501 was not</w:t>
      </w:r>
      <w:r w:rsidRPr="00C73849">
        <w:rPr>
          <w:w w:val="99"/>
        </w:rPr>
        <w:t xml:space="preserve"> </w:t>
      </w:r>
      <w:r w:rsidRPr="00C73849">
        <w:t>mutagenic in this assay. In the absence of S-9, the vehicle control induced a two to three-fold</w:t>
      </w:r>
      <w:r w:rsidRPr="00C73849">
        <w:rPr>
          <w:w w:val="99"/>
        </w:rPr>
        <w:t xml:space="preserve"> </w:t>
      </w:r>
      <w:r w:rsidRPr="00C73849">
        <w:lastRenderedPageBreak/>
        <w:t>increase in MF in this assay. Treatment with the highest concentration of test item</w:t>
      </w:r>
    </w:p>
    <w:p w14:paraId="5A1D3E1A" w14:textId="77777777" w:rsidR="00957F89" w:rsidRPr="00C73849" w:rsidRDefault="00D92D87" w:rsidP="005D3932">
      <w:pPr>
        <w:pStyle w:val="BodyText"/>
        <w:spacing w:line="238" w:lineRule="auto"/>
        <w:ind w:right="279"/>
      </w:pPr>
      <w:r w:rsidRPr="00C73849">
        <w:t xml:space="preserve">(5000 </w:t>
      </w:r>
      <w:r w:rsidRPr="00C73849">
        <w:rPr>
          <w:rFonts w:ascii="Symbol" w:eastAsia="Symbol" w:hAnsi="Symbol" w:cs="Symbol"/>
        </w:rPr>
        <w:t></w:t>
      </w:r>
      <w:r w:rsidRPr="00C73849">
        <w:t>g/ml [1-</w:t>
      </w:r>
      <w:r w:rsidRPr="00C73849">
        <w:rPr>
          <w:position w:val="11"/>
          <w:sz w:val="16"/>
          <w:szCs w:val="16"/>
        </w:rPr>
        <w:t>13</w:t>
      </w:r>
      <w:proofErr w:type="gramStart"/>
      <w:r w:rsidRPr="00C73849">
        <w:t>C]pyruvate</w:t>
      </w:r>
      <w:proofErr w:type="gramEnd"/>
      <w:r w:rsidRPr="00C73849">
        <w:t>) in the absence of S-9 doubled the mutation frequency compared</w:t>
      </w:r>
      <w:r w:rsidRPr="00C73849">
        <w:rPr>
          <w:w w:val="99"/>
        </w:rPr>
        <w:t xml:space="preserve"> </w:t>
      </w:r>
      <w:r w:rsidRPr="00C73849">
        <w:t>to vehicle-treated cells, but no increase was seen at lower concentrations tested. Due to the</w:t>
      </w:r>
      <w:r w:rsidRPr="00C73849">
        <w:rPr>
          <w:w w:val="99"/>
        </w:rPr>
        <w:t xml:space="preserve"> </w:t>
      </w:r>
      <w:r w:rsidRPr="00C73849">
        <w:t xml:space="preserve">non-physiological conditions in this </w:t>
      </w:r>
      <w:r w:rsidRPr="00C73849">
        <w:rPr>
          <w:rFonts w:cs="Times New Roman"/>
          <w:i/>
        </w:rPr>
        <w:t xml:space="preserve">in vitro </w:t>
      </w:r>
      <w:r w:rsidRPr="00C73849">
        <w:t>experiment when high concentrations of the test</w:t>
      </w:r>
      <w:r w:rsidR="001E1911">
        <w:t xml:space="preserve"> </w:t>
      </w:r>
      <w:r w:rsidRPr="00C73849">
        <w:t>item are tested, the significance of this finding was considered as equivocal.</w:t>
      </w:r>
    </w:p>
    <w:p w14:paraId="2EE454CC" w14:textId="77777777" w:rsidR="00AE6106" w:rsidRPr="00C73849" w:rsidRDefault="00AE6106" w:rsidP="005D3932">
      <w:pPr>
        <w:pStyle w:val="BodyText"/>
      </w:pPr>
    </w:p>
    <w:p w14:paraId="0895D86D" w14:textId="77777777" w:rsidR="00957F89" w:rsidRPr="00996230" w:rsidRDefault="00996230" w:rsidP="005A4B55">
      <w:pPr>
        <w:pStyle w:val="Heading5"/>
        <w:rPr>
          <w:rFonts w:eastAsia="Times New Roman" w:hAnsi="Times New Roman" w:cs="Times New Roman"/>
          <w:szCs w:val="24"/>
        </w:rPr>
      </w:pPr>
      <w:r>
        <w:t>5.3.4.1.4</w:t>
      </w:r>
      <w:r>
        <w:tab/>
      </w:r>
      <w:r w:rsidR="00D92D87" w:rsidRPr="00996230">
        <w:t>Covance study number: 2570/4 (GE study number: B101045)</w:t>
      </w:r>
      <w:r w:rsidRPr="00996230">
        <w:t xml:space="preserve">, </w:t>
      </w:r>
      <w:r w:rsidR="00D92D87" w:rsidRPr="00996230">
        <w:rPr>
          <w:rFonts w:eastAsia="Times New Roman" w:hAnsi="Times New Roman" w:cs="Times New Roman"/>
          <w:szCs w:val="24"/>
        </w:rPr>
        <w:t xml:space="preserve">Formulation containing 557 </w:t>
      </w:r>
      <w:r w:rsidR="00D92D87" w:rsidRPr="00996230">
        <w:rPr>
          <w:rFonts w:ascii="Symbol" w:eastAsia="Symbol" w:hAnsi="Symbol" w:cs="Symbol"/>
          <w:szCs w:val="24"/>
        </w:rPr>
        <w:t></w:t>
      </w:r>
      <w:r w:rsidR="00D92D87" w:rsidRPr="00996230">
        <w:rPr>
          <w:rFonts w:eastAsia="Times New Roman" w:hAnsi="Times New Roman" w:cs="Times New Roman"/>
          <w:szCs w:val="24"/>
        </w:rPr>
        <w:t xml:space="preserve">M AH-111501 and 500 mM </w:t>
      </w:r>
      <w:r w:rsidR="00D92D87" w:rsidRPr="00996230">
        <w:rPr>
          <w:rFonts w:eastAsia="Times New Roman" w:hAnsi="Times New Roman" w:cs="Times New Roman"/>
          <w:position w:val="11"/>
          <w:sz w:val="16"/>
          <w:szCs w:val="16"/>
        </w:rPr>
        <w:t>13</w:t>
      </w:r>
      <w:r w:rsidR="00D92D87" w:rsidRPr="00996230">
        <w:rPr>
          <w:rFonts w:eastAsia="Times New Roman" w:hAnsi="Times New Roman" w:cs="Times New Roman"/>
          <w:szCs w:val="24"/>
        </w:rPr>
        <w:t>C Pyruvate</w:t>
      </w:r>
      <w:r w:rsidRPr="00996230">
        <w:rPr>
          <w:rFonts w:eastAsia="Times New Roman" w:hAnsi="Times New Roman" w:cs="Times New Roman"/>
          <w:szCs w:val="24"/>
        </w:rPr>
        <w:t xml:space="preserve"> </w:t>
      </w:r>
      <w:r w:rsidR="00D92D87" w:rsidRPr="00996230">
        <w:t>(AH-110896) in 200 mM TRIS: Mutation at the thymidine kinase (</w:t>
      </w:r>
      <w:proofErr w:type="spellStart"/>
      <w:r w:rsidR="00D92D87" w:rsidRPr="00996230">
        <w:rPr>
          <w:i/>
        </w:rPr>
        <w:t>tk</w:t>
      </w:r>
      <w:proofErr w:type="spellEnd"/>
      <w:r w:rsidR="00D92D87" w:rsidRPr="00996230">
        <w:t xml:space="preserve">) locus of mouse lymphoma L5178Y cells (MLA) using the </w:t>
      </w:r>
      <w:proofErr w:type="spellStart"/>
      <w:r w:rsidR="00D92D87" w:rsidRPr="00996230">
        <w:t>Microtitre</w:t>
      </w:r>
      <w:proofErr w:type="spellEnd"/>
      <w:r w:rsidR="00D92D87" w:rsidRPr="00996230">
        <w:rPr>
          <w:position w:val="11"/>
          <w:sz w:val="16"/>
        </w:rPr>
        <w:t xml:space="preserve">R </w:t>
      </w:r>
      <w:r w:rsidR="00D92D87" w:rsidRPr="00996230">
        <w:t>fluctuation</w:t>
      </w:r>
      <w:r w:rsidR="00D92D87" w:rsidRPr="00996230">
        <w:rPr>
          <w:w w:val="99"/>
        </w:rPr>
        <w:t xml:space="preserve"> </w:t>
      </w:r>
      <w:r w:rsidR="00D92D87" w:rsidRPr="00996230">
        <w:t>technique (GLP)</w:t>
      </w:r>
    </w:p>
    <w:p w14:paraId="779C778E" w14:textId="77777777" w:rsidR="00957F89" w:rsidRPr="00C73849" w:rsidRDefault="00957F89" w:rsidP="005D3932">
      <w:pPr>
        <w:spacing w:before="5"/>
        <w:rPr>
          <w:rFonts w:ascii="Times New Roman" w:eastAsia="Times New Roman" w:hAnsi="Times New Roman" w:cs="Times New Roman"/>
          <w:b/>
          <w:bCs/>
          <w:sz w:val="20"/>
          <w:szCs w:val="20"/>
        </w:rPr>
      </w:pPr>
    </w:p>
    <w:p w14:paraId="48A37800" w14:textId="77777777" w:rsidR="00957F89" w:rsidRPr="00C73849" w:rsidRDefault="00D92D87" w:rsidP="005D3932">
      <w:pPr>
        <w:pStyle w:val="BodyText"/>
        <w:spacing w:line="276" w:lineRule="exact"/>
        <w:ind w:right="382"/>
      </w:pPr>
      <w:r w:rsidRPr="00C73849">
        <w:t>A test article containing 500 mM [1-</w:t>
      </w:r>
      <w:r w:rsidRPr="00C73849">
        <w:rPr>
          <w:position w:val="11"/>
          <w:sz w:val="16"/>
        </w:rPr>
        <w:t>13</w:t>
      </w:r>
      <w:proofErr w:type="gramStart"/>
      <w:r w:rsidRPr="00C73849">
        <w:t>C]pyruvate</w:t>
      </w:r>
      <w:proofErr w:type="gramEnd"/>
      <w:r w:rsidRPr="00C73849">
        <w:t xml:space="preserve"> and 0.85 mg/ml AH111501 in TRIS/EDTA</w:t>
      </w:r>
      <w:r w:rsidRPr="00C73849">
        <w:rPr>
          <w:w w:val="99"/>
        </w:rPr>
        <w:t xml:space="preserve"> </w:t>
      </w:r>
      <w:r w:rsidRPr="00C73849">
        <w:t xml:space="preserve">dissolution medium was assayed for its ability to induce mutation at the </w:t>
      </w:r>
      <w:proofErr w:type="spellStart"/>
      <w:r w:rsidRPr="00C73849">
        <w:rPr>
          <w:i/>
        </w:rPr>
        <w:t>tk</w:t>
      </w:r>
      <w:proofErr w:type="spellEnd"/>
      <w:r w:rsidRPr="00C73849">
        <w:rPr>
          <w:i/>
        </w:rPr>
        <w:t xml:space="preserve"> </w:t>
      </w:r>
      <w:r w:rsidRPr="00C73849">
        <w:t>locus in mouse</w:t>
      </w:r>
      <w:r w:rsidRPr="00C73849">
        <w:rPr>
          <w:w w:val="99"/>
        </w:rPr>
        <w:t xml:space="preserve"> </w:t>
      </w:r>
      <w:r w:rsidRPr="00C73849">
        <w:t xml:space="preserve">lymphoma cells (rendering the cells resistant to 5 </w:t>
      </w:r>
      <w:proofErr w:type="spellStart"/>
      <w:r w:rsidRPr="00C73849">
        <w:t>trifluorothymidine</w:t>
      </w:r>
      <w:proofErr w:type="spellEnd"/>
      <w:r w:rsidRPr="00C73849">
        <w:t xml:space="preserve"> [TFT] toxicity) using a</w:t>
      </w:r>
      <w:r w:rsidRPr="00C73849">
        <w:rPr>
          <w:w w:val="99"/>
        </w:rPr>
        <w:t xml:space="preserve"> </w:t>
      </w:r>
      <w:r w:rsidRPr="00C73849">
        <w:t>fluctuation protocol. The study consisted of a cytotoxicity range-finding experiment followed</w:t>
      </w:r>
      <w:r w:rsidRPr="00C73849">
        <w:rPr>
          <w:w w:val="99"/>
        </w:rPr>
        <w:t xml:space="preserve"> </w:t>
      </w:r>
      <w:r w:rsidRPr="00C73849">
        <w:t>by two independent experiments, each conducted in the absence and presence of S-9 (rat liver</w:t>
      </w:r>
      <w:r w:rsidRPr="00C73849">
        <w:rPr>
          <w:w w:val="99"/>
        </w:rPr>
        <w:t xml:space="preserve"> </w:t>
      </w:r>
      <w:r w:rsidRPr="00C73849">
        <w:t>metabolic activation system) with concentrations of [1-</w:t>
      </w:r>
      <w:r w:rsidRPr="00C73849">
        <w:rPr>
          <w:position w:val="11"/>
          <w:sz w:val="16"/>
        </w:rPr>
        <w:t>13</w:t>
      </w:r>
      <w:proofErr w:type="gramStart"/>
      <w:r w:rsidRPr="00C73849">
        <w:t>C]pyruvate</w:t>
      </w:r>
      <w:proofErr w:type="gramEnd"/>
      <w:r w:rsidRPr="00C73849">
        <w:t xml:space="preserve"> ranging from 62.5 to</w:t>
      </w:r>
      <w:r w:rsidRPr="00C73849">
        <w:rPr>
          <w:w w:val="99"/>
        </w:rPr>
        <w:t xml:space="preserve"> </w:t>
      </w:r>
      <w:r w:rsidRPr="00C73849">
        <w:t>5018 µg/ml. A 3 h treatment incubation period was used for all experiments performed in the</w:t>
      </w:r>
      <w:r w:rsidRPr="00C73849">
        <w:rPr>
          <w:w w:val="99"/>
        </w:rPr>
        <w:t xml:space="preserve"> </w:t>
      </w:r>
      <w:r w:rsidRPr="00C73849">
        <w:t>presence of S-9. In the absence of S-9, the range finder was performed using both a 3 h and a</w:t>
      </w:r>
      <w:r w:rsidRPr="00C73849">
        <w:rPr>
          <w:w w:val="99"/>
        </w:rPr>
        <w:t xml:space="preserve"> </w:t>
      </w:r>
      <w:r w:rsidRPr="00C73849">
        <w:t>24 h treatment incubation. Experiment 1 was performed using a 3 h treatment incubation and</w:t>
      </w:r>
      <w:r w:rsidRPr="00C73849">
        <w:rPr>
          <w:w w:val="99"/>
        </w:rPr>
        <w:t xml:space="preserve"> </w:t>
      </w:r>
      <w:r w:rsidRPr="00C73849">
        <w:t>Experiment 2 was performed using a 24 h treatment incubation.</w:t>
      </w:r>
    </w:p>
    <w:p w14:paraId="423F63C1" w14:textId="77777777" w:rsidR="00957F89" w:rsidRPr="00C73849" w:rsidRDefault="00957F89" w:rsidP="005D3932">
      <w:pPr>
        <w:spacing w:before="9"/>
        <w:rPr>
          <w:rFonts w:ascii="Times New Roman" w:eastAsia="Times New Roman" w:hAnsi="Times New Roman" w:cs="Times New Roman"/>
          <w:sz w:val="20"/>
          <w:szCs w:val="20"/>
        </w:rPr>
      </w:pPr>
    </w:p>
    <w:p w14:paraId="14E2AF18" w14:textId="77777777" w:rsidR="00957F89" w:rsidRPr="00C73849" w:rsidRDefault="00D92D87" w:rsidP="005D3932">
      <w:pPr>
        <w:pStyle w:val="BodyText"/>
        <w:spacing w:line="237" w:lineRule="auto"/>
        <w:ind w:right="176"/>
      </w:pPr>
      <w:r w:rsidRPr="00C73849">
        <w:t>Dose test article analysis confirmed correct test article of test item. When the test article was tested at [1-</w:t>
      </w:r>
      <w:r w:rsidRPr="00C73849">
        <w:rPr>
          <w:position w:val="11"/>
          <w:sz w:val="16"/>
          <w:szCs w:val="16"/>
        </w:rPr>
        <w:t>13</w:t>
      </w:r>
      <w:proofErr w:type="gramStart"/>
      <w:r w:rsidRPr="00C73849">
        <w:t>C]pyruvate</w:t>
      </w:r>
      <w:proofErr w:type="gramEnd"/>
      <w:r w:rsidRPr="00C73849">
        <w:t xml:space="preserve"> concentrations up to 5018 </w:t>
      </w:r>
      <w:r w:rsidRPr="00C73849">
        <w:rPr>
          <w:rFonts w:ascii="Symbol" w:eastAsia="Symbol" w:hAnsi="Symbol" w:cs="Symbol"/>
        </w:rPr>
        <w:t></w:t>
      </w:r>
      <w:r w:rsidRPr="00C73849">
        <w:t>g/ml in the absence of S-9 in Experiment</w:t>
      </w:r>
      <w:r w:rsidRPr="00C73849">
        <w:rPr>
          <w:w w:val="99"/>
        </w:rPr>
        <w:t xml:space="preserve"> </w:t>
      </w:r>
      <w:r w:rsidRPr="00C73849">
        <w:t xml:space="preserve">1, significant increases in mutant frequency were observed at the three highest concentrations tested (3000 to 5018 </w:t>
      </w:r>
      <w:r w:rsidRPr="00C73849">
        <w:rPr>
          <w:rFonts w:ascii="Symbol" w:eastAsia="Symbol" w:hAnsi="Symbol" w:cs="Symbol"/>
        </w:rPr>
        <w:t></w:t>
      </w:r>
      <w:r w:rsidRPr="00C73849">
        <w:t xml:space="preserve">g/ml). The increases were observed at concentrations where increases in osmolality of &gt;50 </w:t>
      </w:r>
      <w:proofErr w:type="spellStart"/>
      <w:r w:rsidRPr="00C73849">
        <w:t>mOsm</w:t>
      </w:r>
      <w:proofErr w:type="spellEnd"/>
      <w:r w:rsidRPr="00C73849">
        <w:t>/kg (compared to concurrent vehicle controls) were seen. When tested up to toxic concentrations in Experiment 2, increases in mutant frequency were observed at</w:t>
      </w:r>
      <w:r w:rsidR="0087360C">
        <w:t xml:space="preserve"> </w:t>
      </w:r>
      <w:r w:rsidRPr="00C73849">
        <w:t>the 5 highest [1-</w:t>
      </w:r>
      <w:r w:rsidRPr="00C73849">
        <w:rPr>
          <w:position w:val="11"/>
          <w:sz w:val="16"/>
          <w:szCs w:val="16"/>
        </w:rPr>
        <w:t>13</w:t>
      </w:r>
      <w:proofErr w:type="gramStart"/>
      <w:r w:rsidRPr="00C73849">
        <w:t>C]pyruvate</w:t>
      </w:r>
      <w:proofErr w:type="gramEnd"/>
      <w:r w:rsidRPr="00C73849">
        <w:t xml:space="preserve"> concentrations tested (1200 to 2000 </w:t>
      </w:r>
      <w:r w:rsidRPr="00C73849">
        <w:rPr>
          <w:rFonts w:ascii="Symbol" w:eastAsia="Symbol" w:hAnsi="Symbol" w:cs="Symbol"/>
        </w:rPr>
        <w:t></w:t>
      </w:r>
      <w:r w:rsidRPr="00C73849">
        <w:t>g/ml). The increases in</w:t>
      </w:r>
      <w:r w:rsidRPr="00C73849">
        <w:rPr>
          <w:w w:val="99"/>
        </w:rPr>
        <w:t xml:space="preserve"> </w:t>
      </w:r>
      <w:r w:rsidRPr="00C73849">
        <w:t>mutant frequency observed in Experiment 2 were not associated with large increases in</w:t>
      </w:r>
      <w:r w:rsidRPr="00C73849">
        <w:rPr>
          <w:w w:val="99"/>
        </w:rPr>
        <w:t xml:space="preserve"> </w:t>
      </w:r>
      <w:r w:rsidRPr="00C73849">
        <w:t xml:space="preserve">osmolality (&lt;50 </w:t>
      </w:r>
      <w:proofErr w:type="spellStart"/>
      <w:r w:rsidRPr="00C73849">
        <w:t>mOsm</w:t>
      </w:r>
      <w:proofErr w:type="spellEnd"/>
      <w:r w:rsidRPr="00C73849">
        <w:t xml:space="preserve">/kg, compared to concurrent vehicle controls). In the presence of S-9 when tested up to 5018 </w:t>
      </w:r>
      <w:r w:rsidRPr="00C73849">
        <w:rPr>
          <w:rFonts w:ascii="Symbol" w:eastAsia="Symbol" w:hAnsi="Symbol" w:cs="Symbol"/>
        </w:rPr>
        <w:t></w:t>
      </w:r>
      <w:r w:rsidRPr="00C73849">
        <w:t>g/ml, increases in mutant frequency were observed at the two highest</w:t>
      </w:r>
      <w:r w:rsidRPr="00C73849">
        <w:rPr>
          <w:w w:val="99"/>
        </w:rPr>
        <w:t xml:space="preserve"> </w:t>
      </w:r>
      <w:r w:rsidRPr="00C73849">
        <w:t>[1-</w:t>
      </w:r>
      <w:r w:rsidRPr="00C73849">
        <w:rPr>
          <w:position w:val="11"/>
          <w:sz w:val="16"/>
          <w:szCs w:val="16"/>
        </w:rPr>
        <w:t>13</w:t>
      </w:r>
      <w:proofErr w:type="gramStart"/>
      <w:r w:rsidRPr="00C73849">
        <w:t>C]pyruvate</w:t>
      </w:r>
      <w:proofErr w:type="gramEnd"/>
      <w:r w:rsidRPr="00C73849">
        <w:t xml:space="preserve"> concentrations tested in Experiment 1 (4000 and 5018 </w:t>
      </w:r>
      <w:r w:rsidRPr="00C73849">
        <w:rPr>
          <w:rFonts w:ascii="Symbol" w:eastAsia="Symbol" w:hAnsi="Symbol" w:cs="Symbol"/>
        </w:rPr>
        <w:t></w:t>
      </w:r>
      <w:r w:rsidRPr="00C73849">
        <w:t xml:space="preserve">g/ml) and at the highest concentration tested in Experiment 2 (5018 </w:t>
      </w:r>
      <w:r w:rsidRPr="00C73849">
        <w:rPr>
          <w:rFonts w:ascii="Symbol" w:eastAsia="Symbol" w:hAnsi="Symbol" w:cs="Symbol"/>
        </w:rPr>
        <w:t></w:t>
      </w:r>
      <w:r w:rsidRPr="00C73849">
        <w:t xml:space="preserve">g/ml). The increases in mutant </w:t>
      </w:r>
      <w:r w:rsidR="002A7BB9" w:rsidRPr="00C73849">
        <w:t>frequency</w:t>
      </w:r>
      <w:r w:rsidR="002A7BB9">
        <w:t xml:space="preserve"> were</w:t>
      </w:r>
      <w:r w:rsidRPr="00C73849">
        <w:t xml:space="preserve"> observed at concentrations where increases in osmolality of &gt;50 </w:t>
      </w:r>
      <w:proofErr w:type="spellStart"/>
      <w:r w:rsidRPr="00C73849">
        <w:t>mOsm</w:t>
      </w:r>
      <w:proofErr w:type="spellEnd"/>
      <w:r w:rsidRPr="00C73849">
        <w:t>/kg (compared to</w:t>
      </w:r>
      <w:r w:rsidRPr="00C73849">
        <w:rPr>
          <w:w w:val="99"/>
        </w:rPr>
        <w:t xml:space="preserve"> </w:t>
      </w:r>
      <w:r w:rsidRPr="00C73849">
        <w:t>concurrent vehicle controls) were also seen. However, large increases in osmolality were</w:t>
      </w:r>
      <w:r w:rsidRPr="00C73849">
        <w:rPr>
          <w:w w:val="99"/>
        </w:rPr>
        <w:t xml:space="preserve"> </w:t>
      </w:r>
      <w:r w:rsidRPr="00C73849">
        <w:t xml:space="preserve">observed at 3000 </w:t>
      </w:r>
      <w:r w:rsidRPr="00C73849">
        <w:rPr>
          <w:rFonts w:ascii="Symbol" w:eastAsia="Symbol" w:hAnsi="Symbol" w:cs="Symbol"/>
        </w:rPr>
        <w:t></w:t>
      </w:r>
      <w:r w:rsidRPr="00C73849">
        <w:t>g/ml and above in both experiments and were not always associated with</w:t>
      </w:r>
      <w:r w:rsidRPr="00C73849">
        <w:rPr>
          <w:w w:val="99"/>
        </w:rPr>
        <w:t xml:space="preserve"> </w:t>
      </w:r>
      <w:r w:rsidRPr="00C73849">
        <w:t xml:space="preserve">marked increases in mutant frequency. </w:t>
      </w:r>
      <w:r w:rsidR="00205F19" w:rsidRPr="00C73849">
        <w:t>Therefore,</w:t>
      </w:r>
      <w:r w:rsidRPr="00C73849">
        <w:t xml:space="preserve"> the increases in osmolarity could not have</w:t>
      </w:r>
      <w:r w:rsidRPr="00C73849">
        <w:rPr>
          <w:w w:val="99"/>
        </w:rPr>
        <w:t xml:space="preserve"> </w:t>
      </w:r>
      <w:r w:rsidRPr="00C73849">
        <w:t>been the sole factor responsible for the significant increases in mutant frequency. Highly significant linear trends for the concentration-effect relationships were observed following treatments in the absence and presence of S-9 in Experiments 1 and 2.</w:t>
      </w:r>
    </w:p>
    <w:p w14:paraId="5763E63D" w14:textId="77777777" w:rsidR="00957F89" w:rsidRPr="00C73849" w:rsidRDefault="00957F89" w:rsidP="005D3932">
      <w:pPr>
        <w:spacing w:before="8"/>
        <w:rPr>
          <w:rFonts w:ascii="Times New Roman" w:eastAsia="Times New Roman" w:hAnsi="Times New Roman" w:cs="Times New Roman"/>
          <w:sz w:val="20"/>
          <w:szCs w:val="20"/>
        </w:rPr>
      </w:pPr>
    </w:p>
    <w:p w14:paraId="2E8486AE" w14:textId="77777777" w:rsidR="00957F89" w:rsidRPr="00C73849" w:rsidRDefault="00D92D87" w:rsidP="005D3932">
      <w:pPr>
        <w:pStyle w:val="BodyText"/>
        <w:ind w:right="311"/>
      </w:pPr>
      <w:r w:rsidRPr="00C73849">
        <w:t xml:space="preserve">It was concluded that the test item induced mutation at the </w:t>
      </w:r>
      <w:proofErr w:type="spellStart"/>
      <w:r w:rsidRPr="00C73849">
        <w:rPr>
          <w:rFonts w:cs="Times New Roman"/>
          <w:i/>
        </w:rPr>
        <w:t>tk</w:t>
      </w:r>
      <w:proofErr w:type="spellEnd"/>
      <w:r w:rsidRPr="00C73849">
        <w:rPr>
          <w:rFonts w:cs="Times New Roman"/>
          <w:i/>
        </w:rPr>
        <w:t xml:space="preserve"> </w:t>
      </w:r>
      <w:r w:rsidRPr="00C73849">
        <w:t>locus of L5178Y mouse</w:t>
      </w:r>
      <w:r w:rsidRPr="00C73849">
        <w:rPr>
          <w:w w:val="99"/>
        </w:rPr>
        <w:t xml:space="preserve"> </w:t>
      </w:r>
      <w:r w:rsidRPr="00C73849">
        <w:t>lymphoma cells when tested under the conditions employed in this study. These conditions</w:t>
      </w:r>
      <w:r w:rsidRPr="00C73849">
        <w:rPr>
          <w:w w:val="99"/>
        </w:rPr>
        <w:t xml:space="preserve"> </w:t>
      </w:r>
      <w:r w:rsidRPr="00C73849">
        <w:t>included treatments up to toxic concentrations for 24 h in the absence of S-9 and up to</w:t>
      </w:r>
      <w:r w:rsidRPr="00C73849">
        <w:rPr>
          <w:w w:val="99"/>
        </w:rPr>
        <w:t xml:space="preserve"> </w:t>
      </w:r>
      <w:r w:rsidRPr="00C73849">
        <w:t xml:space="preserve">approximately 5000 </w:t>
      </w:r>
      <w:r w:rsidRPr="00C73849">
        <w:rPr>
          <w:rFonts w:ascii="Symbol" w:eastAsia="Symbol" w:hAnsi="Symbol" w:cs="Symbol"/>
        </w:rPr>
        <w:t></w:t>
      </w:r>
      <w:r w:rsidRPr="00C73849">
        <w:t>g/ml for 3 h in the absence and presence of S-9. The mutagenic activity following 3 h treatments in the absence and presence of S-9 was observed at concentrations at</w:t>
      </w:r>
      <w:r w:rsidRPr="00C73849">
        <w:rPr>
          <w:w w:val="99"/>
        </w:rPr>
        <w:t xml:space="preserve"> </w:t>
      </w:r>
      <w:r w:rsidRPr="00C73849">
        <w:t>which marked increases in osmolality were also seen.</w:t>
      </w:r>
    </w:p>
    <w:p w14:paraId="2D2F96DB" w14:textId="77777777" w:rsidR="00957F89" w:rsidRPr="00C73849" w:rsidRDefault="00957F89" w:rsidP="005D3932">
      <w:pPr>
        <w:rPr>
          <w:rFonts w:ascii="Times New Roman" w:eastAsia="Times New Roman" w:hAnsi="Times New Roman" w:cs="Times New Roman"/>
          <w:sz w:val="20"/>
          <w:szCs w:val="20"/>
        </w:rPr>
      </w:pPr>
    </w:p>
    <w:p w14:paraId="15BB1AA4" w14:textId="77777777" w:rsidR="00957F89" w:rsidRPr="00996230" w:rsidRDefault="00996230" w:rsidP="005A4B55">
      <w:pPr>
        <w:pStyle w:val="Heading5"/>
        <w:rPr>
          <w:rFonts w:eastAsia="Times New Roman" w:hAnsi="Times New Roman" w:cs="Times New Roman"/>
          <w:szCs w:val="24"/>
        </w:rPr>
      </w:pPr>
      <w:r>
        <w:rPr>
          <w:rFonts w:ascii="Times New Roman"/>
        </w:rPr>
        <w:lastRenderedPageBreak/>
        <w:t>5.3.4.1.5</w:t>
      </w:r>
      <w:r>
        <w:rPr>
          <w:rFonts w:ascii="Times New Roman"/>
        </w:rPr>
        <w:tab/>
      </w:r>
      <w:r w:rsidR="00D92D87" w:rsidRPr="00996230">
        <w:t>TNO study number: 5604/04 (GE study number: B101016)</w:t>
      </w:r>
      <w:r w:rsidRPr="00996230">
        <w:t xml:space="preserve">. </w:t>
      </w:r>
      <w:r w:rsidR="00D92D87" w:rsidRPr="00996230">
        <w:t xml:space="preserve">Micronucleus test in bone marrow cells of rats treated intravenously with AH111501 dissolved in </w:t>
      </w:r>
      <w:r w:rsidR="00D92D87" w:rsidRPr="00996230">
        <w:rPr>
          <w:position w:val="11"/>
          <w:sz w:val="16"/>
        </w:rPr>
        <w:t>13</w:t>
      </w:r>
      <w:r w:rsidR="00D92D87" w:rsidRPr="00996230">
        <w:t>C AH110896 (GLP)</w:t>
      </w:r>
    </w:p>
    <w:p w14:paraId="45F9B934" w14:textId="77777777" w:rsidR="00957F89" w:rsidRPr="00C73849" w:rsidRDefault="00D92D87" w:rsidP="005D3932">
      <w:pPr>
        <w:pStyle w:val="BodyText"/>
        <w:spacing w:before="235" w:line="276" w:lineRule="exact"/>
        <w:ind w:right="311"/>
      </w:pPr>
      <w:r w:rsidRPr="00C73849">
        <w:t>The test item containing 44.6 mg/ml [1-</w:t>
      </w:r>
      <w:r w:rsidRPr="00C73849">
        <w:rPr>
          <w:position w:val="11"/>
          <w:sz w:val="16"/>
        </w:rPr>
        <w:t>13</w:t>
      </w:r>
      <w:proofErr w:type="gramStart"/>
      <w:r w:rsidRPr="00C73849">
        <w:t>C]pyruvate</w:t>
      </w:r>
      <w:proofErr w:type="gramEnd"/>
      <w:r w:rsidRPr="00C73849">
        <w:t xml:space="preserve"> and 0.85 mg/ml AH111501 in</w:t>
      </w:r>
      <w:r w:rsidRPr="00C73849">
        <w:rPr>
          <w:w w:val="99"/>
        </w:rPr>
        <w:t xml:space="preserve"> </w:t>
      </w:r>
      <w:r w:rsidRPr="00C73849">
        <w:t>TRIS/EDTA dissolution medium was examined for its mutagenic potential in a bone marrow micronucleus test in male rats. The micronucleus test was performed with male rats only and</w:t>
      </w:r>
      <w:r w:rsidRPr="00C73849">
        <w:rPr>
          <w:w w:val="99"/>
        </w:rPr>
        <w:t xml:space="preserve"> </w:t>
      </w:r>
      <w:r w:rsidRPr="00C73849">
        <w:t xml:space="preserve">with the highest possible dose level of 1784 mg/kg </w:t>
      </w:r>
      <w:proofErr w:type="spellStart"/>
      <w:r w:rsidRPr="00C73849">
        <w:t>bw</w:t>
      </w:r>
      <w:proofErr w:type="spellEnd"/>
      <w:r w:rsidRPr="00C73849">
        <w:t xml:space="preserve"> of [1-</w:t>
      </w:r>
      <w:r w:rsidRPr="00C73849">
        <w:rPr>
          <w:position w:val="11"/>
          <w:sz w:val="16"/>
        </w:rPr>
        <w:t>13</w:t>
      </w:r>
      <w:proofErr w:type="gramStart"/>
      <w:r w:rsidRPr="00C73849">
        <w:t>C]pyruvate</w:t>
      </w:r>
      <w:proofErr w:type="gramEnd"/>
      <w:r w:rsidRPr="00C73849">
        <w:t xml:space="preserve"> and 34 mg/kg </w:t>
      </w:r>
      <w:proofErr w:type="spellStart"/>
      <w:r w:rsidRPr="00C73849">
        <w:t>bw</w:t>
      </w:r>
      <w:proofErr w:type="spellEnd"/>
      <w:r w:rsidRPr="00C73849">
        <w:t xml:space="preserve"> of AH111501. The dosing was divided into two intravenous injections of 20 ml/kg </w:t>
      </w:r>
      <w:proofErr w:type="spellStart"/>
      <w:r w:rsidRPr="00C73849">
        <w:t>bw</w:t>
      </w:r>
      <w:proofErr w:type="spellEnd"/>
      <w:r w:rsidRPr="00C73849">
        <w:t xml:space="preserve"> each</w:t>
      </w:r>
      <w:r w:rsidRPr="00C73849">
        <w:rPr>
          <w:w w:val="99"/>
        </w:rPr>
        <w:t xml:space="preserve"> </w:t>
      </w:r>
      <w:r w:rsidRPr="00C73849">
        <w:t xml:space="preserve">separated by an interval of approximately 24 h. The injection volume of 20 ml/kg </w:t>
      </w:r>
      <w:proofErr w:type="spellStart"/>
      <w:r w:rsidRPr="00C73849">
        <w:t>bw</w:t>
      </w:r>
      <w:proofErr w:type="spellEnd"/>
      <w:r w:rsidRPr="00C73849">
        <w:t xml:space="preserve"> as an upper limit for intravenous administration to rats, was based on a generally accepted</w:t>
      </w:r>
      <w:r w:rsidRPr="00C73849">
        <w:rPr>
          <w:w w:val="99"/>
        </w:rPr>
        <w:t xml:space="preserve"> </w:t>
      </w:r>
      <w:r w:rsidRPr="00C73849">
        <w:t>recommendation [Diehl et al. 2001]. Seven male rats (including two reserve rats) were treated</w:t>
      </w:r>
      <w:r w:rsidRPr="00C73849">
        <w:rPr>
          <w:w w:val="99"/>
        </w:rPr>
        <w:t xml:space="preserve"> </w:t>
      </w:r>
      <w:r w:rsidRPr="00C73849">
        <w:t>with [1-</w:t>
      </w:r>
      <w:r w:rsidRPr="00C73849">
        <w:rPr>
          <w:position w:val="11"/>
          <w:sz w:val="16"/>
        </w:rPr>
        <w:t>13</w:t>
      </w:r>
      <w:proofErr w:type="gramStart"/>
      <w:r w:rsidRPr="00C73849">
        <w:t>C]pyruvate</w:t>
      </w:r>
      <w:proofErr w:type="gramEnd"/>
      <w:r w:rsidRPr="00C73849">
        <w:t xml:space="preserve"> and AH111501. The negative control group, consisting of five male rats,</w:t>
      </w:r>
      <w:r w:rsidRPr="00C73849">
        <w:rPr>
          <w:w w:val="99"/>
        </w:rPr>
        <w:t xml:space="preserve"> </w:t>
      </w:r>
      <w:r w:rsidRPr="00C73849">
        <w:t xml:space="preserve">was treated in a similar way with saline (0.9% sodium chloride). The positive control group, consisting of five male rats, was given a single intraperitoneal injection with the mutagen mitomycin C (0.75 mg/kg </w:t>
      </w:r>
      <w:proofErr w:type="spellStart"/>
      <w:r w:rsidRPr="00C73849">
        <w:t>bw</w:t>
      </w:r>
      <w:proofErr w:type="spellEnd"/>
      <w:r w:rsidRPr="00C73849">
        <w:t>). At 24 h after the final treatment, all rats were sacrificed. Bone</w:t>
      </w:r>
      <w:r w:rsidRPr="00C73849">
        <w:rPr>
          <w:w w:val="99"/>
        </w:rPr>
        <w:t xml:space="preserve"> </w:t>
      </w:r>
      <w:r w:rsidRPr="00C73849">
        <w:t>marrow cells were collected from both femurs of each animal and pooled and processed into</w:t>
      </w:r>
      <w:r w:rsidRPr="00C73849">
        <w:rPr>
          <w:w w:val="99"/>
        </w:rPr>
        <w:t xml:space="preserve"> </w:t>
      </w:r>
      <w:r w:rsidRPr="00C73849">
        <w:t>smears for microscopic examination.</w:t>
      </w:r>
    </w:p>
    <w:p w14:paraId="1842DF80" w14:textId="77777777" w:rsidR="00957F89" w:rsidRPr="00C73849" w:rsidRDefault="00957F89" w:rsidP="005D3932">
      <w:pPr>
        <w:spacing w:before="8"/>
        <w:rPr>
          <w:rFonts w:ascii="Times New Roman" w:eastAsia="Times New Roman" w:hAnsi="Times New Roman" w:cs="Times New Roman"/>
          <w:sz w:val="21"/>
          <w:szCs w:val="21"/>
        </w:rPr>
      </w:pPr>
    </w:p>
    <w:p w14:paraId="588502A5" w14:textId="77777777" w:rsidR="00957F89" w:rsidRPr="00C73849" w:rsidRDefault="00D92D87" w:rsidP="005D3932">
      <w:pPr>
        <w:pStyle w:val="BodyText"/>
        <w:spacing w:line="226" w:lineRule="auto"/>
        <w:ind w:right="311"/>
      </w:pPr>
      <w:r w:rsidRPr="00C73849">
        <w:t xml:space="preserve">The incidences of </w:t>
      </w:r>
      <w:proofErr w:type="spellStart"/>
      <w:r w:rsidRPr="00C73849">
        <w:t>micronucleated</w:t>
      </w:r>
      <w:proofErr w:type="spellEnd"/>
      <w:r w:rsidRPr="00C73849">
        <w:t xml:space="preserve"> polychromatic erythrocytes per 2000 polychromatic</w:t>
      </w:r>
      <w:r w:rsidRPr="00C73849">
        <w:rPr>
          <w:w w:val="99"/>
        </w:rPr>
        <w:t xml:space="preserve"> </w:t>
      </w:r>
      <w:r w:rsidRPr="00C73849">
        <w:t>erythrocytes in male rats treated with [1-</w:t>
      </w:r>
      <w:r w:rsidRPr="00C73849">
        <w:rPr>
          <w:position w:val="11"/>
          <w:sz w:val="16"/>
        </w:rPr>
        <w:t>13</w:t>
      </w:r>
      <w:proofErr w:type="gramStart"/>
      <w:r w:rsidRPr="00C73849">
        <w:t>C]pyruvate</w:t>
      </w:r>
      <w:proofErr w:type="gramEnd"/>
      <w:r w:rsidRPr="00C73849">
        <w:t xml:space="preserve"> and AH111501 were not statistically significantly different from those found in the negative (saline) controls. Therefore, this study indicates that treatment with [1-</w:t>
      </w:r>
      <w:r w:rsidRPr="00C73849">
        <w:rPr>
          <w:position w:val="11"/>
          <w:sz w:val="16"/>
        </w:rPr>
        <w:t>13</w:t>
      </w:r>
      <w:proofErr w:type="gramStart"/>
      <w:r w:rsidRPr="00C73849">
        <w:t>C]pyruvate</w:t>
      </w:r>
      <w:proofErr w:type="gramEnd"/>
      <w:r w:rsidRPr="00C73849">
        <w:t xml:space="preserve"> and AH111501 did not result in genotoxicity to</w:t>
      </w:r>
      <w:r w:rsidRPr="00C73849">
        <w:rPr>
          <w:w w:val="99"/>
        </w:rPr>
        <w:t xml:space="preserve"> </w:t>
      </w:r>
      <w:r w:rsidRPr="00C73849">
        <w:t>bone marrow cells. The positive control group differed statistically significantly from the</w:t>
      </w:r>
      <w:r w:rsidRPr="00C73849">
        <w:rPr>
          <w:w w:val="99"/>
        </w:rPr>
        <w:t xml:space="preserve"> </w:t>
      </w:r>
      <w:r w:rsidRPr="00C73849">
        <w:t>negative control group (p&lt;0.001), demonstrating the sensitivity of the test system. The number of polychromatic erythrocytes per 200 erythrocytes in male rats treated with [1-</w:t>
      </w:r>
      <w:r w:rsidRPr="00C73849">
        <w:rPr>
          <w:position w:val="11"/>
          <w:sz w:val="16"/>
        </w:rPr>
        <w:t>13</w:t>
      </w:r>
      <w:proofErr w:type="gramStart"/>
      <w:r w:rsidRPr="00C73849">
        <w:t>C]pyruvate</w:t>
      </w:r>
      <w:proofErr w:type="gramEnd"/>
      <w:r w:rsidRPr="00C73849">
        <w:rPr>
          <w:w w:val="99"/>
        </w:rPr>
        <w:t xml:space="preserve"> </w:t>
      </w:r>
      <w:r w:rsidRPr="00C73849">
        <w:t>and AH111501 was not statistically significantly different from that found in the negative</w:t>
      </w:r>
      <w:r w:rsidRPr="00C73849">
        <w:rPr>
          <w:w w:val="99"/>
        </w:rPr>
        <w:t xml:space="preserve"> </w:t>
      </w:r>
      <w:r w:rsidRPr="00C73849">
        <w:t>(saline) controls. This indicates that treatment with [1-</w:t>
      </w:r>
      <w:r w:rsidRPr="00C73849">
        <w:rPr>
          <w:position w:val="11"/>
          <w:sz w:val="16"/>
        </w:rPr>
        <w:t>13</w:t>
      </w:r>
      <w:proofErr w:type="gramStart"/>
      <w:r w:rsidRPr="00C73849">
        <w:t>C]pyruvate</w:t>
      </w:r>
      <w:proofErr w:type="gramEnd"/>
      <w:r w:rsidRPr="00C73849">
        <w:t xml:space="preserve"> and AH111501 did not</w:t>
      </w:r>
      <w:r w:rsidRPr="00C73849">
        <w:rPr>
          <w:w w:val="99"/>
        </w:rPr>
        <w:t xml:space="preserve"> </w:t>
      </w:r>
      <w:r w:rsidRPr="00C73849">
        <w:t>result in cytotoxicity to bone marrow cells.</w:t>
      </w:r>
    </w:p>
    <w:p w14:paraId="01C36949" w14:textId="77777777" w:rsidR="00957F89" w:rsidRPr="00C73849" w:rsidRDefault="00957F89" w:rsidP="005D3932">
      <w:pPr>
        <w:spacing w:before="5"/>
        <w:rPr>
          <w:rFonts w:ascii="Times New Roman" w:eastAsia="Times New Roman" w:hAnsi="Times New Roman" w:cs="Times New Roman"/>
          <w:sz w:val="21"/>
          <w:szCs w:val="21"/>
        </w:rPr>
      </w:pPr>
    </w:p>
    <w:p w14:paraId="40AAB3DE" w14:textId="77777777" w:rsidR="00957F89" w:rsidRPr="00C73849" w:rsidRDefault="00D92D87" w:rsidP="005D3932">
      <w:pPr>
        <w:pStyle w:val="BodyText"/>
        <w:spacing w:line="276" w:lineRule="exact"/>
        <w:ind w:right="410"/>
        <w:jc w:val="both"/>
      </w:pPr>
      <w:r w:rsidRPr="00C73849">
        <w:t>These data support the conclusion that, at the doses applied under the conditions used in this</w:t>
      </w:r>
      <w:r w:rsidRPr="00C73849">
        <w:rPr>
          <w:w w:val="99"/>
        </w:rPr>
        <w:t xml:space="preserve"> </w:t>
      </w:r>
      <w:r w:rsidRPr="00C73849">
        <w:t>study, the test item [1-</w:t>
      </w:r>
      <w:r w:rsidRPr="00C73849">
        <w:rPr>
          <w:position w:val="11"/>
          <w:sz w:val="16"/>
        </w:rPr>
        <w:t>13</w:t>
      </w:r>
      <w:r w:rsidRPr="00C73849">
        <w:t>C]pyruvate and AH111501 did not produce chromosomal damage or damage to the mitotic spindle apparatus in bone marrow cells of male rats treated with</w:t>
      </w:r>
      <w:r w:rsidR="001E1911">
        <w:t xml:space="preserve"> </w:t>
      </w:r>
      <w:r w:rsidRPr="00C73849">
        <w:t xml:space="preserve">892 mg pyruvate/kg </w:t>
      </w:r>
      <w:proofErr w:type="spellStart"/>
      <w:r w:rsidRPr="00C73849">
        <w:t>bw</w:t>
      </w:r>
      <w:proofErr w:type="spellEnd"/>
      <w:r w:rsidRPr="00C73849">
        <w:t xml:space="preserve">/day and 17 mg/kg </w:t>
      </w:r>
      <w:proofErr w:type="spellStart"/>
      <w:r w:rsidRPr="00C73849">
        <w:t>bw</w:t>
      </w:r>
      <w:proofErr w:type="spellEnd"/>
      <w:r w:rsidRPr="00C73849">
        <w:t>/day AH111501 on two consecutive days, when</w:t>
      </w:r>
      <w:r w:rsidRPr="00C73849">
        <w:rPr>
          <w:w w:val="99"/>
        </w:rPr>
        <w:t xml:space="preserve"> </w:t>
      </w:r>
      <w:r w:rsidRPr="00C73849">
        <w:t>analyzed 24 h after the final dose administration.</w:t>
      </w:r>
    </w:p>
    <w:p w14:paraId="6FC314C7" w14:textId="77777777" w:rsidR="00957F89" w:rsidRPr="00C73849" w:rsidRDefault="00957F89" w:rsidP="005D3932">
      <w:pPr>
        <w:spacing w:before="3"/>
        <w:rPr>
          <w:rFonts w:ascii="Times New Roman" w:eastAsia="Times New Roman" w:hAnsi="Times New Roman" w:cs="Times New Roman"/>
          <w:sz w:val="21"/>
          <w:szCs w:val="21"/>
        </w:rPr>
      </w:pPr>
    </w:p>
    <w:p w14:paraId="2A0111ED" w14:textId="203563D4" w:rsidR="00957F89" w:rsidRPr="00996230" w:rsidRDefault="00996230" w:rsidP="005A4B55">
      <w:pPr>
        <w:pStyle w:val="Heading5"/>
        <w:rPr>
          <w:rFonts w:eastAsia="Times New Roman" w:hAnsi="Times New Roman" w:cs="Times New Roman"/>
          <w:szCs w:val="24"/>
        </w:rPr>
      </w:pPr>
      <w:r>
        <w:rPr>
          <w:rFonts w:ascii="Times New Roman"/>
        </w:rPr>
        <w:t>5.3.4.1.6</w:t>
      </w:r>
      <w:r>
        <w:rPr>
          <w:rFonts w:ascii="Times New Roman"/>
        </w:rPr>
        <w:tab/>
      </w:r>
      <w:r w:rsidR="00D92D87" w:rsidRPr="00996230">
        <w:t>Covance study number: 2789/6 (GE study number: B101057)</w:t>
      </w:r>
      <w:r w:rsidRPr="00996230">
        <w:t xml:space="preserve"> </w:t>
      </w:r>
      <w:r w:rsidR="00D92D87" w:rsidRPr="00996230">
        <w:t>Detection of DNA damage in the blood of treated rats using the Comet assay (GLP)</w:t>
      </w:r>
    </w:p>
    <w:p w14:paraId="06197FDA" w14:textId="77777777" w:rsidR="00957F89" w:rsidRPr="00C73849" w:rsidRDefault="00D92D87" w:rsidP="005D3932">
      <w:pPr>
        <w:pStyle w:val="BodyText"/>
        <w:spacing w:before="200"/>
        <w:ind w:right="311"/>
      </w:pPr>
      <w:r w:rsidRPr="00C73849">
        <w:t>In this study, the potential of the mixture of 44.6 mg/ml [1-</w:t>
      </w:r>
      <w:r w:rsidRPr="00C73849">
        <w:rPr>
          <w:position w:val="11"/>
          <w:sz w:val="16"/>
        </w:rPr>
        <w:t>13</w:t>
      </w:r>
      <w:proofErr w:type="gramStart"/>
      <w:r w:rsidRPr="00C73849">
        <w:t>C]pyruvic</w:t>
      </w:r>
      <w:proofErr w:type="gramEnd"/>
      <w:r w:rsidRPr="00C73849">
        <w:t xml:space="preserve"> acid and 0.85 mg/ml</w:t>
      </w:r>
      <w:r w:rsidRPr="00C73849">
        <w:rPr>
          <w:w w:val="99"/>
        </w:rPr>
        <w:t xml:space="preserve"> </w:t>
      </w:r>
      <w:r w:rsidRPr="00C73849">
        <w:t>AH111501 sodium salt dissolved in TRIS/EDTA dissolution medium to induce DNA strand breaks or alkali labile sites was investigated by assessing the extent of DNA damage in blood</w:t>
      </w:r>
      <w:r w:rsidRPr="00C73849">
        <w:rPr>
          <w:w w:val="99"/>
        </w:rPr>
        <w:t xml:space="preserve"> </w:t>
      </w:r>
      <w:r w:rsidRPr="00C73849">
        <w:t>of treated rats. To obtain maximum exposure, the animals were dosed twice on the same day (with approximately 5 h between the administrations), with the maximum recommended dose</w:t>
      </w:r>
      <w:r w:rsidRPr="00C73849">
        <w:rPr>
          <w:w w:val="99"/>
        </w:rPr>
        <w:t xml:space="preserve"> </w:t>
      </w:r>
      <w:r w:rsidRPr="00C73849">
        <w:t xml:space="preserve">volume of 20 ml/kg </w:t>
      </w:r>
      <w:proofErr w:type="spellStart"/>
      <w:r w:rsidRPr="00C73849">
        <w:t>bw</w:t>
      </w:r>
      <w:proofErr w:type="spellEnd"/>
      <w:r w:rsidRPr="00C73849">
        <w:t xml:space="preserve"> (892 mg pyruvate/kg </w:t>
      </w:r>
      <w:proofErr w:type="spellStart"/>
      <w:r w:rsidRPr="00C73849">
        <w:t>bw</w:t>
      </w:r>
      <w:proofErr w:type="spellEnd"/>
      <w:r w:rsidRPr="00C73849">
        <w:t xml:space="preserve">), on two consecutive days. The highest dose to be tested was determined in a </w:t>
      </w:r>
      <w:proofErr w:type="gramStart"/>
      <w:r w:rsidRPr="00C73849">
        <w:t>range-finder</w:t>
      </w:r>
      <w:proofErr w:type="gramEnd"/>
      <w:r w:rsidRPr="00C73849">
        <w:t xml:space="preserve"> in three male rats. Groups of six male rats were</w:t>
      </w:r>
      <w:r w:rsidR="001E1911">
        <w:t xml:space="preserve"> </w:t>
      </w:r>
      <w:r w:rsidRPr="00C73849">
        <w:t xml:space="preserve">administered either test article at 1784 mg pyruvate/kg </w:t>
      </w:r>
      <w:proofErr w:type="spellStart"/>
      <w:r w:rsidRPr="00C73849">
        <w:t>bw</w:t>
      </w:r>
      <w:proofErr w:type="spellEnd"/>
      <w:r w:rsidRPr="00C73849">
        <w:t xml:space="preserve">/day or the test article diluted 1:1 with sterile water at doses of 892 mg pyruvate/kg </w:t>
      </w:r>
      <w:proofErr w:type="spellStart"/>
      <w:r w:rsidRPr="00C73849">
        <w:t>bw</w:t>
      </w:r>
      <w:proofErr w:type="spellEnd"/>
      <w:r w:rsidRPr="00C73849">
        <w:t>/day. The test article was administered via intravenous infusion at a rate of 1.2 ml/min. The blood of the treated rats was analyzed for DNA damage 3 h after the final dose administration. The volume control in the study was</w:t>
      </w:r>
      <w:r w:rsidR="001E1911">
        <w:t xml:space="preserve"> </w:t>
      </w:r>
      <w:r w:rsidRPr="00C73849">
        <w:t xml:space="preserve">0.9% saline. Animals </w:t>
      </w:r>
      <w:r w:rsidRPr="00C73849">
        <w:lastRenderedPageBreak/>
        <w:t xml:space="preserve">were dosed using the same dosing regimen and dose volume as that used for test article-treated animals. Ethyl </w:t>
      </w:r>
      <w:proofErr w:type="spellStart"/>
      <w:r w:rsidRPr="00C73849">
        <w:t>methanesulfonate</w:t>
      </w:r>
      <w:proofErr w:type="spellEnd"/>
      <w:r w:rsidRPr="00C73849">
        <w:t xml:space="preserve"> (EMS), the positive control, was dissolved in purified water and administered orally by gavage as a single dose at 250 mg/kg </w:t>
      </w:r>
      <w:proofErr w:type="spellStart"/>
      <w:r w:rsidRPr="00C73849">
        <w:t>bw</w:t>
      </w:r>
      <w:proofErr w:type="spellEnd"/>
      <w:r w:rsidRPr="00C73849">
        <w:t xml:space="preserve"> (dose volume of 10 ml/kg </w:t>
      </w:r>
      <w:proofErr w:type="spellStart"/>
      <w:r w:rsidRPr="00C73849">
        <w:t>bw</w:t>
      </w:r>
      <w:proofErr w:type="spellEnd"/>
      <w:r w:rsidRPr="00C73849">
        <w:t>) to a group of six rats which were killed 3 h after dose administration.</w:t>
      </w:r>
    </w:p>
    <w:p w14:paraId="1B4A7E01" w14:textId="77777777" w:rsidR="00957F89" w:rsidRPr="00C73849" w:rsidRDefault="00957F89" w:rsidP="005D3932">
      <w:pPr>
        <w:spacing w:before="10"/>
        <w:rPr>
          <w:rFonts w:ascii="Times New Roman" w:eastAsia="Times New Roman" w:hAnsi="Times New Roman" w:cs="Times New Roman"/>
          <w:sz w:val="20"/>
          <w:szCs w:val="20"/>
        </w:rPr>
      </w:pPr>
    </w:p>
    <w:p w14:paraId="13D09B7F" w14:textId="77777777" w:rsidR="00957F89" w:rsidRPr="00C73849" w:rsidRDefault="00D92D87" w:rsidP="005D3932">
      <w:pPr>
        <w:pStyle w:val="BodyText"/>
        <w:ind w:right="311"/>
      </w:pPr>
      <w:r w:rsidRPr="00C73849">
        <w:t xml:space="preserve">In the </w:t>
      </w:r>
      <w:proofErr w:type="gramStart"/>
      <w:r w:rsidRPr="00C73849">
        <w:t>range-finder</w:t>
      </w:r>
      <w:proofErr w:type="gramEnd"/>
      <w:r w:rsidRPr="00C73849">
        <w:t xml:space="preserve"> one rat displayed gasping and all three animals were lethargic on Day 2. There were no observations on Day 3 and 4. In the Comet study one animal dosed with saline</w:t>
      </w:r>
      <w:r w:rsidRPr="00C73849">
        <w:rPr>
          <w:w w:val="99"/>
        </w:rPr>
        <w:t xml:space="preserve"> </w:t>
      </w:r>
      <w:r w:rsidRPr="00C73849">
        <w:t>died immediately following its fourth dose, and one test article treated animal showed ventral</w:t>
      </w:r>
      <w:r w:rsidRPr="00C73849">
        <w:rPr>
          <w:w w:val="99"/>
        </w:rPr>
        <w:t xml:space="preserve"> </w:t>
      </w:r>
      <w:r w:rsidRPr="00C73849">
        <w:t>staining following the fourth administration. No other clinical signs of toxicity were observed</w:t>
      </w:r>
      <w:r w:rsidRPr="00C73849">
        <w:rPr>
          <w:w w:val="99"/>
        </w:rPr>
        <w:t xml:space="preserve"> </w:t>
      </w:r>
      <w:r w:rsidRPr="00C73849">
        <w:t>in any animal following treatments with the test article or EMS.</w:t>
      </w:r>
    </w:p>
    <w:p w14:paraId="44EA1447" w14:textId="77777777" w:rsidR="00957F89" w:rsidRPr="00C73849" w:rsidRDefault="00957F89" w:rsidP="005D3932">
      <w:pPr>
        <w:spacing w:before="10"/>
        <w:rPr>
          <w:rFonts w:ascii="Times New Roman" w:eastAsia="Times New Roman" w:hAnsi="Times New Roman" w:cs="Times New Roman"/>
          <w:sz w:val="20"/>
          <w:szCs w:val="20"/>
        </w:rPr>
      </w:pPr>
    </w:p>
    <w:p w14:paraId="6318CA06" w14:textId="77777777" w:rsidR="00957F89" w:rsidRPr="00C73849" w:rsidRDefault="00D92D87" w:rsidP="005D3932">
      <w:pPr>
        <w:pStyle w:val="BodyText"/>
        <w:ind w:right="248"/>
      </w:pPr>
      <w:r w:rsidRPr="00C73849">
        <w:t xml:space="preserve">The mean tail moment and tail intensity for the saline control group was </w:t>
      </w:r>
      <w:r w:rsidR="00205F19" w:rsidRPr="00C73849">
        <w:t>like</w:t>
      </w:r>
      <w:r w:rsidRPr="00C73849">
        <w:t xml:space="preserve"> the</w:t>
      </w:r>
      <w:r w:rsidRPr="00C73849">
        <w:rPr>
          <w:w w:val="99"/>
        </w:rPr>
        <w:t xml:space="preserve"> </w:t>
      </w:r>
      <w:proofErr w:type="gramStart"/>
      <w:r w:rsidRPr="00C73849">
        <w:t>laboratories</w:t>
      </w:r>
      <w:proofErr w:type="gramEnd"/>
      <w:r w:rsidRPr="00C73849">
        <w:t xml:space="preserve"> validation data. Mean tail moment and tail intensity values for the positive control</w:t>
      </w:r>
      <w:r w:rsidRPr="00C73849">
        <w:rPr>
          <w:w w:val="99"/>
        </w:rPr>
        <w:t xml:space="preserve"> </w:t>
      </w:r>
      <w:r w:rsidRPr="00C73849">
        <w:t>group exhibited a statistically significant increase over concurrent solvent controls. The study was therefore accepted as valid. The supplementary cytotoxicity data ('cloud' assessment and</w:t>
      </w:r>
      <w:r w:rsidRPr="00C73849">
        <w:rPr>
          <w:w w:val="99"/>
        </w:rPr>
        <w:t xml:space="preserve"> </w:t>
      </w:r>
      <w:r w:rsidRPr="00C73849">
        <w:t>diffusion slide analysis) for blood from animals treated with the test article were considered</w:t>
      </w:r>
      <w:r w:rsidRPr="00C73849">
        <w:rPr>
          <w:w w:val="99"/>
        </w:rPr>
        <w:t xml:space="preserve"> </w:t>
      </w:r>
      <w:r w:rsidRPr="00C73849">
        <w:t>acceptable as demonstrated by low levels of cytotoxicity, necrosis or apoptosis. Comet analysis</w:t>
      </w:r>
      <w:r w:rsidRPr="00C73849">
        <w:rPr>
          <w:w w:val="99"/>
        </w:rPr>
        <w:t xml:space="preserve"> </w:t>
      </w:r>
      <w:r w:rsidRPr="00C73849">
        <w:t>of blood provided tail moment and tail intensity values for the test article treated animals that</w:t>
      </w:r>
      <w:r w:rsidRPr="00C73849">
        <w:rPr>
          <w:w w:val="99"/>
        </w:rPr>
        <w:t xml:space="preserve"> </w:t>
      </w:r>
      <w:r w:rsidRPr="00C73849">
        <w:t>were considered consistent with the concurrent saline control group. No increases or decreases in tail moment or tail intensity in test article treated groups sufficient in magnitude to be</w:t>
      </w:r>
      <w:r w:rsidRPr="00C73849">
        <w:rPr>
          <w:w w:val="99"/>
        </w:rPr>
        <w:t xml:space="preserve"> </w:t>
      </w:r>
      <w:r w:rsidRPr="00C73849">
        <w:t>considered indicative of any cross-linking or DNA damage effects were observed.</w:t>
      </w:r>
    </w:p>
    <w:p w14:paraId="490B270A" w14:textId="77777777" w:rsidR="00957F89" w:rsidRPr="00C73849" w:rsidRDefault="00957F89" w:rsidP="005D3932">
      <w:pPr>
        <w:spacing w:before="2"/>
        <w:rPr>
          <w:rFonts w:ascii="Times New Roman" w:eastAsia="Times New Roman" w:hAnsi="Times New Roman" w:cs="Times New Roman"/>
        </w:rPr>
      </w:pPr>
    </w:p>
    <w:p w14:paraId="4BE582D3" w14:textId="77777777" w:rsidR="00957F89" w:rsidRPr="00C73849" w:rsidRDefault="00D92D87" w:rsidP="005D3932">
      <w:pPr>
        <w:pStyle w:val="BodyText"/>
        <w:spacing w:line="223" w:lineRule="auto"/>
        <w:ind w:right="829"/>
      </w:pPr>
      <w:r w:rsidRPr="00C73849">
        <w:t>It is concluded that, under the conditions of this Comet assay, the mixture of 44.6 mg/ml</w:t>
      </w:r>
      <w:r w:rsidRPr="00C73849">
        <w:rPr>
          <w:w w:val="99"/>
        </w:rPr>
        <w:t xml:space="preserve"> </w:t>
      </w:r>
      <w:r w:rsidRPr="00C73849">
        <w:t>[1-</w:t>
      </w:r>
      <w:r w:rsidRPr="00C73849">
        <w:rPr>
          <w:position w:val="11"/>
          <w:sz w:val="16"/>
        </w:rPr>
        <w:t>13</w:t>
      </w:r>
      <w:r w:rsidRPr="00C73849">
        <w:t>C]pyruvic acid and 0.85 mg/ml AH111501 sodium salt dissolved in TRIS/EDTA</w:t>
      </w:r>
      <w:r w:rsidRPr="00C73849">
        <w:rPr>
          <w:w w:val="99"/>
        </w:rPr>
        <w:t xml:space="preserve"> </w:t>
      </w:r>
      <w:r w:rsidRPr="00C73849">
        <w:t>dissolution medium did not induce DNA damage in the blood of rats treated with up to</w:t>
      </w:r>
      <w:r w:rsidR="001E1911">
        <w:t xml:space="preserve"> </w:t>
      </w:r>
      <w:r w:rsidRPr="00C73849">
        <w:t xml:space="preserve">1784 mg pyruvate/kg </w:t>
      </w:r>
      <w:proofErr w:type="spellStart"/>
      <w:r w:rsidRPr="00C73849">
        <w:t>bw</w:t>
      </w:r>
      <w:proofErr w:type="spellEnd"/>
      <w:r w:rsidRPr="00C73849">
        <w:t xml:space="preserve">/day and 34 mg/kg </w:t>
      </w:r>
      <w:proofErr w:type="spellStart"/>
      <w:r w:rsidRPr="00C73849">
        <w:t>bw</w:t>
      </w:r>
      <w:proofErr w:type="spellEnd"/>
      <w:r w:rsidRPr="00C73849">
        <w:t>/day AH111501 on two consecutive days, when</w:t>
      </w:r>
      <w:r w:rsidRPr="00C73849">
        <w:rPr>
          <w:w w:val="99"/>
        </w:rPr>
        <w:t xml:space="preserve"> </w:t>
      </w:r>
      <w:r w:rsidRPr="00C73849">
        <w:t>analyzed 3 h after the final dose administration.</w:t>
      </w:r>
    </w:p>
    <w:p w14:paraId="3ED8AA79" w14:textId="77777777" w:rsidR="00957F89" w:rsidRPr="00C73849" w:rsidRDefault="00957F89" w:rsidP="005D3932">
      <w:pPr>
        <w:rPr>
          <w:rFonts w:ascii="Times New Roman" w:eastAsia="Times New Roman" w:hAnsi="Times New Roman" w:cs="Times New Roman"/>
          <w:sz w:val="24"/>
          <w:szCs w:val="24"/>
        </w:rPr>
      </w:pPr>
    </w:p>
    <w:p w14:paraId="1910CB49" w14:textId="77777777" w:rsidR="00957F89" w:rsidRPr="00C73849" w:rsidRDefault="00996230" w:rsidP="005A4B55">
      <w:pPr>
        <w:pStyle w:val="Heading4"/>
        <w:rPr>
          <w:rFonts w:eastAsia="Times New Roman" w:hAnsi="Times New Roman" w:cs="Times New Roman"/>
          <w:szCs w:val="24"/>
        </w:rPr>
      </w:pPr>
      <w:r>
        <w:t>5.3.4.2</w:t>
      </w:r>
      <w:r>
        <w:tab/>
      </w:r>
      <w:r w:rsidR="00D92D87" w:rsidRPr="00C73849">
        <w:t>AH112623 (</w:t>
      </w:r>
      <w:proofErr w:type="spellStart"/>
      <w:r w:rsidR="00D92D87" w:rsidRPr="00C73849">
        <w:t>Parapyruvate</w:t>
      </w:r>
      <w:proofErr w:type="spellEnd"/>
      <w:r w:rsidR="00D92D87" w:rsidRPr="00C73849">
        <w:t>)</w:t>
      </w:r>
    </w:p>
    <w:p w14:paraId="34537581" w14:textId="77777777" w:rsidR="00957F89" w:rsidRPr="00C73849" w:rsidRDefault="00996230" w:rsidP="005A4B55">
      <w:pPr>
        <w:pStyle w:val="Heading5"/>
        <w:rPr>
          <w:rFonts w:eastAsia="Times New Roman" w:hAnsi="Times New Roman" w:cs="Times New Roman"/>
          <w:szCs w:val="24"/>
        </w:rPr>
      </w:pPr>
      <w:r>
        <w:t>5.3.4.2.1</w:t>
      </w:r>
      <w:r>
        <w:tab/>
      </w:r>
      <w:r w:rsidR="00D92D87" w:rsidRPr="00C73849">
        <w:t xml:space="preserve">Covance study number: 2570/5 (GE study number: B101042) </w:t>
      </w:r>
      <w:proofErr w:type="spellStart"/>
      <w:r w:rsidR="00D92D87" w:rsidRPr="00C73849">
        <w:t>Parapyruvate</w:t>
      </w:r>
      <w:proofErr w:type="spellEnd"/>
      <w:r w:rsidR="00D92D87" w:rsidRPr="00C73849">
        <w:t xml:space="preserve">: Reverse mutation in five histidine-requiring strains of </w:t>
      </w:r>
      <w:r w:rsidR="00D92D87" w:rsidRPr="00C73849">
        <w:rPr>
          <w:i/>
        </w:rPr>
        <w:t xml:space="preserve">Salmonella typhimurium </w:t>
      </w:r>
      <w:r w:rsidR="00D92D87" w:rsidRPr="00C73849">
        <w:t>(GLP)</w:t>
      </w:r>
    </w:p>
    <w:p w14:paraId="00CFA25F" w14:textId="77777777" w:rsidR="00957F89" w:rsidRPr="00C73849" w:rsidRDefault="00957F89" w:rsidP="005D3932">
      <w:pPr>
        <w:spacing w:before="5"/>
        <w:rPr>
          <w:rFonts w:ascii="Times New Roman" w:eastAsia="Times New Roman" w:hAnsi="Times New Roman" w:cs="Times New Roman"/>
          <w:b/>
          <w:bCs/>
          <w:sz w:val="20"/>
          <w:szCs w:val="20"/>
        </w:rPr>
      </w:pPr>
    </w:p>
    <w:p w14:paraId="3894B515" w14:textId="77777777" w:rsidR="00957F89" w:rsidRPr="00C73849" w:rsidRDefault="00D92D87" w:rsidP="005D3932">
      <w:pPr>
        <w:pStyle w:val="BodyText"/>
        <w:ind w:right="151"/>
      </w:pPr>
      <w:proofErr w:type="spellStart"/>
      <w:r w:rsidRPr="00C73849">
        <w:t>Parapyruvate</w:t>
      </w:r>
      <w:proofErr w:type="spellEnd"/>
      <w:r w:rsidRPr="00C73849">
        <w:t xml:space="preserve"> was assayed for mutagenicity in five histidine-requiring strains (TA98, TA100, TA1535, TA1537 and TA102) of </w:t>
      </w:r>
      <w:r w:rsidRPr="00C73849">
        <w:rPr>
          <w:i/>
        </w:rPr>
        <w:t>Salmonella typhimurium</w:t>
      </w:r>
      <w:r w:rsidRPr="00C73849">
        <w:t>, both in the absence and in the</w:t>
      </w:r>
      <w:r w:rsidRPr="00C73849">
        <w:rPr>
          <w:w w:val="99"/>
        </w:rPr>
        <w:t xml:space="preserve"> </w:t>
      </w:r>
      <w:r w:rsidRPr="00C73849">
        <w:t>presence of S-9 (rat liver metabolic activation system), in two separate experiments.</w:t>
      </w:r>
    </w:p>
    <w:p w14:paraId="3BF3C4AA" w14:textId="77777777" w:rsidR="00957F89" w:rsidRPr="00C73849" w:rsidRDefault="00D92D87" w:rsidP="005D3932">
      <w:pPr>
        <w:pStyle w:val="BodyText"/>
        <w:ind w:right="151"/>
      </w:pPr>
      <w:proofErr w:type="spellStart"/>
      <w:r w:rsidRPr="00C73849">
        <w:t>Parapyruvate</w:t>
      </w:r>
      <w:proofErr w:type="spellEnd"/>
      <w:r w:rsidRPr="00C73849">
        <w:t xml:space="preserve"> was dissolved in sterile water to give final nominal amounts of </w:t>
      </w:r>
      <w:proofErr w:type="spellStart"/>
      <w:r w:rsidRPr="00C73849">
        <w:t>parapyruvate</w:t>
      </w:r>
      <w:proofErr w:type="spellEnd"/>
      <w:r w:rsidRPr="00C73849">
        <w:rPr>
          <w:w w:val="99"/>
        </w:rPr>
        <w:t xml:space="preserve"> </w:t>
      </w:r>
      <w:r w:rsidRPr="00C73849">
        <w:t>ranging from 1.6 to 5000 µg/plate. Negative and positive controls were included in the assay.</w:t>
      </w:r>
    </w:p>
    <w:p w14:paraId="11CC917E" w14:textId="77777777" w:rsidR="00957F89" w:rsidRPr="00C73849" w:rsidRDefault="00D92D87" w:rsidP="005D3932">
      <w:pPr>
        <w:pStyle w:val="BodyText"/>
        <w:spacing w:before="69"/>
        <w:ind w:right="264"/>
      </w:pPr>
      <w:r w:rsidRPr="00C73849">
        <w:t xml:space="preserve">Test item analysis demonstrated an actual concentration of 44.9 mg/ml </w:t>
      </w:r>
      <w:proofErr w:type="spellStart"/>
      <w:r w:rsidRPr="00C73849">
        <w:t>parapyruvate</w:t>
      </w:r>
      <w:proofErr w:type="spellEnd"/>
      <w:r w:rsidRPr="00C73849">
        <w:t xml:space="preserve"> in the</w:t>
      </w:r>
      <w:r w:rsidRPr="00C73849">
        <w:rPr>
          <w:w w:val="99"/>
        </w:rPr>
        <w:t xml:space="preserve"> </w:t>
      </w:r>
      <w:r w:rsidRPr="00C73849">
        <w:t>stock test article (90% of target). No statistically significant concentration-related and reproducible increases in numbers of revertant colonies were observed in any strain following</w:t>
      </w:r>
      <w:r w:rsidRPr="00C73849">
        <w:rPr>
          <w:w w:val="99"/>
        </w:rPr>
        <w:t xml:space="preserve"> </w:t>
      </w:r>
      <w:r w:rsidRPr="00C73849">
        <w:t>treatments with test item in the absence or presence of S-9.</w:t>
      </w:r>
      <w:r w:rsidR="001E1911">
        <w:t xml:space="preserve"> </w:t>
      </w:r>
      <w:r w:rsidRPr="00C73849">
        <w:t xml:space="preserve">It was concluded that </w:t>
      </w:r>
      <w:proofErr w:type="spellStart"/>
      <w:r w:rsidRPr="00C73849">
        <w:t>parapyruvate</w:t>
      </w:r>
      <w:proofErr w:type="spellEnd"/>
      <w:r w:rsidRPr="00C73849">
        <w:t xml:space="preserve"> did not induce mutations in five histidine-requiring strains (TA98, TA100, TA1535, TA1537 and TA102) of </w:t>
      </w:r>
      <w:r w:rsidRPr="00C73849">
        <w:rPr>
          <w:rFonts w:cs="Times New Roman"/>
          <w:i/>
        </w:rPr>
        <w:t xml:space="preserve">Salmonella typhimurium </w:t>
      </w:r>
      <w:r w:rsidRPr="00C73849">
        <w:t xml:space="preserve">when tested under the conditions of this study. These conditions included treatments at concentrations up to 4490 </w:t>
      </w:r>
      <w:r w:rsidRPr="00C73849">
        <w:rPr>
          <w:rFonts w:ascii="Symbol" w:eastAsia="Symbol" w:hAnsi="Symbol" w:cs="Symbol"/>
        </w:rPr>
        <w:t></w:t>
      </w:r>
      <w:r w:rsidRPr="00C73849">
        <w:t>g/plate, in the</w:t>
      </w:r>
      <w:r w:rsidRPr="00C73849">
        <w:rPr>
          <w:w w:val="99"/>
        </w:rPr>
        <w:t xml:space="preserve"> </w:t>
      </w:r>
      <w:r w:rsidRPr="00C73849">
        <w:t>absence and in the presence of S-9.</w:t>
      </w:r>
    </w:p>
    <w:p w14:paraId="6FF6392E" w14:textId="77777777" w:rsidR="00957F89" w:rsidRPr="00C73849" w:rsidRDefault="00957F89" w:rsidP="005D3932">
      <w:pPr>
        <w:spacing w:before="3"/>
        <w:rPr>
          <w:rFonts w:ascii="Times New Roman" w:eastAsia="Times New Roman" w:hAnsi="Times New Roman" w:cs="Times New Roman"/>
          <w:sz w:val="21"/>
          <w:szCs w:val="21"/>
        </w:rPr>
      </w:pPr>
    </w:p>
    <w:p w14:paraId="53FC9292" w14:textId="77777777" w:rsidR="00957F89" w:rsidRPr="00692B6E" w:rsidRDefault="00692B6E" w:rsidP="005A4B55">
      <w:pPr>
        <w:pStyle w:val="Heading5"/>
        <w:rPr>
          <w:rFonts w:eastAsia="Times New Roman" w:hAnsi="Times New Roman" w:cs="Times New Roman"/>
          <w:szCs w:val="24"/>
        </w:rPr>
      </w:pPr>
      <w:r>
        <w:lastRenderedPageBreak/>
        <w:t>5.3.4.2.2</w:t>
      </w:r>
      <w:r>
        <w:tab/>
      </w:r>
      <w:r w:rsidR="00D92D87" w:rsidRPr="00692B6E">
        <w:t xml:space="preserve">Covance study number: 2570/6 (GE study number: B101041) </w:t>
      </w:r>
      <w:proofErr w:type="spellStart"/>
      <w:r w:rsidR="00D92D87" w:rsidRPr="00692B6E">
        <w:t>Parapyruvate</w:t>
      </w:r>
      <w:proofErr w:type="spellEnd"/>
      <w:r w:rsidR="00D92D87" w:rsidRPr="00692B6E">
        <w:t>: Mutation at the Thymidine Kinase (</w:t>
      </w:r>
      <w:proofErr w:type="spellStart"/>
      <w:r w:rsidR="00D92D87" w:rsidRPr="00692B6E">
        <w:rPr>
          <w:i/>
        </w:rPr>
        <w:t>tk</w:t>
      </w:r>
      <w:proofErr w:type="spellEnd"/>
      <w:r w:rsidR="00D92D87" w:rsidRPr="00692B6E">
        <w:t>) Locus of Mouse</w:t>
      </w:r>
      <w:r w:rsidRPr="00692B6E">
        <w:t xml:space="preserve"> </w:t>
      </w:r>
      <w:r w:rsidR="00D92D87" w:rsidRPr="00692B6E">
        <w:t xml:space="preserve">Lymphoma L5178Y Cells (MLA) using the </w:t>
      </w:r>
      <w:proofErr w:type="spellStart"/>
      <w:r w:rsidR="00D92D87" w:rsidRPr="00692B6E">
        <w:t>Microtitre</w:t>
      </w:r>
      <w:proofErr w:type="spellEnd"/>
      <w:r w:rsidR="00D92D87" w:rsidRPr="00692B6E">
        <w:rPr>
          <w:position w:val="11"/>
          <w:sz w:val="16"/>
        </w:rPr>
        <w:t xml:space="preserve">R </w:t>
      </w:r>
      <w:r w:rsidR="00D92D87" w:rsidRPr="00692B6E">
        <w:t>Fluctuation Technique (GLP)</w:t>
      </w:r>
    </w:p>
    <w:p w14:paraId="1B8FC46E" w14:textId="77777777" w:rsidR="00957F89" w:rsidRPr="00C73849" w:rsidRDefault="00957F89" w:rsidP="00203787">
      <w:pPr>
        <w:keepNext/>
        <w:spacing w:before="2"/>
        <w:rPr>
          <w:rFonts w:ascii="Times New Roman" w:eastAsia="Times New Roman" w:hAnsi="Times New Roman" w:cs="Times New Roman"/>
          <w:b/>
          <w:bCs/>
          <w:sz w:val="20"/>
          <w:szCs w:val="20"/>
        </w:rPr>
      </w:pPr>
    </w:p>
    <w:p w14:paraId="756F7E2F" w14:textId="77777777" w:rsidR="00957F89" w:rsidRPr="00C73849" w:rsidRDefault="00D92D87" w:rsidP="005D3932">
      <w:pPr>
        <w:pStyle w:val="BodyText"/>
        <w:ind w:right="382"/>
      </w:pPr>
      <w:proofErr w:type="spellStart"/>
      <w:r w:rsidRPr="00C73849">
        <w:t>Parapyruvate</w:t>
      </w:r>
      <w:proofErr w:type="spellEnd"/>
      <w:r w:rsidRPr="00C73849">
        <w:t xml:space="preserve"> was assayed for its ability to induce mutation at the </w:t>
      </w:r>
      <w:proofErr w:type="spellStart"/>
      <w:r w:rsidRPr="00C73849">
        <w:rPr>
          <w:i/>
        </w:rPr>
        <w:t>tk</w:t>
      </w:r>
      <w:proofErr w:type="spellEnd"/>
      <w:r w:rsidRPr="00C73849">
        <w:rPr>
          <w:i/>
        </w:rPr>
        <w:t xml:space="preserve"> </w:t>
      </w:r>
      <w:r w:rsidRPr="00C73849">
        <w:t>locus in mouse lymphoma</w:t>
      </w:r>
      <w:r w:rsidRPr="00C73849">
        <w:rPr>
          <w:w w:val="99"/>
        </w:rPr>
        <w:t xml:space="preserve"> </w:t>
      </w:r>
      <w:r w:rsidRPr="00C73849">
        <w:t xml:space="preserve">cells (rendering the cells resistant to 5 </w:t>
      </w:r>
      <w:proofErr w:type="spellStart"/>
      <w:r w:rsidRPr="00C73849">
        <w:t>trifluorothymidine</w:t>
      </w:r>
      <w:proofErr w:type="spellEnd"/>
      <w:r w:rsidRPr="00C73849">
        <w:t xml:space="preserve"> [TFT] toxicity) using a fluctuation</w:t>
      </w:r>
      <w:r w:rsidRPr="00C73849">
        <w:rPr>
          <w:w w:val="99"/>
        </w:rPr>
        <w:t xml:space="preserve"> </w:t>
      </w:r>
      <w:r w:rsidRPr="00C73849">
        <w:t>protocol. The study consisted of a cytotoxicity range-finding experiment followed by two independent experiments, each conducted in the absence and presence of S-9 (rat liver</w:t>
      </w:r>
      <w:r w:rsidRPr="00C73849">
        <w:rPr>
          <w:w w:val="99"/>
        </w:rPr>
        <w:t xml:space="preserve"> </w:t>
      </w:r>
      <w:r w:rsidRPr="00C73849">
        <w:t>metabolic activation system) using nominal treatment concentrations ranging from 156 to</w:t>
      </w:r>
      <w:r w:rsidR="001E1911">
        <w:rPr>
          <w:w w:val="99"/>
        </w:rPr>
        <w:t xml:space="preserve"> </w:t>
      </w:r>
      <w:r w:rsidRPr="00C73849">
        <w:t>5000 µg/ml. A 3 h treatment incubation period was used for all experiments performed in the</w:t>
      </w:r>
      <w:r w:rsidRPr="00C73849">
        <w:rPr>
          <w:w w:val="99"/>
        </w:rPr>
        <w:t xml:space="preserve"> </w:t>
      </w:r>
      <w:r w:rsidRPr="00C73849">
        <w:t>presence of S-9. In the absence of S-9, the range finder was performed using both a 3 h and a</w:t>
      </w:r>
      <w:r w:rsidRPr="00C73849">
        <w:rPr>
          <w:w w:val="99"/>
        </w:rPr>
        <w:t xml:space="preserve"> </w:t>
      </w:r>
      <w:r w:rsidRPr="00C73849">
        <w:t>24 h treatment incubation, Experiment 1 was performed using a 3 h treatment incubation and</w:t>
      </w:r>
      <w:r w:rsidRPr="00C73849">
        <w:rPr>
          <w:w w:val="99"/>
        </w:rPr>
        <w:t xml:space="preserve"> </w:t>
      </w:r>
      <w:r w:rsidRPr="00C73849">
        <w:t>Experiment 2 was performed using a 24 h treatment incubation.</w:t>
      </w:r>
    </w:p>
    <w:p w14:paraId="5148C330" w14:textId="77777777" w:rsidR="00957F89" w:rsidRPr="00C73849" w:rsidRDefault="00957F89" w:rsidP="005D3932">
      <w:pPr>
        <w:spacing w:before="10"/>
        <w:rPr>
          <w:rFonts w:ascii="Times New Roman" w:eastAsia="Times New Roman" w:hAnsi="Times New Roman" w:cs="Times New Roman"/>
          <w:sz w:val="20"/>
          <w:szCs w:val="20"/>
        </w:rPr>
      </w:pPr>
    </w:p>
    <w:p w14:paraId="6F74FADA" w14:textId="77777777" w:rsidR="00957F89" w:rsidRPr="00C73849" w:rsidRDefault="00D92D87" w:rsidP="005D3932">
      <w:pPr>
        <w:pStyle w:val="BodyText"/>
        <w:ind w:right="293"/>
      </w:pPr>
      <w:r w:rsidRPr="00C73849">
        <w:t xml:space="preserve">Test item analysis demonstrated an actual concentration of 45.6 mg/ml </w:t>
      </w:r>
      <w:proofErr w:type="spellStart"/>
      <w:r w:rsidRPr="00C73849">
        <w:t>parapyruvate</w:t>
      </w:r>
      <w:proofErr w:type="spellEnd"/>
      <w:r w:rsidRPr="00C73849">
        <w:t xml:space="preserve"> in the</w:t>
      </w:r>
      <w:r w:rsidRPr="00C73849">
        <w:rPr>
          <w:w w:val="99"/>
        </w:rPr>
        <w:t xml:space="preserve"> </w:t>
      </w:r>
      <w:r w:rsidRPr="00C73849">
        <w:t>stock test article (91% of target).</w:t>
      </w:r>
    </w:p>
    <w:p w14:paraId="75C8650B" w14:textId="77777777" w:rsidR="00957F89" w:rsidRPr="00C73849" w:rsidRDefault="00957F89" w:rsidP="005D3932">
      <w:pPr>
        <w:spacing w:before="10"/>
        <w:rPr>
          <w:rFonts w:ascii="Times New Roman" w:eastAsia="Times New Roman" w:hAnsi="Times New Roman" w:cs="Times New Roman"/>
          <w:sz w:val="20"/>
          <w:szCs w:val="20"/>
        </w:rPr>
      </w:pPr>
    </w:p>
    <w:p w14:paraId="23D94DE9" w14:textId="77777777" w:rsidR="00957F89" w:rsidRPr="00C73849" w:rsidRDefault="00D92D87" w:rsidP="005D3932">
      <w:pPr>
        <w:pStyle w:val="BodyText"/>
        <w:ind w:right="466"/>
      </w:pPr>
      <w:r w:rsidRPr="00C73849">
        <w:t>In Experiment 1 and 2 (3 h treatments) a weak linear trend was observed in the absence and</w:t>
      </w:r>
      <w:r w:rsidRPr="00C73849">
        <w:rPr>
          <w:w w:val="99"/>
        </w:rPr>
        <w:t xml:space="preserve"> </w:t>
      </w:r>
      <w:r w:rsidRPr="00C73849">
        <w:t>presence of S-9. However, no marked increases in mutant frequency were observed with any 3 h treated cultures and therefore this result was not considered biologically significant.</w:t>
      </w:r>
    </w:p>
    <w:p w14:paraId="628EA14F" w14:textId="77777777" w:rsidR="00957F89" w:rsidRPr="00C73849" w:rsidRDefault="00957F89" w:rsidP="005D3932">
      <w:pPr>
        <w:spacing w:before="10"/>
        <w:rPr>
          <w:rFonts w:ascii="Times New Roman" w:eastAsia="Times New Roman" w:hAnsi="Times New Roman" w:cs="Times New Roman"/>
          <w:sz w:val="20"/>
          <w:szCs w:val="20"/>
        </w:rPr>
      </w:pPr>
    </w:p>
    <w:p w14:paraId="14CF4059" w14:textId="77777777" w:rsidR="00957F89" w:rsidRPr="00C73849" w:rsidRDefault="00D92D87" w:rsidP="005D3932">
      <w:pPr>
        <w:pStyle w:val="BodyText"/>
        <w:ind w:right="311"/>
      </w:pPr>
      <w:r w:rsidRPr="00C73849">
        <w:t>In Experiment 2 (24 h treatment without S-9), significant increases in mutant frequency were</w:t>
      </w:r>
      <w:r w:rsidRPr="00C73849">
        <w:rPr>
          <w:w w:val="99"/>
        </w:rPr>
        <w:t xml:space="preserve"> </w:t>
      </w:r>
      <w:r w:rsidRPr="00C73849">
        <w:t>observed at nominal concentrations of 3500 and 4000 µg/ml (maximum concentration limited</w:t>
      </w:r>
      <w:r w:rsidRPr="00C73849">
        <w:rPr>
          <w:w w:val="99"/>
        </w:rPr>
        <w:t xml:space="preserve"> </w:t>
      </w:r>
      <w:r w:rsidRPr="00C73849">
        <w:t>by toxicity). These increases also showed a significant linear trend. It was noted that these</w:t>
      </w:r>
      <w:r w:rsidRPr="00C73849">
        <w:rPr>
          <w:w w:val="99"/>
        </w:rPr>
        <w:t xml:space="preserve"> </w:t>
      </w:r>
      <w:r w:rsidRPr="00C73849">
        <w:t>increases were observed for treatment cultures where increases in osmolality of 63 and</w:t>
      </w:r>
      <w:r w:rsidR="008265DD">
        <w:t xml:space="preserve"> </w:t>
      </w:r>
      <w:r w:rsidRPr="00C73849">
        <w:t xml:space="preserve">86 </w:t>
      </w:r>
      <w:proofErr w:type="spellStart"/>
      <w:r w:rsidRPr="00C73849">
        <w:t>mOsm</w:t>
      </w:r>
      <w:proofErr w:type="spellEnd"/>
      <w:r w:rsidRPr="00C73849">
        <w:t>/kg above the concurrent negative control occurred. It is known that changes in</w:t>
      </w:r>
      <w:r w:rsidRPr="00C73849">
        <w:rPr>
          <w:w w:val="99"/>
        </w:rPr>
        <w:t xml:space="preserve"> </w:t>
      </w:r>
      <w:r w:rsidRPr="00C73849">
        <w:t xml:space="preserve">osmolality of more than 50 </w:t>
      </w:r>
      <w:proofErr w:type="spellStart"/>
      <w:r w:rsidRPr="00C73849">
        <w:t>mOsm</w:t>
      </w:r>
      <w:proofErr w:type="spellEnd"/>
      <w:r w:rsidRPr="00C73849">
        <w:t>/kg can be responsible for increases in mutant frequencies, and from these study data it cannot be established whether these results are due to true</w:t>
      </w:r>
      <w:r w:rsidRPr="00C73849">
        <w:rPr>
          <w:w w:val="99"/>
        </w:rPr>
        <w:t xml:space="preserve"> </w:t>
      </w:r>
      <w:r w:rsidRPr="00C73849">
        <w:t>mutation induction or epigenetic effects of increases in osmolality.</w:t>
      </w:r>
    </w:p>
    <w:p w14:paraId="6DE45857" w14:textId="77777777" w:rsidR="00957F89" w:rsidRPr="00C73849" w:rsidRDefault="00957F89" w:rsidP="005D3932">
      <w:pPr>
        <w:spacing w:before="10"/>
        <w:rPr>
          <w:rFonts w:ascii="Times New Roman" w:eastAsia="Times New Roman" w:hAnsi="Times New Roman" w:cs="Times New Roman"/>
          <w:sz w:val="20"/>
          <w:szCs w:val="20"/>
        </w:rPr>
      </w:pPr>
    </w:p>
    <w:p w14:paraId="6C1E02C8" w14:textId="77777777" w:rsidR="00957F89" w:rsidRPr="00C73849" w:rsidRDefault="00D92D87" w:rsidP="005D3932">
      <w:pPr>
        <w:pStyle w:val="BodyText"/>
        <w:ind w:right="311"/>
      </w:pPr>
      <w:r w:rsidRPr="00C73849">
        <w:t xml:space="preserve">It was concluded that </w:t>
      </w:r>
      <w:proofErr w:type="spellStart"/>
      <w:r w:rsidRPr="00C73849">
        <w:t>parapyruvate</w:t>
      </w:r>
      <w:proofErr w:type="spellEnd"/>
      <w:r w:rsidRPr="00C73849">
        <w:t xml:space="preserve"> did not induce mutation at the </w:t>
      </w:r>
      <w:proofErr w:type="spellStart"/>
      <w:r w:rsidRPr="00C73849">
        <w:t>tk</w:t>
      </w:r>
      <w:proofErr w:type="spellEnd"/>
      <w:r w:rsidRPr="00C73849">
        <w:t xml:space="preserve"> locus of L5178Y mouse</w:t>
      </w:r>
      <w:r w:rsidRPr="00C73849">
        <w:rPr>
          <w:w w:val="99"/>
        </w:rPr>
        <w:t xml:space="preserve"> </w:t>
      </w:r>
      <w:r w:rsidRPr="00C73849">
        <w:t>lymphoma cells when tested under the 3 h treatment conditions employed in this study. These</w:t>
      </w:r>
      <w:r w:rsidRPr="00C73849">
        <w:rPr>
          <w:w w:val="99"/>
        </w:rPr>
        <w:t xml:space="preserve"> </w:t>
      </w:r>
      <w:r w:rsidRPr="00C73849">
        <w:t>conditions included treatments up to a concentration of 4550 µg/ml in two independent</w:t>
      </w:r>
      <w:r w:rsidRPr="00C73849">
        <w:rPr>
          <w:w w:val="99"/>
        </w:rPr>
        <w:t xml:space="preserve"> </w:t>
      </w:r>
      <w:r w:rsidRPr="00C73849">
        <w:t xml:space="preserve">experiments, in the absence and presence of S-9. However, it was concluded that </w:t>
      </w:r>
      <w:proofErr w:type="spellStart"/>
      <w:r w:rsidRPr="00C73849">
        <w:t>parapyruvate</w:t>
      </w:r>
      <w:proofErr w:type="spellEnd"/>
      <w:r w:rsidRPr="00C73849">
        <w:rPr>
          <w:w w:val="99"/>
        </w:rPr>
        <w:t xml:space="preserve"> </w:t>
      </w:r>
      <w:r w:rsidRPr="00C73849">
        <w:t xml:space="preserve">may induce mutation at the </w:t>
      </w:r>
      <w:proofErr w:type="spellStart"/>
      <w:r w:rsidRPr="00C73849">
        <w:rPr>
          <w:i/>
        </w:rPr>
        <w:t>tk</w:t>
      </w:r>
      <w:proofErr w:type="spellEnd"/>
      <w:r w:rsidRPr="00C73849">
        <w:rPr>
          <w:i/>
        </w:rPr>
        <w:t xml:space="preserve"> </w:t>
      </w:r>
      <w:r w:rsidRPr="00C73849">
        <w:t>locus of L5178Y mouse lymphoma cells when tested under the</w:t>
      </w:r>
      <w:r w:rsidRPr="00C73849">
        <w:rPr>
          <w:w w:val="99"/>
        </w:rPr>
        <w:t xml:space="preserve"> </w:t>
      </w:r>
      <w:r w:rsidRPr="00C73849">
        <w:t>24 h treatment conditions in the absence of S-9 up to toxic concentrations (3640 µg/ml). As increases in mutant frequency were only noted at concentrations where marked changes in</w:t>
      </w:r>
      <w:r w:rsidR="008265DD">
        <w:t xml:space="preserve"> </w:t>
      </w:r>
      <w:r w:rsidRPr="00C73849">
        <w:t>osmolality occurred, it cannot be determined from these data whether the results are due to true</w:t>
      </w:r>
      <w:r w:rsidRPr="00C73849">
        <w:rPr>
          <w:w w:val="99"/>
        </w:rPr>
        <w:t xml:space="preserve"> </w:t>
      </w:r>
      <w:r w:rsidRPr="00C73849">
        <w:t>mutation induction or epigenetic effects of increases in osmolality.</w:t>
      </w:r>
    </w:p>
    <w:p w14:paraId="565D9230" w14:textId="77777777" w:rsidR="00957F89" w:rsidRPr="00C73849" w:rsidRDefault="00957F89" w:rsidP="005D3932">
      <w:pPr>
        <w:spacing w:before="8"/>
        <w:rPr>
          <w:rFonts w:ascii="Times New Roman" w:eastAsia="Times New Roman" w:hAnsi="Times New Roman" w:cs="Times New Roman"/>
          <w:sz w:val="31"/>
          <w:szCs w:val="31"/>
        </w:rPr>
      </w:pPr>
    </w:p>
    <w:p w14:paraId="5EBE2C0E" w14:textId="77777777" w:rsidR="00957F89" w:rsidRPr="00C73849" w:rsidRDefault="005811C4" w:rsidP="005A4B55">
      <w:pPr>
        <w:pStyle w:val="Heading4"/>
        <w:rPr>
          <w:rFonts w:eastAsia="Times New Roman" w:hAnsi="Times New Roman" w:cs="Times New Roman"/>
          <w:szCs w:val="24"/>
        </w:rPr>
      </w:pPr>
      <w:r>
        <w:t>5.3.4.3</w:t>
      </w:r>
      <w:r>
        <w:tab/>
      </w:r>
      <w:r w:rsidR="00D92D87" w:rsidRPr="00C73849">
        <w:t>AH112615 (Reaction-product between pyruvic acid and TRIS)</w:t>
      </w:r>
    </w:p>
    <w:p w14:paraId="40ACEF26" w14:textId="77777777" w:rsidR="00957F89" w:rsidRPr="00C73849" w:rsidRDefault="005811C4" w:rsidP="005A4B55">
      <w:pPr>
        <w:pStyle w:val="Heading5"/>
        <w:rPr>
          <w:rFonts w:ascii="Times New Roman" w:eastAsia="Times New Roman" w:hAnsi="Times New Roman" w:cs="Times New Roman"/>
          <w:szCs w:val="24"/>
        </w:rPr>
      </w:pPr>
      <w:r>
        <w:t>5.3.4.3.1</w:t>
      </w:r>
      <w:r>
        <w:tab/>
      </w:r>
      <w:r w:rsidR="00D92D87" w:rsidRPr="00C73849">
        <w:t>Covance study number: 2570/7 (GE study number: B101047)</w:t>
      </w:r>
      <w:r>
        <w:t xml:space="preserve">. </w:t>
      </w:r>
      <w:r w:rsidR="00D92D87" w:rsidRPr="00C73849">
        <w:rPr>
          <w:rFonts w:ascii="Times New Roman"/>
        </w:rPr>
        <w:t xml:space="preserve">AH-112615: Reverse mutation in five histidine-requiring strains of </w:t>
      </w:r>
      <w:r w:rsidR="00D92D87" w:rsidRPr="00C73849">
        <w:rPr>
          <w:rFonts w:ascii="Times New Roman"/>
          <w:i/>
        </w:rPr>
        <w:t xml:space="preserve">Salmonella typhimurium </w:t>
      </w:r>
      <w:r w:rsidR="00D92D87" w:rsidRPr="00C73849">
        <w:rPr>
          <w:rFonts w:ascii="Times New Roman"/>
        </w:rPr>
        <w:t>(GLP)</w:t>
      </w:r>
    </w:p>
    <w:p w14:paraId="455F6B62" w14:textId="77777777" w:rsidR="00957F89" w:rsidRPr="00C73849" w:rsidRDefault="00957F89" w:rsidP="005D3932">
      <w:pPr>
        <w:spacing w:before="5"/>
        <w:rPr>
          <w:rFonts w:ascii="Times New Roman" w:eastAsia="Times New Roman" w:hAnsi="Times New Roman" w:cs="Times New Roman"/>
          <w:b/>
          <w:bCs/>
          <w:sz w:val="20"/>
          <w:szCs w:val="20"/>
        </w:rPr>
      </w:pPr>
    </w:p>
    <w:p w14:paraId="78A75BA0" w14:textId="77777777" w:rsidR="00957F89" w:rsidRPr="00C73849" w:rsidRDefault="00D92D87" w:rsidP="005D3932">
      <w:pPr>
        <w:pStyle w:val="BodyText"/>
        <w:ind w:right="151"/>
      </w:pPr>
      <w:r w:rsidRPr="00C73849">
        <w:t xml:space="preserve">AH112615 was assayed for mutagenicity in five histidine-requiring strains (TA98, TA100, TA1535, TA1537 and TA102) of </w:t>
      </w:r>
      <w:r w:rsidRPr="00C73849">
        <w:rPr>
          <w:i/>
        </w:rPr>
        <w:t>Salmonella typhimurium</w:t>
      </w:r>
      <w:r w:rsidRPr="00C73849">
        <w:t>, both in the absence and in the</w:t>
      </w:r>
      <w:r w:rsidRPr="00C73849">
        <w:rPr>
          <w:w w:val="99"/>
        </w:rPr>
        <w:t xml:space="preserve"> </w:t>
      </w:r>
      <w:r w:rsidRPr="00C73849">
        <w:t>presence of S-9 (rat liver metabolic activation system), in two separate experiments.</w:t>
      </w:r>
    </w:p>
    <w:p w14:paraId="4772FED6" w14:textId="77777777" w:rsidR="00957F89" w:rsidRPr="00C73849" w:rsidRDefault="00D92D87" w:rsidP="005D3932">
      <w:pPr>
        <w:pStyle w:val="BodyText"/>
        <w:ind w:right="151"/>
      </w:pPr>
      <w:r w:rsidRPr="00C73849">
        <w:t>AH112615 was dissolved in sterile water and nominal amounts of AH112615 ranging from 1.6 to 5000 µg/plate were tested. Negative and positive controls were included in the assay.</w:t>
      </w:r>
    </w:p>
    <w:p w14:paraId="21A73F5F" w14:textId="77777777" w:rsidR="00957F89" w:rsidRPr="00C73849" w:rsidRDefault="00957F89" w:rsidP="005D3932">
      <w:pPr>
        <w:spacing w:before="10"/>
        <w:rPr>
          <w:rFonts w:ascii="Times New Roman" w:eastAsia="Times New Roman" w:hAnsi="Times New Roman" w:cs="Times New Roman"/>
          <w:sz w:val="20"/>
          <w:szCs w:val="20"/>
        </w:rPr>
      </w:pPr>
    </w:p>
    <w:p w14:paraId="2836DB02" w14:textId="77777777" w:rsidR="00957F89" w:rsidRPr="00C73849" w:rsidRDefault="00D92D87" w:rsidP="005D3932">
      <w:pPr>
        <w:pStyle w:val="BodyText"/>
        <w:ind w:right="180"/>
      </w:pPr>
      <w:r w:rsidRPr="00C73849">
        <w:lastRenderedPageBreak/>
        <w:t>No statistically significant, concentration-related and reproducible increases in number of revertant colonies were observed following treatment of any strain in the absence or presence</w:t>
      </w:r>
      <w:r w:rsidR="001E1911">
        <w:rPr>
          <w:w w:val="99"/>
        </w:rPr>
        <w:t xml:space="preserve"> </w:t>
      </w:r>
      <w:r w:rsidRPr="00C73849">
        <w:t>of S-9. Therefore, this study did not provide any evidence of mutagenic activity of AH112615. It was concluded that AH112615 did not induce mutations in five histidine-requiring strains</w:t>
      </w:r>
      <w:r w:rsidRPr="00C73849">
        <w:rPr>
          <w:w w:val="99"/>
        </w:rPr>
        <w:t xml:space="preserve"> </w:t>
      </w:r>
      <w:r w:rsidRPr="00C73849">
        <w:t xml:space="preserve">(TA98, TA100, TA1535, TA1537 and TA102) of </w:t>
      </w:r>
      <w:r w:rsidRPr="00C73849">
        <w:rPr>
          <w:rFonts w:cs="Times New Roman"/>
          <w:i/>
        </w:rPr>
        <w:t xml:space="preserve">Salmonella typhimurium </w:t>
      </w:r>
      <w:r w:rsidRPr="00C73849">
        <w:t>when tested under the conditions of this study. These conditions included treatments at nominal amounts up to</w:t>
      </w:r>
      <w:r w:rsidRPr="00C73849">
        <w:rPr>
          <w:w w:val="99"/>
        </w:rPr>
        <w:t xml:space="preserve"> </w:t>
      </w:r>
      <w:r w:rsidRPr="00C73849">
        <w:t xml:space="preserve">5000 </w:t>
      </w:r>
      <w:r w:rsidRPr="00C73849">
        <w:rPr>
          <w:rFonts w:ascii="Symbol" w:eastAsia="Symbol" w:hAnsi="Symbol" w:cs="Symbol"/>
        </w:rPr>
        <w:t></w:t>
      </w:r>
      <w:r w:rsidRPr="00C73849">
        <w:t>g/plate, in the absence and in the presence of S-9.</w:t>
      </w:r>
    </w:p>
    <w:p w14:paraId="5B7C97BE" w14:textId="77777777" w:rsidR="00957F89" w:rsidRPr="00C73849" w:rsidRDefault="00957F89" w:rsidP="005D3932">
      <w:pPr>
        <w:rPr>
          <w:rFonts w:ascii="Times New Roman" w:eastAsia="Times New Roman" w:hAnsi="Times New Roman" w:cs="Times New Roman"/>
          <w:sz w:val="21"/>
          <w:szCs w:val="21"/>
        </w:rPr>
      </w:pPr>
    </w:p>
    <w:p w14:paraId="55D640D1" w14:textId="77777777" w:rsidR="00957F89" w:rsidRPr="002131A0" w:rsidRDefault="005811C4" w:rsidP="005A4B55">
      <w:pPr>
        <w:pStyle w:val="Heading5"/>
        <w:rPr>
          <w:rFonts w:eastAsia="Times New Roman" w:hAnsi="Times New Roman" w:cs="Times New Roman"/>
          <w:szCs w:val="24"/>
        </w:rPr>
      </w:pPr>
      <w:r>
        <w:t>5.3.4.3.3</w:t>
      </w:r>
      <w:r>
        <w:tab/>
      </w:r>
      <w:r w:rsidR="00D92D87" w:rsidRPr="005811C4">
        <w:t>Covance study number: 2570/8 (GE study number: B101048)</w:t>
      </w:r>
      <w:r w:rsidRPr="002131A0">
        <w:t xml:space="preserve">. </w:t>
      </w:r>
      <w:r w:rsidR="00D92D87" w:rsidRPr="005811C4">
        <w:t>AH-112615: Mutation at the Thymidine Kinase (</w:t>
      </w:r>
      <w:proofErr w:type="spellStart"/>
      <w:r w:rsidR="00D92D87" w:rsidRPr="002131A0">
        <w:rPr>
          <w:i/>
        </w:rPr>
        <w:t>tk</w:t>
      </w:r>
      <w:proofErr w:type="spellEnd"/>
      <w:r w:rsidR="00D92D87" w:rsidRPr="002131A0">
        <w:t>) Locus of Mouse</w:t>
      </w:r>
      <w:r w:rsidR="00D92D87" w:rsidRPr="002131A0">
        <w:rPr>
          <w:w w:val="99"/>
        </w:rPr>
        <w:t xml:space="preserve"> </w:t>
      </w:r>
      <w:r w:rsidR="00D92D87" w:rsidRPr="002131A0">
        <w:t xml:space="preserve">Lymphoma L5178Y Cells (MLA) using the </w:t>
      </w:r>
      <w:proofErr w:type="spellStart"/>
      <w:r w:rsidR="00D92D87" w:rsidRPr="002131A0">
        <w:t>Microtitre</w:t>
      </w:r>
      <w:proofErr w:type="spellEnd"/>
      <w:r w:rsidR="00D92D87" w:rsidRPr="002131A0">
        <w:rPr>
          <w:position w:val="11"/>
          <w:sz w:val="16"/>
        </w:rPr>
        <w:t xml:space="preserve">R </w:t>
      </w:r>
      <w:r w:rsidR="00D92D87" w:rsidRPr="002131A0">
        <w:t>Fluctuation Technique (GLP)</w:t>
      </w:r>
    </w:p>
    <w:p w14:paraId="1781883E" w14:textId="77777777" w:rsidR="00957F89" w:rsidRPr="00C73849" w:rsidRDefault="00957F89" w:rsidP="005D3932">
      <w:pPr>
        <w:spacing w:before="2"/>
        <w:rPr>
          <w:rFonts w:ascii="Times New Roman" w:eastAsia="Times New Roman" w:hAnsi="Times New Roman" w:cs="Times New Roman"/>
          <w:b/>
          <w:bCs/>
          <w:sz w:val="20"/>
          <w:szCs w:val="20"/>
        </w:rPr>
      </w:pPr>
    </w:p>
    <w:p w14:paraId="5F545EBB" w14:textId="77777777" w:rsidR="00957F89" w:rsidRPr="00C73849" w:rsidRDefault="00D92D87" w:rsidP="005D3932">
      <w:pPr>
        <w:pStyle w:val="BodyText"/>
        <w:ind w:right="216"/>
      </w:pPr>
      <w:r w:rsidRPr="00C73849">
        <w:t xml:space="preserve">AH112615 was assayed for its ability to induce mutation at the </w:t>
      </w:r>
      <w:proofErr w:type="spellStart"/>
      <w:r w:rsidRPr="00C73849">
        <w:rPr>
          <w:i/>
        </w:rPr>
        <w:t>tk</w:t>
      </w:r>
      <w:proofErr w:type="spellEnd"/>
      <w:r w:rsidRPr="00C73849">
        <w:rPr>
          <w:i/>
        </w:rPr>
        <w:t xml:space="preserve"> </w:t>
      </w:r>
      <w:r w:rsidRPr="00C73849">
        <w:t>locus in mouse lymphoma</w:t>
      </w:r>
      <w:r w:rsidRPr="00C73849">
        <w:rPr>
          <w:w w:val="99"/>
        </w:rPr>
        <w:t xml:space="preserve"> </w:t>
      </w:r>
      <w:r w:rsidRPr="00C73849">
        <w:t xml:space="preserve">cells (rendering the cells resistant to 5 </w:t>
      </w:r>
      <w:proofErr w:type="spellStart"/>
      <w:r w:rsidRPr="00C73849">
        <w:t>trifluorothymidine</w:t>
      </w:r>
      <w:proofErr w:type="spellEnd"/>
      <w:r w:rsidRPr="00C73849">
        <w:t xml:space="preserve"> [TFT] toxicity) using a fluctuation</w:t>
      </w:r>
      <w:r w:rsidRPr="00C73849">
        <w:rPr>
          <w:w w:val="99"/>
        </w:rPr>
        <w:t xml:space="preserve"> </w:t>
      </w:r>
      <w:r w:rsidRPr="00C73849">
        <w:t>protocol. The study consisted of a cytotoxicity range-finding experiment followed by two independent experiments, each conducted in the absence and presence of S-9 (rat liver</w:t>
      </w:r>
      <w:r w:rsidRPr="00C73849">
        <w:rPr>
          <w:w w:val="99"/>
        </w:rPr>
        <w:t xml:space="preserve"> </w:t>
      </w:r>
      <w:r w:rsidRPr="00C73849">
        <w:t>metabolic activation system) using nominal treatment concentrations ranging from 125 to</w:t>
      </w:r>
      <w:r w:rsidR="001E1911">
        <w:rPr>
          <w:w w:val="99"/>
        </w:rPr>
        <w:t xml:space="preserve"> </w:t>
      </w:r>
      <w:r w:rsidRPr="00C73849">
        <w:t>5000 µg/ml. A 3 h treatment incubation period was used for all experiments performed in the</w:t>
      </w:r>
      <w:r w:rsidRPr="00C73849">
        <w:rPr>
          <w:w w:val="99"/>
        </w:rPr>
        <w:t xml:space="preserve"> </w:t>
      </w:r>
      <w:r w:rsidRPr="00C73849">
        <w:t xml:space="preserve">presence of S-9. In the absence of S-9, the </w:t>
      </w:r>
      <w:proofErr w:type="gramStart"/>
      <w:r w:rsidRPr="00C73849">
        <w:t>range-finder</w:t>
      </w:r>
      <w:proofErr w:type="gramEnd"/>
      <w:r w:rsidRPr="00C73849">
        <w:t xml:space="preserve"> was performed using a 3 h and a 24 h treatment incubation period, Experiment 1 was performed using a 3 h treatment incubation and</w:t>
      </w:r>
      <w:r w:rsidRPr="00C73849">
        <w:rPr>
          <w:w w:val="99"/>
        </w:rPr>
        <w:t xml:space="preserve"> </w:t>
      </w:r>
      <w:r w:rsidRPr="00C73849">
        <w:t>Experiment 2 was performed using a 24 h treatment incubation.</w:t>
      </w:r>
    </w:p>
    <w:p w14:paraId="42C30C37" w14:textId="77777777" w:rsidR="00957F89" w:rsidRPr="00C73849" w:rsidRDefault="00957F89" w:rsidP="005D3932">
      <w:pPr>
        <w:spacing w:before="10"/>
        <w:rPr>
          <w:rFonts w:ascii="Times New Roman" w:eastAsia="Times New Roman" w:hAnsi="Times New Roman" w:cs="Times New Roman"/>
          <w:sz w:val="20"/>
          <w:szCs w:val="20"/>
        </w:rPr>
      </w:pPr>
    </w:p>
    <w:p w14:paraId="4FB8837B" w14:textId="77777777" w:rsidR="00957F89" w:rsidRPr="00C73849" w:rsidRDefault="00D92D87" w:rsidP="005D3932">
      <w:pPr>
        <w:pStyle w:val="BodyText"/>
        <w:ind w:right="311"/>
      </w:pPr>
      <w:r w:rsidRPr="00C73849">
        <w:t>In Experiments 1 and 2, weak linear trends were observed in the presence of S-9 in Experiment</w:t>
      </w:r>
      <w:r w:rsidRPr="00C73849">
        <w:rPr>
          <w:w w:val="99"/>
        </w:rPr>
        <w:t xml:space="preserve"> </w:t>
      </w:r>
      <w:r w:rsidRPr="00C73849">
        <w:t>1 (3 h) and in the absence of S-9 in Experiment 2 (24 h). No marked increases in mutant</w:t>
      </w:r>
      <w:r w:rsidRPr="00C73849">
        <w:rPr>
          <w:w w:val="99"/>
        </w:rPr>
        <w:t xml:space="preserve"> </w:t>
      </w:r>
      <w:r w:rsidRPr="00C73849">
        <w:t>frequency were observed in either experiment. Therefore, these observations were not</w:t>
      </w:r>
      <w:r w:rsidRPr="00C73849">
        <w:rPr>
          <w:w w:val="99"/>
        </w:rPr>
        <w:t xml:space="preserve"> </w:t>
      </w:r>
      <w:r w:rsidRPr="00C73849">
        <w:t>considered biologically significant.</w:t>
      </w:r>
    </w:p>
    <w:p w14:paraId="7498D5EE" w14:textId="77777777" w:rsidR="00957F89" w:rsidRPr="00C73849" w:rsidRDefault="00957F89" w:rsidP="005D3932">
      <w:pPr>
        <w:spacing w:before="10"/>
        <w:rPr>
          <w:rFonts w:ascii="Times New Roman" w:eastAsia="Times New Roman" w:hAnsi="Times New Roman" w:cs="Times New Roman"/>
          <w:sz w:val="20"/>
          <w:szCs w:val="20"/>
        </w:rPr>
      </w:pPr>
    </w:p>
    <w:p w14:paraId="2653F9E8" w14:textId="77777777" w:rsidR="00957F89" w:rsidRPr="00C73849" w:rsidRDefault="00D92D87" w:rsidP="005D3932">
      <w:pPr>
        <w:pStyle w:val="BodyText"/>
        <w:ind w:right="151"/>
      </w:pPr>
      <w:r w:rsidRPr="00C73849">
        <w:t xml:space="preserve">It is concluded that AH112615 did not induce mutation at the </w:t>
      </w:r>
      <w:proofErr w:type="spellStart"/>
      <w:r w:rsidRPr="00C73849">
        <w:rPr>
          <w:i/>
        </w:rPr>
        <w:t>tk</w:t>
      </w:r>
      <w:proofErr w:type="spellEnd"/>
      <w:r w:rsidRPr="00C73849">
        <w:rPr>
          <w:i/>
        </w:rPr>
        <w:t xml:space="preserve"> </w:t>
      </w:r>
      <w:r w:rsidRPr="00C73849">
        <w:t>locus of L5178Y mouse</w:t>
      </w:r>
      <w:r w:rsidRPr="00C73849">
        <w:rPr>
          <w:w w:val="99"/>
        </w:rPr>
        <w:t xml:space="preserve"> </w:t>
      </w:r>
      <w:r w:rsidRPr="00C73849">
        <w:t>lymphoma cells when tested under the conditions employed in this study. These conditions</w:t>
      </w:r>
      <w:r w:rsidRPr="00C73849">
        <w:rPr>
          <w:w w:val="99"/>
        </w:rPr>
        <w:t xml:space="preserve"> </w:t>
      </w:r>
      <w:r w:rsidRPr="00C73849">
        <w:t>included treatments at nominal concentrations of up to 5000 µg/ml in two independent</w:t>
      </w:r>
      <w:r w:rsidRPr="00C73849">
        <w:rPr>
          <w:w w:val="99"/>
        </w:rPr>
        <w:t xml:space="preserve"> </w:t>
      </w:r>
      <w:r w:rsidRPr="00C73849">
        <w:t>experiments in the absence and presence of S-9.</w:t>
      </w:r>
    </w:p>
    <w:p w14:paraId="7EA7093A" w14:textId="77777777" w:rsidR="00AE6106" w:rsidRPr="00C73849" w:rsidRDefault="00AE6106" w:rsidP="005D3932">
      <w:pPr>
        <w:pStyle w:val="BodyText"/>
        <w:ind w:right="151"/>
      </w:pPr>
    </w:p>
    <w:p w14:paraId="6919EF01" w14:textId="73ED50EE" w:rsidR="00957F89" w:rsidRPr="003F4FAF" w:rsidRDefault="00D92D87" w:rsidP="005A4B55">
      <w:pPr>
        <w:pStyle w:val="Heading4"/>
        <w:rPr>
          <w:rFonts w:ascii="Times New Roman"/>
          <w:b/>
        </w:rPr>
      </w:pPr>
      <w:bookmarkStart w:id="131" w:name="_Toc34899985"/>
      <w:bookmarkStart w:id="132" w:name="_Toc33702514"/>
      <w:r w:rsidRPr="003F4FAF">
        <w:rPr>
          <w:rFonts w:ascii="Times New Roman"/>
          <w:b/>
        </w:rPr>
        <w:t>5.3.4.4</w:t>
      </w:r>
      <w:r w:rsidR="00A05C81" w:rsidRPr="00A05C81">
        <w:rPr>
          <w:rFonts w:ascii="Times New Roman"/>
        </w:rPr>
        <w:t xml:space="preserve"> </w:t>
      </w:r>
      <w:r w:rsidR="00A05C81" w:rsidRPr="00C73849">
        <w:rPr>
          <w:rFonts w:ascii="Times New Roman"/>
        </w:rPr>
        <w:tab/>
      </w:r>
      <w:r w:rsidRPr="003F4FAF">
        <w:rPr>
          <w:rFonts w:ascii="Times New Roman"/>
          <w:b/>
        </w:rPr>
        <w:t>AH111501 (EPA)</w:t>
      </w:r>
      <w:bookmarkEnd w:id="131"/>
      <w:bookmarkEnd w:id="132"/>
    </w:p>
    <w:p w14:paraId="22F2D9CC" w14:textId="77777777" w:rsidR="00957F89" w:rsidRPr="002131A0" w:rsidRDefault="009A553C" w:rsidP="005A4B55">
      <w:pPr>
        <w:pStyle w:val="Heading5"/>
        <w:rPr>
          <w:rFonts w:eastAsia="Times New Roman" w:hAnsi="Times New Roman" w:cs="Times New Roman"/>
          <w:szCs w:val="24"/>
        </w:rPr>
      </w:pPr>
      <w:r w:rsidRPr="00C73849">
        <w:rPr>
          <w:rFonts w:ascii="Times New Roman"/>
        </w:rPr>
        <w:t>5.3.4.4</w:t>
      </w:r>
      <w:r>
        <w:rPr>
          <w:rFonts w:ascii="Times New Roman"/>
        </w:rPr>
        <w:t>.1</w:t>
      </w:r>
      <w:r w:rsidRPr="00C73849">
        <w:rPr>
          <w:rFonts w:ascii="Times New Roman"/>
        </w:rPr>
        <w:tab/>
      </w:r>
      <w:r w:rsidR="00D92D87" w:rsidRPr="009A553C">
        <w:t>Covance study number: 2570/10 (GE study number: B101055)</w:t>
      </w:r>
      <w:r w:rsidRPr="009A553C">
        <w:t xml:space="preserve">. </w:t>
      </w:r>
      <w:r w:rsidR="00D92D87" w:rsidRPr="009A553C">
        <w:t xml:space="preserve">AH111501: Reverse mutation in five histidine-requiring strains of </w:t>
      </w:r>
      <w:r w:rsidR="00D92D87" w:rsidRPr="002131A0">
        <w:rPr>
          <w:i/>
        </w:rPr>
        <w:t xml:space="preserve">Salmonella typhimurium </w:t>
      </w:r>
      <w:r w:rsidR="00D92D87" w:rsidRPr="002131A0">
        <w:t>(GLP)</w:t>
      </w:r>
    </w:p>
    <w:p w14:paraId="599A382E" w14:textId="77777777" w:rsidR="00957F89" w:rsidRPr="00C73849" w:rsidRDefault="00957F89" w:rsidP="005D3932">
      <w:pPr>
        <w:spacing w:before="5"/>
        <w:rPr>
          <w:rFonts w:ascii="Times New Roman" w:eastAsia="Times New Roman" w:hAnsi="Times New Roman" w:cs="Times New Roman"/>
          <w:b/>
          <w:bCs/>
          <w:sz w:val="20"/>
          <w:szCs w:val="20"/>
        </w:rPr>
      </w:pPr>
    </w:p>
    <w:p w14:paraId="0C6A2B15" w14:textId="77777777" w:rsidR="00957F89" w:rsidRPr="00C73849" w:rsidRDefault="00D92D87" w:rsidP="005D3932">
      <w:pPr>
        <w:pStyle w:val="BodyText"/>
        <w:ind w:right="293"/>
      </w:pPr>
      <w:r w:rsidRPr="00C73849">
        <w:t xml:space="preserve">AH111501 was assayed for mutation in five histidine-requiring strains (TA98, TA100, TA1535, TA1537 and TA102) of </w:t>
      </w:r>
      <w:r w:rsidRPr="00C73849">
        <w:rPr>
          <w:i/>
        </w:rPr>
        <w:t>Salmonella typhimurium</w:t>
      </w:r>
      <w:r w:rsidRPr="00C73849">
        <w:t>, both in the absence and in the</w:t>
      </w:r>
      <w:r w:rsidRPr="00C73849">
        <w:rPr>
          <w:w w:val="99"/>
        </w:rPr>
        <w:t xml:space="preserve"> </w:t>
      </w:r>
      <w:r w:rsidRPr="00C73849">
        <w:t>presence of S-9 (rat liver metabolic activation system), in two separate experiments AH111501 was dissolved in sterile water and nominal amounts of AH111501 ranging from 1.6 to</w:t>
      </w:r>
      <w:r w:rsidR="008265DD">
        <w:t xml:space="preserve"> </w:t>
      </w:r>
      <w:r w:rsidRPr="00C73849">
        <w:t>5000 µg/plate were tested. Negative and positive controls were included in the assay.</w:t>
      </w:r>
    </w:p>
    <w:p w14:paraId="60038D75" w14:textId="77777777" w:rsidR="00957F89" w:rsidRPr="00C73849" w:rsidRDefault="00957F89" w:rsidP="005D3932">
      <w:pPr>
        <w:spacing w:before="10"/>
        <w:rPr>
          <w:rFonts w:ascii="Times New Roman" w:eastAsia="Times New Roman" w:hAnsi="Times New Roman" w:cs="Times New Roman"/>
          <w:sz w:val="20"/>
          <w:szCs w:val="20"/>
        </w:rPr>
      </w:pPr>
    </w:p>
    <w:p w14:paraId="0356B0A0" w14:textId="77777777" w:rsidR="00957F89" w:rsidRPr="00C73849" w:rsidRDefault="00D92D87" w:rsidP="005D3932">
      <w:pPr>
        <w:pStyle w:val="BodyText"/>
        <w:ind w:right="151"/>
      </w:pPr>
      <w:r w:rsidRPr="00C73849">
        <w:t>No statistically significant, concentration-related and reproducible increases in number of revertant colonies were observed following any strain treatments in the absence or presence S-9. Therefore, this study did not provide any evidence of mutagenic activity of AH111501. It</w:t>
      </w:r>
      <w:r w:rsidRPr="00C73849">
        <w:rPr>
          <w:w w:val="99"/>
        </w:rPr>
        <w:t xml:space="preserve"> </w:t>
      </w:r>
      <w:r w:rsidRPr="00C73849">
        <w:t>was concluded that AH111501 did not induce mutation in five histidine-requiring strains</w:t>
      </w:r>
      <w:r w:rsidRPr="00C73849">
        <w:rPr>
          <w:w w:val="99"/>
        </w:rPr>
        <w:t xml:space="preserve"> </w:t>
      </w:r>
      <w:r w:rsidRPr="00C73849">
        <w:t xml:space="preserve">(TA98, TA100, TA1535, TA1537 and TA102) of </w:t>
      </w:r>
      <w:r w:rsidRPr="00C73849">
        <w:rPr>
          <w:i/>
        </w:rPr>
        <w:t xml:space="preserve">Salmonella typhimurium </w:t>
      </w:r>
      <w:r w:rsidRPr="00C73849">
        <w:t>when tested under the conditions of this study. These conditions included treatments at amounts up to</w:t>
      </w:r>
      <w:r w:rsidR="008265DD">
        <w:t xml:space="preserve"> </w:t>
      </w:r>
      <w:r w:rsidRPr="00C73849">
        <w:t xml:space="preserve">5000 </w:t>
      </w:r>
      <w:r w:rsidRPr="00C73849">
        <w:rPr>
          <w:rFonts w:ascii="Symbol" w:eastAsia="Symbol" w:hAnsi="Symbol" w:cs="Symbol"/>
        </w:rPr>
        <w:t></w:t>
      </w:r>
      <w:r w:rsidRPr="00C73849">
        <w:t>g/plate, in the absence and in the presence of S-9.</w:t>
      </w:r>
    </w:p>
    <w:p w14:paraId="2FC2ABEA" w14:textId="77777777" w:rsidR="00957F89" w:rsidRPr="00C73849" w:rsidRDefault="00957F89" w:rsidP="005D3932">
      <w:pPr>
        <w:rPr>
          <w:rFonts w:ascii="Times New Roman" w:eastAsia="Times New Roman" w:hAnsi="Times New Roman" w:cs="Times New Roman"/>
          <w:sz w:val="24"/>
          <w:szCs w:val="24"/>
        </w:rPr>
      </w:pPr>
    </w:p>
    <w:p w14:paraId="5A49F5EA" w14:textId="77777777" w:rsidR="00957F89" w:rsidRPr="00C73849" w:rsidRDefault="009A553C" w:rsidP="005A4B55">
      <w:pPr>
        <w:pStyle w:val="Heading5"/>
        <w:rPr>
          <w:rFonts w:eastAsia="Times New Roman" w:hAnsi="Times New Roman" w:cs="Times New Roman"/>
          <w:szCs w:val="24"/>
        </w:rPr>
      </w:pPr>
      <w:r w:rsidRPr="00C73849">
        <w:rPr>
          <w:rFonts w:ascii="Times New Roman"/>
        </w:rPr>
        <w:lastRenderedPageBreak/>
        <w:t>5.3.4.4</w:t>
      </w:r>
      <w:r>
        <w:rPr>
          <w:rFonts w:ascii="Times New Roman"/>
        </w:rPr>
        <w:t>.2</w:t>
      </w:r>
      <w:r w:rsidRPr="00C73849">
        <w:rPr>
          <w:rFonts w:ascii="Times New Roman"/>
        </w:rPr>
        <w:tab/>
      </w:r>
      <w:r w:rsidR="00D92D87" w:rsidRPr="00C73849">
        <w:t>Covance study number: 2570/11 (GE study number: B101056</w:t>
      </w:r>
      <w:r w:rsidR="002A7BB9" w:rsidRPr="00C73849">
        <w:t>) Mutation</w:t>
      </w:r>
      <w:r w:rsidR="00D92D87" w:rsidRPr="00C73849">
        <w:t xml:space="preserve"> at the Thymidine Kinase (</w:t>
      </w:r>
      <w:proofErr w:type="spellStart"/>
      <w:r w:rsidR="00D92D87" w:rsidRPr="00C73849">
        <w:rPr>
          <w:i/>
        </w:rPr>
        <w:t>tk</w:t>
      </w:r>
      <w:proofErr w:type="spellEnd"/>
      <w:r w:rsidR="00D92D87" w:rsidRPr="00C73849">
        <w:t xml:space="preserve">) Locus of Mouse Lymphoma L5178Y Cells (MLA) using the </w:t>
      </w:r>
      <w:proofErr w:type="spellStart"/>
      <w:r w:rsidR="00D92D87" w:rsidRPr="00C73849">
        <w:t>Microtitre</w:t>
      </w:r>
      <w:proofErr w:type="spellEnd"/>
      <w:r w:rsidR="00D92D87" w:rsidRPr="00C73849">
        <w:rPr>
          <w:position w:val="11"/>
          <w:sz w:val="16"/>
        </w:rPr>
        <w:t xml:space="preserve">R </w:t>
      </w:r>
      <w:r w:rsidR="00D92D87" w:rsidRPr="00C73849">
        <w:t>Fluctuation Technique (GLP)</w:t>
      </w:r>
    </w:p>
    <w:p w14:paraId="626BFDE7" w14:textId="77777777" w:rsidR="00957F89" w:rsidRPr="00C73849" w:rsidRDefault="00D92D87" w:rsidP="005D3932">
      <w:pPr>
        <w:pStyle w:val="BodyText"/>
        <w:spacing w:before="232"/>
        <w:ind w:right="382"/>
      </w:pPr>
      <w:r w:rsidRPr="00C73849">
        <w:t xml:space="preserve">AH111501 was assayed for its ability to induce mutation at the </w:t>
      </w:r>
      <w:proofErr w:type="spellStart"/>
      <w:r w:rsidRPr="00C73849">
        <w:rPr>
          <w:i/>
        </w:rPr>
        <w:t>tk</w:t>
      </w:r>
      <w:proofErr w:type="spellEnd"/>
      <w:r w:rsidRPr="00C73849">
        <w:rPr>
          <w:i/>
        </w:rPr>
        <w:t xml:space="preserve"> </w:t>
      </w:r>
      <w:r w:rsidRPr="00C73849">
        <w:t>locus in mouse lymphoma</w:t>
      </w:r>
      <w:r w:rsidRPr="00C73849">
        <w:rPr>
          <w:w w:val="99"/>
        </w:rPr>
        <w:t xml:space="preserve"> </w:t>
      </w:r>
      <w:r w:rsidRPr="00C73849">
        <w:t xml:space="preserve">cells (rendering the cells resistant to 5 </w:t>
      </w:r>
      <w:proofErr w:type="spellStart"/>
      <w:r w:rsidRPr="00C73849">
        <w:t>trifluorothymidine</w:t>
      </w:r>
      <w:proofErr w:type="spellEnd"/>
      <w:r w:rsidRPr="00C73849">
        <w:t xml:space="preserve"> [TFT] toxicity) using a fluctuation</w:t>
      </w:r>
      <w:r w:rsidRPr="00C73849">
        <w:rPr>
          <w:w w:val="99"/>
        </w:rPr>
        <w:t xml:space="preserve"> </w:t>
      </w:r>
      <w:r w:rsidRPr="00C73849">
        <w:t>protocol. The study consisted of a cytotoxicity range-finding experiment followed by two independent experiments, each conducted in the absence and presence of S-9 (rat liver</w:t>
      </w:r>
      <w:r w:rsidRPr="00C73849">
        <w:rPr>
          <w:w w:val="99"/>
        </w:rPr>
        <w:t xml:space="preserve"> </w:t>
      </w:r>
      <w:r w:rsidRPr="00C73849">
        <w:t>metabolic activation system) using nominal treatment concentrations ranging from 500 to</w:t>
      </w:r>
      <w:r w:rsidRPr="00C73849">
        <w:rPr>
          <w:w w:val="99"/>
        </w:rPr>
        <w:t xml:space="preserve"> </w:t>
      </w:r>
      <w:r w:rsidRPr="00C73849">
        <w:t>5000 µg/ml. A 3 h treatment incubation period was used for all experiments performed in the</w:t>
      </w:r>
      <w:r w:rsidRPr="00C73849">
        <w:rPr>
          <w:w w:val="99"/>
        </w:rPr>
        <w:t xml:space="preserve"> </w:t>
      </w:r>
      <w:r w:rsidRPr="00C73849">
        <w:t xml:space="preserve">presence of S-9. In the absence of S-9, the </w:t>
      </w:r>
      <w:proofErr w:type="gramStart"/>
      <w:r w:rsidRPr="00C73849">
        <w:t>range-finder</w:t>
      </w:r>
      <w:proofErr w:type="gramEnd"/>
      <w:r w:rsidRPr="00C73849">
        <w:t xml:space="preserve"> was performed using a 3 h and a 24 h treatment incubation, Experiment 1 was performed using a 3 h treatment incubation and</w:t>
      </w:r>
      <w:r w:rsidRPr="00C73849">
        <w:rPr>
          <w:w w:val="99"/>
        </w:rPr>
        <w:t xml:space="preserve"> </w:t>
      </w:r>
      <w:r w:rsidRPr="00C73849">
        <w:t>Experiment 2 was performed using a 24 h treatment incubation.</w:t>
      </w:r>
    </w:p>
    <w:p w14:paraId="63F87656" w14:textId="77777777" w:rsidR="00957F89" w:rsidRPr="00C73849" w:rsidRDefault="00957F89" w:rsidP="005D3932">
      <w:pPr>
        <w:spacing w:before="10"/>
        <w:rPr>
          <w:rFonts w:ascii="Times New Roman" w:eastAsia="Times New Roman" w:hAnsi="Times New Roman" w:cs="Times New Roman"/>
          <w:sz w:val="20"/>
          <w:szCs w:val="20"/>
        </w:rPr>
      </w:pPr>
    </w:p>
    <w:p w14:paraId="4DE09EE7" w14:textId="77777777" w:rsidR="00957F89" w:rsidRPr="00C73849" w:rsidRDefault="00D92D87" w:rsidP="005D3932">
      <w:pPr>
        <w:pStyle w:val="BodyText"/>
        <w:ind w:right="311"/>
      </w:pPr>
      <w:r w:rsidRPr="00C73849">
        <w:t>No marked increases in mutation frequencies were observed with any of the 3 h exposure periods (with and without S-9 in Experiment 1 and with S-9 in Experiment 2).</w:t>
      </w:r>
    </w:p>
    <w:p w14:paraId="3D3CDFB5" w14:textId="77777777" w:rsidR="00957F89" w:rsidRPr="00C73849" w:rsidRDefault="00957F89" w:rsidP="005D3932">
      <w:pPr>
        <w:spacing w:before="10"/>
        <w:rPr>
          <w:rFonts w:ascii="Times New Roman" w:eastAsia="Times New Roman" w:hAnsi="Times New Roman" w:cs="Times New Roman"/>
          <w:sz w:val="20"/>
          <w:szCs w:val="20"/>
        </w:rPr>
      </w:pPr>
    </w:p>
    <w:p w14:paraId="635EE9C9" w14:textId="77777777" w:rsidR="00957F89" w:rsidRPr="00C73849" w:rsidRDefault="00D92D87" w:rsidP="005D3932">
      <w:pPr>
        <w:pStyle w:val="BodyText"/>
        <w:ind w:right="206"/>
      </w:pPr>
      <w:r w:rsidRPr="00C73849">
        <w:t>Treatment with AH111501 up to 5000µg/ml in Experiment 2 in the absence of S-9 (24 h treatment) caused a dose-dependent increase in the mutation frequency. The linear trend for</w:t>
      </w:r>
      <w:r w:rsidR="001E1911">
        <w:t xml:space="preserve"> </w:t>
      </w:r>
      <w:r w:rsidRPr="00C73849">
        <w:t>the dose-relationship was statistically significant, but the mutation frequency did not exceed the Global Evaluation Factor (GEF) for the assay and was therefore not considered to be</w:t>
      </w:r>
      <w:r w:rsidRPr="00C73849">
        <w:rPr>
          <w:w w:val="99"/>
        </w:rPr>
        <w:t xml:space="preserve"> </w:t>
      </w:r>
      <w:r w:rsidRPr="00C73849">
        <w:t>significant. When the experiment was repeated the linear trend for a dose-dependent increase in mutation frequency was again statistically significant. The increases were even smaller than</w:t>
      </w:r>
      <w:r w:rsidR="001E1911">
        <w:t xml:space="preserve"> </w:t>
      </w:r>
      <w:r w:rsidRPr="00C73849">
        <w:t>in the original 24 h experiment, but also the positive control responses were small.</w:t>
      </w:r>
    </w:p>
    <w:p w14:paraId="4B3BA55A" w14:textId="77777777" w:rsidR="00957F89" w:rsidRPr="00C73849" w:rsidRDefault="00957F89" w:rsidP="005D3932">
      <w:pPr>
        <w:rPr>
          <w:rFonts w:ascii="Times New Roman" w:eastAsia="Times New Roman" w:hAnsi="Times New Roman" w:cs="Times New Roman"/>
          <w:sz w:val="20"/>
          <w:szCs w:val="20"/>
        </w:rPr>
      </w:pPr>
    </w:p>
    <w:p w14:paraId="4A4345A9" w14:textId="77777777" w:rsidR="00957F89" w:rsidRPr="00C73849" w:rsidRDefault="00D92D87" w:rsidP="005D3932">
      <w:pPr>
        <w:pStyle w:val="BodyText"/>
        <w:spacing w:before="69"/>
        <w:ind w:right="151"/>
      </w:pPr>
      <w:r w:rsidRPr="00C73849">
        <w:t xml:space="preserve">It was concluded that AH111501 did not induce mutation at the </w:t>
      </w:r>
      <w:proofErr w:type="spellStart"/>
      <w:r w:rsidRPr="00C73849">
        <w:rPr>
          <w:i/>
        </w:rPr>
        <w:t>tk</w:t>
      </w:r>
      <w:proofErr w:type="spellEnd"/>
      <w:r w:rsidRPr="00C73849">
        <w:rPr>
          <w:i/>
        </w:rPr>
        <w:t xml:space="preserve"> </w:t>
      </w:r>
      <w:r w:rsidRPr="00C73849">
        <w:t>locus of L5178Y mouse</w:t>
      </w:r>
      <w:r w:rsidRPr="00C73849">
        <w:rPr>
          <w:w w:val="99"/>
        </w:rPr>
        <w:t xml:space="preserve"> </w:t>
      </w:r>
      <w:r w:rsidRPr="00C73849">
        <w:t>lymphoma cells when tested under the 3 h treatment conditions employed in this study. These</w:t>
      </w:r>
      <w:r w:rsidRPr="00C73849">
        <w:rPr>
          <w:w w:val="99"/>
        </w:rPr>
        <w:t xml:space="preserve"> </w:t>
      </w:r>
      <w:r w:rsidRPr="00C73849">
        <w:t>conditions included treatments with nominal concentrations of up to 5000 µg/ml in two independent experiments, in the absence and presence of S-9. However, it was concluded that</w:t>
      </w:r>
      <w:r w:rsidRPr="00C73849">
        <w:rPr>
          <w:w w:val="99"/>
        </w:rPr>
        <w:t xml:space="preserve"> </w:t>
      </w:r>
      <w:r w:rsidRPr="00C73849">
        <w:t xml:space="preserve">AH111501 induces mutation at the </w:t>
      </w:r>
      <w:proofErr w:type="spellStart"/>
      <w:r w:rsidRPr="00C73849">
        <w:t>tk</w:t>
      </w:r>
      <w:proofErr w:type="spellEnd"/>
      <w:r w:rsidRPr="00C73849">
        <w:t xml:space="preserve"> locus of L5178Y mouse lymphoma cells following 24 h treatment in the absence of S-9 but that this response is very weak.</w:t>
      </w:r>
    </w:p>
    <w:p w14:paraId="11D447AD" w14:textId="77777777" w:rsidR="00957F89" w:rsidRPr="002131A0" w:rsidRDefault="00957F89" w:rsidP="005D3932">
      <w:pPr>
        <w:spacing w:before="8"/>
      </w:pPr>
    </w:p>
    <w:p w14:paraId="17CE852D" w14:textId="77777777" w:rsidR="00957F89" w:rsidRPr="00C73849" w:rsidRDefault="009A553C" w:rsidP="005A4B55">
      <w:pPr>
        <w:pStyle w:val="Heading4"/>
        <w:rPr>
          <w:rFonts w:eastAsia="Times New Roman" w:hAnsi="Times New Roman" w:cs="Times New Roman"/>
          <w:szCs w:val="24"/>
        </w:rPr>
      </w:pPr>
      <w:r>
        <w:rPr>
          <w:rFonts w:ascii="Times New Roman"/>
        </w:rPr>
        <w:t>5.3.4.5</w:t>
      </w:r>
      <w:r w:rsidRPr="00C73849">
        <w:rPr>
          <w:rFonts w:ascii="Times New Roman"/>
        </w:rPr>
        <w:tab/>
      </w:r>
      <w:r w:rsidR="00D92D87" w:rsidRPr="00C73849">
        <w:t>AH113462 (Lactone)</w:t>
      </w:r>
    </w:p>
    <w:p w14:paraId="68D7D434" w14:textId="51720985" w:rsidR="00957F89" w:rsidRDefault="00D92D87" w:rsidP="005D3932">
      <w:pPr>
        <w:pStyle w:val="BodyText"/>
        <w:spacing w:before="118" w:line="276" w:lineRule="exact"/>
        <w:ind w:right="264"/>
      </w:pPr>
      <w:r w:rsidRPr="00C73849">
        <w:t>The lactone impurity may be present under the acidic conditions of the Kit Component 1 (mixture of [</w:t>
      </w:r>
      <w:r w:rsidRPr="00C73849">
        <w:rPr>
          <w:position w:val="11"/>
          <w:sz w:val="16"/>
        </w:rPr>
        <w:t>13</w:t>
      </w:r>
      <w:proofErr w:type="gramStart"/>
      <w:r w:rsidRPr="00C73849">
        <w:t>C]pyruvic</w:t>
      </w:r>
      <w:proofErr w:type="gramEnd"/>
      <w:r w:rsidRPr="00C73849">
        <w:t xml:space="preserve"> acid and 15 mM AH111501 sodium salt) but is converted under</w:t>
      </w:r>
      <w:r w:rsidRPr="00C73849">
        <w:rPr>
          <w:w w:val="99"/>
        </w:rPr>
        <w:t xml:space="preserve"> </w:t>
      </w:r>
      <w:r w:rsidRPr="00C73849">
        <w:t xml:space="preserve">neutral conditions to </w:t>
      </w:r>
      <w:proofErr w:type="spellStart"/>
      <w:r w:rsidRPr="00C73849">
        <w:t>parapyruvate</w:t>
      </w:r>
      <w:proofErr w:type="spellEnd"/>
      <w:r w:rsidRPr="00C73849">
        <w:t>. The inter-conversion takes some minutes, and lactones may therefore be present in Hyperpolarized Pyruvate (</w:t>
      </w:r>
      <w:r w:rsidRPr="00C73849">
        <w:rPr>
          <w:position w:val="11"/>
          <w:sz w:val="16"/>
        </w:rPr>
        <w:t>13</w:t>
      </w:r>
      <w:r w:rsidRPr="00C73849">
        <w:t xml:space="preserve">C) Injection, as this is injected </w:t>
      </w:r>
      <w:r w:rsidR="002A7BB9" w:rsidRPr="00C73849">
        <w:t>shortly</w:t>
      </w:r>
      <w:r w:rsidR="002A7BB9">
        <w:t xml:space="preserve"> after</w:t>
      </w:r>
      <w:r w:rsidRPr="00C73849">
        <w:t xml:space="preserve"> neutralization. For the </w:t>
      </w:r>
      <w:r w:rsidRPr="00C73849">
        <w:rPr>
          <w:i/>
        </w:rPr>
        <w:t xml:space="preserve">in vitro </w:t>
      </w:r>
      <w:r w:rsidRPr="00C73849">
        <w:t xml:space="preserve">genotoxicity studies, a test article of lactone was used which consisted of </w:t>
      </w:r>
      <w:proofErr w:type="spellStart"/>
      <w:r w:rsidRPr="00C73849">
        <w:t>parapyruvate</w:t>
      </w:r>
      <w:proofErr w:type="spellEnd"/>
      <w:r w:rsidRPr="00C73849">
        <w:t xml:space="preserve"> formulated with HCl, the acidic mixture was allowed to</w:t>
      </w:r>
      <w:r w:rsidRPr="00C73849">
        <w:rPr>
          <w:w w:val="99"/>
        </w:rPr>
        <w:t xml:space="preserve"> </w:t>
      </w:r>
      <w:r w:rsidRPr="00C73849">
        <w:t>equilibrate for approximately 48h before it was used. The two potential impurities</w:t>
      </w:r>
      <w:r w:rsidRPr="00C73849">
        <w:rPr>
          <w:w w:val="99"/>
        </w:rPr>
        <w:t xml:space="preserve"> </w:t>
      </w:r>
      <w:proofErr w:type="spellStart"/>
      <w:r w:rsidRPr="00C73849">
        <w:t>parapyruvate</w:t>
      </w:r>
      <w:proofErr w:type="spellEnd"/>
      <w:r w:rsidRPr="00C73849">
        <w:t xml:space="preserve"> and lactone were present in similar concentration in this test </w:t>
      </w:r>
      <w:proofErr w:type="gramStart"/>
      <w:r w:rsidRPr="00C73849">
        <w:t>item;</w:t>
      </w:r>
      <w:proofErr w:type="gramEnd"/>
      <w:r w:rsidRPr="00C73849">
        <w:rPr>
          <w:w w:val="99"/>
        </w:rPr>
        <w:t xml:space="preserve"> </w:t>
      </w:r>
      <w:proofErr w:type="spellStart"/>
      <w:r w:rsidRPr="00C73849">
        <w:t>Parapyruvate</w:t>
      </w:r>
      <w:proofErr w:type="spellEnd"/>
      <w:r w:rsidRPr="00C73849">
        <w:t xml:space="preserve">/lactone in HCl solution. In the </w:t>
      </w:r>
      <w:r w:rsidRPr="00C73849">
        <w:rPr>
          <w:i/>
        </w:rPr>
        <w:t xml:space="preserve">in vivo </w:t>
      </w:r>
      <w:r w:rsidRPr="00C73849">
        <w:t xml:space="preserve">genotoxicity study of induction of micronuclei in the bone marrow in treated rats, the test article consisted of </w:t>
      </w:r>
      <w:proofErr w:type="spellStart"/>
      <w:r w:rsidRPr="00C73849">
        <w:t>parapyruvate</w:t>
      </w:r>
      <w:proofErr w:type="spellEnd"/>
      <w:r w:rsidRPr="00C73849">
        <w:rPr>
          <w:w w:val="99"/>
        </w:rPr>
        <w:t xml:space="preserve"> </w:t>
      </w:r>
      <w:r w:rsidRPr="00C73849">
        <w:t>formulated with HCl, the acidic mixture was allowed to equilibrate for approximately 48h after</w:t>
      </w:r>
      <w:r w:rsidRPr="00C73849">
        <w:rPr>
          <w:w w:val="99"/>
        </w:rPr>
        <w:t xml:space="preserve"> </w:t>
      </w:r>
      <w:r w:rsidRPr="00C73849">
        <w:t>which it was neutralized with TRIS neutralization solution and administered within 10 min of neutralization. This test article procedure ensured that the lactone was present in the highest</w:t>
      </w:r>
      <w:r w:rsidRPr="00C73849">
        <w:rPr>
          <w:w w:val="99"/>
        </w:rPr>
        <w:t xml:space="preserve"> </w:t>
      </w:r>
      <w:r w:rsidRPr="00C73849">
        <w:t>achievable concentration while providing a test item suitable for intravenous administration.</w:t>
      </w:r>
    </w:p>
    <w:p w14:paraId="3AF4CC52" w14:textId="77777777" w:rsidR="008265DD" w:rsidRPr="00C73849" w:rsidRDefault="008265DD" w:rsidP="005D3932">
      <w:pPr>
        <w:pStyle w:val="BodyText"/>
        <w:spacing w:before="118" w:line="276" w:lineRule="exact"/>
        <w:ind w:right="264"/>
      </w:pPr>
    </w:p>
    <w:p w14:paraId="5C4F422D" w14:textId="4E5E5834" w:rsidR="00957F89" w:rsidRPr="00C73849" w:rsidRDefault="00D92D87" w:rsidP="005D3932">
      <w:pPr>
        <w:pStyle w:val="BodyText"/>
        <w:ind w:right="151"/>
      </w:pPr>
      <w:r w:rsidRPr="00C73849">
        <w:t xml:space="preserve">The two potential impurities </w:t>
      </w:r>
      <w:proofErr w:type="spellStart"/>
      <w:r w:rsidRPr="00C73849">
        <w:t>parapyruvate</w:t>
      </w:r>
      <w:proofErr w:type="spellEnd"/>
      <w:r w:rsidRPr="00C73849">
        <w:t xml:space="preserve"> and lactone were present in similar concentration in</w:t>
      </w:r>
      <w:r w:rsidRPr="00C73849">
        <w:rPr>
          <w:w w:val="99"/>
        </w:rPr>
        <w:t xml:space="preserve"> </w:t>
      </w:r>
      <w:r w:rsidRPr="00C73849">
        <w:t xml:space="preserve">the </w:t>
      </w:r>
      <w:r w:rsidRPr="00C73849">
        <w:lastRenderedPageBreak/>
        <w:t xml:space="preserve">neutralized test article </w:t>
      </w:r>
      <w:proofErr w:type="spellStart"/>
      <w:r w:rsidR="0006401D">
        <w:t>p</w:t>
      </w:r>
      <w:r w:rsidRPr="00C73849">
        <w:t>arapyruvate</w:t>
      </w:r>
      <w:proofErr w:type="spellEnd"/>
      <w:r w:rsidRPr="00C73849">
        <w:t>/</w:t>
      </w:r>
      <w:r w:rsidR="0006401D">
        <w:t>l</w:t>
      </w:r>
      <w:r w:rsidRPr="00C73849">
        <w:t>actone in TRIS solution.</w:t>
      </w:r>
    </w:p>
    <w:p w14:paraId="67AA90C3" w14:textId="77777777" w:rsidR="00957F89" w:rsidRPr="00C73849" w:rsidRDefault="00957F89" w:rsidP="005D3932">
      <w:pPr>
        <w:spacing w:before="3"/>
        <w:rPr>
          <w:rFonts w:ascii="Times New Roman" w:eastAsia="Times New Roman" w:hAnsi="Times New Roman" w:cs="Times New Roman"/>
          <w:sz w:val="21"/>
          <w:szCs w:val="21"/>
        </w:rPr>
      </w:pPr>
    </w:p>
    <w:p w14:paraId="15806F92" w14:textId="77777777" w:rsidR="00957F89" w:rsidRPr="00C73849" w:rsidRDefault="009A553C" w:rsidP="005A4B55">
      <w:pPr>
        <w:pStyle w:val="Heading5"/>
        <w:rPr>
          <w:rFonts w:ascii="Times New Roman" w:eastAsia="Times New Roman" w:hAnsi="Times New Roman" w:cs="Times New Roman"/>
          <w:szCs w:val="24"/>
        </w:rPr>
      </w:pPr>
      <w:r>
        <w:rPr>
          <w:rFonts w:ascii="Times New Roman"/>
        </w:rPr>
        <w:t>5.3.4.5.1</w:t>
      </w:r>
      <w:r w:rsidRPr="00C73849">
        <w:rPr>
          <w:rFonts w:ascii="Times New Roman"/>
        </w:rPr>
        <w:tab/>
      </w:r>
      <w:r w:rsidR="00D92D87" w:rsidRPr="009A553C">
        <w:t>Covance study number: 2789/8 (GE study number: B101062)</w:t>
      </w:r>
      <w:r>
        <w:t xml:space="preserve"> </w:t>
      </w:r>
      <w:r w:rsidR="00D92D87" w:rsidRPr="00C73849">
        <w:rPr>
          <w:rFonts w:ascii="Times New Roman"/>
        </w:rPr>
        <w:t xml:space="preserve">Reverse mutation in five histidine-requiring strains of </w:t>
      </w:r>
      <w:r w:rsidR="00D92D87" w:rsidRPr="00C73849">
        <w:rPr>
          <w:rFonts w:ascii="Times New Roman"/>
          <w:i/>
        </w:rPr>
        <w:t>Salmonella typhimurium</w:t>
      </w:r>
      <w:r>
        <w:rPr>
          <w:rFonts w:ascii="Times New Roman"/>
          <w:i/>
        </w:rPr>
        <w:t xml:space="preserve"> </w:t>
      </w:r>
      <w:r w:rsidR="00D92D87" w:rsidRPr="00C73849">
        <w:rPr>
          <w:rFonts w:ascii="Times New Roman"/>
        </w:rPr>
        <w:t>(GLP)</w:t>
      </w:r>
    </w:p>
    <w:p w14:paraId="7B44E8A3" w14:textId="77777777" w:rsidR="00957F89" w:rsidRPr="00C73849" w:rsidRDefault="00957F89" w:rsidP="005D3932">
      <w:pPr>
        <w:spacing w:before="3"/>
        <w:rPr>
          <w:rFonts w:ascii="Times New Roman" w:eastAsia="Times New Roman" w:hAnsi="Times New Roman" w:cs="Times New Roman"/>
          <w:b/>
          <w:bCs/>
          <w:sz w:val="20"/>
          <w:szCs w:val="20"/>
        </w:rPr>
      </w:pPr>
    </w:p>
    <w:p w14:paraId="1D9DA2B0" w14:textId="146A9B29" w:rsidR="00957F89" w:rsidRPr="00C73849" w:rsidRDefault="00D92D87" w:rsidP="005D3932">
      <w:pPr>
        <w:pStyle w:val="BodyText"/>
        <w:ind w:right="311"/>
      </w:pPr>
      <w:proofErr w:type="spellStart"/>
      <w:r w:rsidRPr="00C73849">
        <w:t>Parapyruvate</w:t>
      </w:r>
      <w:proofErr w:type="spellEnd"/>
      <w:r w:rsidRPr="00C73849">
        <w:t xml:space="preserve">/lactone in HCl solution was assayed for mutation in five histidine-requiring strains (TA98, TA100, TA1535, TA1537 and TA102) of </w:t>
      </w:r>
      <w:r w:rsidRPr="00C73849">
        <w:rPr>
          <w:i/>
        </w:rPr>
        <w:t>Salmonella typhimurium</w:t>
      </w:r>
      <w:r w:rsidRPr="00C73849">
        <w:t>, both in the</w:t>
      </w:r>
      <w:r w:rsidRPr="00C73849">
        <w:rPr>
          <w:w w:val="99"/>
        </w:rPr>
        <w:t xml:space="preserve"> </w:t>
      </w:r>
      <w:r w:rsidRPr="00C73849">
        <w:t xml:space="preserve">absence and in the presence of metabolic activation by an </w:t>
      </w:r>
      <w:proofErr w:type="spellStart"/>
      <w:r w:rsidRPr="00C73849">
        <w:t>Aroclor</w:t>
      </w:r>
      <w:proofErr w:type="spellEnd"/>
      <w:r w:rsidRPr="00C73849">
        <w:t xml:space="preserve"> 1254-induced rat liver post mitochondrial fraction (S-9), in two separate experiments.</w:t>
      </w:r>
    </w:p>
    <w:p w14:paraId="4376FBF3" w14:textId="77777777" w:rsidR="00957F89" w:rsidRPr="00C73849" w:rsidRDefault="00957F89" w:rsidP="005D3932">
      <w:pPr>
        <w:spacing w:before="4"/>
        <w:rPr>
          <w:rFonts w:ascii="Times New Roman" w:eastAsia="Times New Roman" w:hAnsi="Times New Roman" w:cs="Times New Roman"/>
          <w:sz w:val="31"/>
          <w:szCs w:val="31"/>
        </w:rPr>
      </w:pPr>
    </w:p>
    <w:p w14:paraId="46AC7417" w14:textId="58CF2652" w:rsidR="00957F89" w:rsidRDefault="00D92D87" w:rsidP="005D3932">
      <w:pPr>
        <w:pStyle w:val="BodyText"/>
        <w:ind w:right="343"/>
      </w:pPr>
      <w:proofErr w:type="spellStart"/>
      <w:r w:rsidRPr="00C73849">
        <w:t>Parapyruvate</w:t>
      </w:r>
      <w:proofErr w:type="spellEnd"/>
      <w:r w:rsidRPr="00C73849">
        <w:t>/lactone in HCL solution was formulated according to the user instruction,</w:t>
      </w:r>
      <w:r w:rsidRPr="00C73849">
        <w:rPr>
          <w:w w:val="99"/>
        </w:rPr>
        <w:t xml:space="preserve"> </w:t>
      </w:r>
      <w:r w:rsidRPr="00C73849">
        <w:t>assuming the stock solution comprised concentrations of 50 mg/ml for each of the main</w:t>
      </w:r>
      <w:r w:rsidRPr="00C73849">
        <w:rPr>
          <w:w w:val="99"/>
        </w:rPr>
        <w:t xml:space="preserve"> </w:t>
      </w:r>
      <w:r w:rsidRPr="00C73849">
        <w:t xml:space="preserve">components, </w:t>
      </w:r>
      <w:proofErr w:type="spellStart"/>
      <w:r w:rsidRPr="00C73849">
        <w:t>parapyruvate</w:t>
      </w:r>
      <w:proofErr w:type="spellEnd"/>
      <w:r w:rsidRPr="00C73849">
        <w:t xml:space="preserve"> and lactone. However, the certificate of analysis showed that the</w:t>
      </w:r>
      <w:r w:rsidRPr="00C73849">
        <w:rPr>
          <w:w w:val="99"/>
        </w:rPr>
        <w:t xml:space="preserve"> </w:t>
      </w:r>
      <w:r w:rsidRPr="00C73849">
        <w:t xml:space="preserve">stock solution contained 39.53 mg/ml </w:t>
      </w:r>
      <w:proofErr w:type="spellStart"/>
      <w:r w:rsidRPr="00C73849">
        <w:t>parapyruvate</w:t>
      </w:r>
      <w:proofErr w:type="spellEnd"/>
      <w:r w:rsidRPr="00C73849">
        <w:t xml:space="preserve"> and 40.78 mg/ml lactone. The difference</w:t>
      </w:r>
      <w:r w:rsidRPr="00C73849">
        <w:rPr>
          <w:w w:val="99"/>
        </w:rPr>
        <w:t xml:space="preserve"> </w:t>
      </w:r>
      <w:r w:rsidRPr="00C73849">
        <w:t xml:space="preserve">between the target assay value and the observed assay value was attributed to increased water content in the dry dispensed substance. Accordingly, the actual concentrations for </w:t>
      </w:r>
      <w:proofErr w:type="spellStart"/>
      <w:r w:rsidRPr="00C73849">
        <w:t>parapyruvate</w:t>
      </w:r>
      <w:proofErr w:type="spellEnd"/>
      <w:r w:rsidRPr="00C73849">
        <w:t xml:space="preserve"> and lactone were approximately 18-21% less than expected.</w:t>
      </w:r>
    </w:p>
    <w:p w14:paraId="551703BD" w14:textId="77777777" w:rsidR="007121BD" w:rsidRPr="00C73849" w:rsidRDefault="007121BD" w:rsidP="005D3932">
      <w:pPr>
        <w:pStyle w:val="BodyText"/>
        <w:ind w:right="343"/>
      </w:pPr>
    </w:p>
    <w:p w14:paraId="372D7602" w14:textId="3392CEFF" w:rsidR="00957F89" w:rsidRPr="00C73849" w:rsidRDefault="00D92D87" w:rsidP="005D3932">
      <w:pPr>
        <w:pStyle w:val="BodyText"/>
        <w:spacing w:before="77" w:line="274" w:lineRule="exact"/>
        <w:ind w:right="899"/>
      </w:pPr>
      <w:r w:rsidRPr="00C73849">
        <w:t xml:space="preserve">In </w:t>
      </w:r>
      <w:r w:rsidR="00301609">
        <w:t>E</w:t>
      </w:r>
      <w:r w:rsidRPr="00C73849">
        <w:t>xperiment 1, treatment of all the test strains was performed in the absence and in the</w:t>
      </w:r>
      <w:r w:rsidRPr="00C73849">
        <w:rPr>
          <w:w w:val="99"/>
        </w:rPr>
        <w:t xml:space="preserve"> </w:t>
      </w:r>
      <w:r w:rsidRPr="00C73849">
        <w:t xml:space="preserve">presence of S-9, using final concentrations of </w:t>
      </w:r>
      <w:proofErr w:type="spellStart"/>
      <w:r w:rsidR="0006401D">
        <w:t>p</w:t>
      </w:r>
      <w:r w:rsidRPr="00C73849">
        <w:t>arapyruvate</w:t>
      </w:r>
      <w:proofErr w:type="spellEnd"/>
      <w:r w:rsidRPr="00C73849">
        <w:t>/lactone in HCl solution at 0.32, 1.6, 8, 40, 200, 1000</w:t>
      </w:r>
      <w:r w:rsidR="002A7BB9">
        <w:t>,</w:t>
      </w:r>
      <w:r w:rsidRPr="00C73849">
        <w:t xml:space="preserve"> and 5000 </w:t>
      </w:r>
      <w:r w:rsidRPr="00C73849">
        <w:rPr>
          <w:rFonts w:ascii="Symbol" w:eastAsia="Symbol" w:hAnsi="Symbol" w:cs="Symbol"/>
        </w:rPr>
        <w:t></w:t>
      </w:r>
      <w:r w:rsidRPr="00C73849">
        <w:t>g/plate, plus negative (vehicle) and positive controls. Following</w:t>
      </w:r>
      <w:r w:rsidR="00AE6106" w:rsidRPr="00C73849">
        <w:t xml:space="preserve"> </w:t>
      </w:r>
      <w:r w:rsidRPr="00C73849">
        <w:t xml:space="preserve">these treatments, evidence of toxicity was observed at 5000 </w:t>
      </w:r>
      <w:r w:rsidRPr="00C73849">
        <w:rPr>
          <w:rFonts w:ascii="Symbol" w:eastAsia="Symbol" w:hAnsi="Symbol" w:cs="Symbol"/>
        </w:rPr>
        <w:t></w:t>
      </w:r>
      <w:r w:rsidRPr="00C73849">
        <w:t>g/plate in all strains in the</w:t>
      </w:r>
      <w:r w:rsidRPr="00C73849">
        <w:rPr>
          <w:w w:val="99"/>
        </w:rPr>
        <w:t xml:space="preserve"> </w:t>
      </w:r>
      <w:r w:rsidRPr="00C73849">
        <w:t>absence and presence of S-9.</w:t>
      </w:r>
    </w:p>
    <w:p w14:paraId="6614FDD2" w14:textId="77777777" w:rsidR="00957F89" w:rsidRPr="00980B07" w:rsidRDefault="00957F89" w:rsidP="005D3932">
      <w:pPr>
        <w:spacing w:before="1"/>
        <w:rPr>
          <w:rFonts w:ascii="Times New Roman" w:eastAsia="Times New Roman" w:hAnsi="Times New Roman" w:cs="Times New Roman"/>
        </w:rPr>
      </w:pPr>
    </w:p>
    <w:p w14:paraId="4E5A4BFD" w14:textId="20DEE518" w:rsidR="00957F89" w:rsidRPr="00C73849" w:rsidRDefault="00D92D87" w:rsidP="005D3932">
      <w:pPr>
        <w:pStyle w:val="BodyText"/>
        <w:ind w:right="276"/>
      </w:pPr>
      <w:r w:rsidRPr="00C73849">
        <w:t xml:space="preserve">In </w:t>
      </w:r>
      <w:r w:rsidR="00301609">
        <w:t>E</w:t>
      </w:r>
      <w:r w:rsidRPr="00C73849">
        <w:t>xperiment 2, treatment of all the tester strains was performed in the absence and in the</w:t>
      </w:r>
      <w:r w:rsidRPr="00C73849">
        <w:rPr>
          <w:w w:val="99"/>
        </w:rPr>
        <w:t xml:space="preserve"> </w:t>
      </w:r>
      <w:r w:rsidRPr="00C73849">
        <w:t xml:space="preserve">presence of S-9 with a maximum test concentration of 5000 </w:t>
      </w:r>
      <w:r w:rsidRPr="00C73849">
        <w:rPr>
          <w:rFonts w:ascii="Symbol" w:eastAsia="Symbol" w:hAnsi="Symbol" w:cs="Symbol"/>
        </w:rPr>
        <w:t></w:t>
      </w:r>
      <w:r w:rsidRPr="00C73849">
        <w:t>g/plate. Narrowed concentration</w:t>
      </w:r>
      <w:r w:rsidRPr="00C73849">
        <w:rPr>
          <w:w w:val="99"/>
        </w:rPr>
        <w:t xml:space="preserve"> </w:t>
      </w:r>
      <w:r w:rsidRPr="00C73849">
        <w:t xml:space="preserve">ranges were employed (20.48 – 5000 </w:t>
      </w:r>
      <w:r w:rsidRPr="00C73849">
        <w:rPr>
          <w:rFonts w:ascii="Symbol" w:eastAsia="Symbol" w:hAnsi="Symbol" w:cs="Symbol"/>
        </w:rPr>
        <w:t></w:t>
      </w:r>
      <w:r w:rsidRPr="00C73849">
        <w:t xml:space="preserve">g/plate), </w:t>
      </w:r>
      <w:proofErr w:type="gramStart"/>
      <w:r w:rsidRPr="00C73849">
        <w:t>in order to</w:t>
      </w:r>
      <w:proofErr w:type="gramEnd"/>
      <w:r w:rsidRPr="00C73849">
        <w:t xml:space="preserve"> examine more closely those</w:t>
      </w:r>
      <w:r w:rsidRPr="00C73849">
        <w:rPr>
          <w:w w:val="99"/>
        </w:rPr>
        <w:t xml:space="preserve"> </w:t>
      </w:r>
      <w:r w:rsidRPr="00C73849">
        <w:t xml:space="preserve">concentrations of </w:t>
      </w:r>
      <w:proofErr w:type="spellStart"/>
      <w:r w:rsidR="0006401D">
        <w:t>p</w:t>
      </w:r>
      <w:r w:rsidRPr="00C73849">
        <w:t>arapyruvate</w:t>
      </w:r>
      <w:proofErr w:type="spellEnd"/>
      <w:r w:rsidRPr="00C73849">
        <w:t>/Lactone in HCl solution approaching the maximum test</w:t>
      </w:r>
      <w:r w:rsidRPr="00C73849">
        <w:rPr>
          <w:w w:val="99"/>
        </w:rPr>
        <w:t xml:space="preserve"> </w:t>
      </w:r>
      <w:r w:rsidRPr="00C73849">
        <w:t>concentration and therefore considered most likely to provide evidence of any mutagenic</w:t>
      </w:r>
      <w:r w:rsidRPr="00C73849">
        <w:rPr>
          <w:w w:val="99"/>
        </w:rPr>
        <w:t xml:space="preserve"> </w:t>
      </w:r>
      <w:r w:rsidRPr="00C73849">
        <w:t>activity. In addition, all treatments in the presence of S-9 were further modified by the</w:t>
      </w:r>
      <w:r w:rsidR="001E1911">
        <w:rPr>
          <w:w w:val="99"/>
        </w:rPr>
        <w:t xml:space="preserve"> </w:t>
      </w:r>
      <w:r w:rsidRPr="00C73849">
        <w:t>inclusion of a pre-incubation step. In this way, it was hoped to increase the range of mutagenic</w:t>
      </w:r>
      <w:r w:rsidRPr="00C73849">
        <w:rPr>
          <w:w w:val="99"/>
        </w:rPr>
        <w:t xml:space="preserve"> </w:t>
      </w:r>
      <w:r w:rsidRPr="00C73849">
        <w:t>chemicals that could be detected using this assay system. Following these treatments, evidence</w:t>
      </w:r>
      <w:r w:rsidRPr="00C73849">
        <w:rPr>
          <w:w w:val="99"/>
        </w:rPr>
        <w:t xml:space="preserve"> </w:t>
      </w:r>
      <w:r w:rsidRPr="00C73849">
        <w:t xml:space="preserve">of toxicity was observed </w:t>
      </w:r>
      <w:proofErr w:type="gramStart"/>
      <w:r w:rsidRPr="00C73849">
        <w:t>at</w:t>
      </w:r>
      <w:proofErr w:type="gramEnd"/>
      <w:r w:rsidRPr="00C73849">
        <w:t xml:space="preserve"> 2000 </w:t>
      </w:r>
      <w:r w:rsidRPr="00C73849">
        <w:rPr>
          <w:rFonts w:ascii="Symbol" w:eastAsia="Symbol" w:hAnsi="Symbol" w:cs="Symbol"/>
        </w:rPr>
        <w:t></w:t>
      </w:r>
      <w:r w:rsidRPr="00C73849">
        <w:t>g/plate and above in strains TA1537 and TA102 in the</w:t>
      </w:r>
      <w:r w:rsidRPr="00C73849">
        <w:rPr>
          <w:w w:val="99"/>
        </w:rPr>
        <w:t xml:space="preserve"> </w:t>
      </w:r>
      <w:r w:rsidRPr="00C73849">
        <w:t xml:space="preserve">absence of S-9, at 5000 </w:t>
      </w:r>
      <w:r w:rsidRPr="00C73849">
        <w:rPr>
          <w:rFonts w:ascii="Symbol" w:eastAsia="Symbol" w:hAnsi="Symbol" w:cs="Symbol"/>
        </w:rPr>
        <w:t></w:t>
      </w:r>
      <w:r w:rsidRPr="00C73849">
        <w:t>g/plate in strains TA98 and TA100 in the absence and presence of S- 9, and in strains TA1535, TA1537 and TA102 in the presence of S-9 only.</w:t>
      </w:r>
    </w:p>
    <w:p w14:paraId="7921F58F" w14:textId="77777777" w:rsidR="00957F89" w:rsidRPr="00980B07" w:rsidRDefault="00957F89" w:rsidP="005D3932">
      <w:pPr>
        <w:spacing w:before="4"/>
        <w:rPr>
          <w:rFonts w:ascii="Times New Roman" w:eastAsia="Times New Roman" w:hAnsi="Times New Roman" w:cs="Times New Roman"/>
        </w:rPr>
      </w:pPr>
    </w:p>
    <w:p w14:paraId="26D6682F" w14:textId="22078344" w:rsidR="00957F89" w:rsidRPr="00C73849" w:rsidRDefault="00D92D87" w:rsidP="005D3932">
      <w:pPr>
        <w:pStyle w:val="BodyText"/>
        <w:ind w:right="211"/>
      </w:pPr>
      <w:r w:rsidRPr="00C73849">
        <w:t xml:space="preserve">It was concluded that </w:t>
      </w:r>
      <w:proofErr w:type="spellStart"/>
      <w:r w:rsidR="004D4F6C">
        <w:t>p</w:t>
      </w:r>
      <w:r w:rsidRPr="00C73849">
        <w:t>arapyruvate</w:t>
      </w:r>
      <w:proofErr w:type="spellEnd"/>
      <w:r w:rsidRPr="00C73849">
        <w:t>/lactone in HCl solution did not induce mutation in five</w:t>
      </w:r>
      <w:r w:rsidRPr="00C73849">
        <w:rPr>
          <w:w w:val="99"/>
        </w:rPr>
        <w:t xml:space="preserve"> </w:t>
      </w:r>
      <w:r w:rsidRPr="00C73849">
        <w:t xml:space="preserve">histidine-requiring strains (TA98, TA100, TA1535, TA1537 and TA102) of </w:t>
      </w:r>
      <w:r w:rsidRPr="00C73849">
        <w:rPr>
          <w:rFonts w:cs="Times New Roman"/>
          <w:i/>
        </w:rPr>
        <w:t xml:space="preserve">Salmonella typhimurium </w:t>
      </w:r>
      <w:r w:rsidRPr="00C73849">
        <w:t>when tested under the conditions of this study. These conditions included</w:t>
      </w:r>
      <w:r w:rsidRPr="00C73849">
        <w:rPr>
          <w:w w:val="99"/>
        </w:rPr>
        <w:t xml:space="preserve"> </w:t>
      </w:r>
      <w:r w:rsidRPr="00C73849">
        <w:t xml:space="preserve">treatments at nominal concentrations up to 5000 </w:t>
      </w:r>
      <w:r w:rsidRPr="00C73849">
        <w:rPr>
          <w:rFonts w:ascii="Symbol" w:eastAsia="Symbol" w:hAnsi="Symbol" w:cs="Symbol"/>
        </w:rPr>
        <w:t></w:t>
      </w:r>
      <w:r w:rsidRPr="00C73849">
        <w:t>g/plate, in the absence and in the presence of a rat liver metabolic activation system (S-9).</w:t>
      </w:r>
    </w:p>
    <w:p w14:paraId="0A67A905" w14:textId="77777777" w:rsidR="00957F89" w:rsidRPr="00980B07" w:rsidRDefault="00957F89" w:rsidP="005D3932">
      <w:pPr>
        <w:rPr>
          <w:rFonts w:ascii="Times New Roman" w:eastAsia="Times New Roman" w:hAnsi="Times New Roman" w:cs="Times New Roman"/>
        </w:rPr>
      </w:pPr>
    </w:p>
    <w:p w14:paraId="45CBE568" w14:textId="77777777" w:rsidR="00957F89" w:rsidRPr="00C73849" w:rsidRDefault="009A553C" w:rsidP="005A4B55">
      <w:pPr>
        <w:pStyle w:val="Heading5"/>
        <w:rPr>
          <w:rFonts w:eastAsia="Times New Roman" w:hAnsi="Times New Roman" w:cs="Times New Roman"/>
          <w:szCs w:val="24"/>
        </w:rPr>
      </w:pPr>
      <w:r>
        <w:rPr>
          <w:rFonts w:ascii="Times New Roman"/>
        </w:rPr>
        <w:t>5.3.4.5.2</w:t>
      </w:r>
      <w:r w:rsidRPr="00C73849">
        <w:rPr>
          <w:rFonts w:ascii="Times New Roman"/>
        </w:rPr>
        <w:tab/>
      </w:r>
      <w:r w:rsidR="00D92D87" w:rsidRPr="00C73849">
        <w:t xml:space="preserve">Covance study number: 2789/9 (GE study number: B101063) </w:t>
      </w:r>
      <w:proofErr w:type="spellStart"/>
      <w:r w:rsidR="00D92D87" w:rsidRPr="00C73849">
        <w:t>Parapyruvate</w:t>
      </w:r>
      <w:proofErr w:type="spellEnd"/>
      <w:r w:rsidR="00D92D87" w:rsidRPr="00C73849">
        <w:t>/lactone in HCl solution: Mutation at the thymidine kinase (</w:t>
      </w:r>
      <w:proofErr w:type="spellStart"/>
      <w:r w:rsidR="00D92D87" w:rsidRPr="00C73849">
        <w:rPr>
          <w:i/>
        </w:rPr>
        <w:t>tk</w:t>
      </w:r>
      <w:proofErr w:type="spellEnd"/>
      <w:r w:rsidR="00D92D87" w:rsidRPr="00C73849">
        <w:t xml:space="preserve">) locus of mouse lymphoma L5178Y cells (MLA) using the </w:t>
      </w:r>
      <w:proofErr w:type="spellStart"/>
      <w:r w:rsidR="00D92D87" w:rsidRPr="00C73849">
        <w:t>Microtitre</w:t>
      </w:r>
      <w:proofErr w:type="spellEnd"/>
      <w:r w:rsidR="00D92D87" w:rsidRPr="00C73849">
        <w:rPr>
          <w:position w:val="11"/>
          <w:sz w:val="16"/>
        </w:rPr>
        <w:t xml:space="preserve">R </w:t>
      </w:r>
      <w:r w:rsidR="00D92D87" w:rsidRPr="00C73849">
        <w:t>fluctuation technique</w:t>
      </w:r>
    </w:p>
    <w:p w14:paraId="3A2C9049" w14:textId="77777777" w:rsidR="00957F89" w:rsidRPr="00C73849" w:rsidRDefault="00957F89" w:rsidP="005D3932">
      <w:pPr>
        <w:spacing w:before="2"/>
        <w:rPr>
          <w:rFonts w:eastAsia="Times New Roman" w:hAnsi="Times New Roman" w:cs="Times New Roman"/>
          <w:b/>
          <w:bCs/>
          <w:sz w:val="20"/>
          <w:szCs w:val="20"/>
        </w:rPr>
      </w:pPr>
    </w:p>
    <w:p w14:paraId="5AA821A0" w14:textId="77777777" w:rsidR="00957F89" w:rsidRPr="00C73849" w:rsidRDefault="00D92D87" w:rsidP="005D3932">
      <w:pPr>
        <w:pStyle w:val="BodyText"/>
        <w:ind w:right="311"/>
      </w:pPr>
      <w:proofErr w:type="spellStart"/>
      <w:r w:rsidRPr="00C73849">
        <w:t>Parapyruvate</w:t>
      </w:r>
      <w:proofErr w:type="spellEnd"/>
      <w:r w:rsidRPr="00C73849">
        <w:t xml:space="preserve">/lactone in HCl solution was assayed for its ability to induce mutation at the </w:t>
      </w:r>
      <w:proofErr w:type="spellStart"/>
      <w:r w:rsidRPr="00C73849">
        <w:rPr>
          <w:i/>
        </w:rPr>
        <w:t>tk</w:t>
      </w:r>
      <w:proofErr w:type="spellEnd"/>
      <w:r w:rsidRPr="00C73849">
        <w:rPr>
          <w:i/>
        </w:rPr>
        <w:t xml:space="preserve"> </w:t>
      </w:r>
      <w:r w:rsidRPr="00C73849">
        <w:t>locus (5-trifluorothymidine [TFT] resistance) in mouse lymphoma cells using a fluctuation</w:t>
      </w:r>
      <w:r w:rsidRPr="00C73849">
        <w:rPr>
          <w:w w:val="99"/>
        </w:rPr>
        <w:t xml:space="preserve"> </w:t>
      </w:r>
      <w:r w:rsidRPr="00C73849">
        <w:t xml:space="preserve">protocol. The study consisted of a cytotoxicity Range-Finder Experiment followed by two independent </w:t>
      </w:r>
      <w:r w:rsidRPr="00C73849">
        <w:lastRenderedPageBreak/>
        <w:t>experiments, each conducted in the absence and presence of metabolic activation</w:t>
      </w:r>
      <w:r w:rsidRPr="00C73849">
        <w:rPr>
          <w:w w:val="99"/>
        </w:rPr>
        <w:t xml:space="preserve"> </w:t>
      </w:r>
      <w:r w:rsidRPr="00C73849">
        <w:t xml:space="preserve">by an </w:t>
      </w:r>
      <w:proofErr w:type="spellStart"/>
      <w:r w:rsidRPr="00C73849">
        <w:t>Aroclor</w:t>
      </w:r>
      <w:proofErr w:type="spellEnd"/>
      <w:r w:rsidRPr="00C73849">
        <w:t xml:space="preserve"> 1254 induced rat liver post-mitochondrial fraction (S-9).</w:t>
      </w:r>
    </w:p>
    <w:p w14:paraId="7F1EE08C" w14:textId="77777777" w:rsidR="00957F89" w:rsidRPr="00980B07" w:rsidRDefault="00957F89" w:rsidP="005D3932">
      <w:pPr>
        <w:spacing w:before="4"/>
        <w:rPr>
          <w:rFonts w:ascii="Times New Roman" w:eastAsia="Times New Roman" w:hAnsi="Times New Roman" w:cs="Times New Roman"/>
        </w:rPr>
      </w:pPr>
    </w:p>
    <w:p w14:paraId="5E994A80" w14:textId="77777777" w:rsidR="00957F89" w:rsidRPr="00C73849" w:rsidRDefault="00D92D87" w:rsidP="005D3932">
      <w:pPr>
        <w:pStyle w:val="BodyText"/>
        <w:spacing w:line="239" w:lineRule="auto"/>
        <w:ind w:right="343"/>
      </w:pPr>
      <w:proofErr w:type="spellStart"/>
      <w:r w:rsidRPr="00C73849">
        <w:t>Parapyruvate</w:t>
      </w:r>
      <w:proofErr w:type="spellEnd"/>
      <w:r w:rsidRPr="00C73849">
        <w:t>/lactone in HCL solution was formulated according to the user instruction,</w:t>
      </w:r>
      <w:r w:rsidRPr="00C73849">
        <w:rPr>
          <w:w w:val="99"/>
        </w:rPr>
        <w:t xml:space="preserve"> </w:t>
      </w:r>
      <w:r w:rsidRPr="00C73849">
        <w:t>assuming the stock solution comprised concentrations of 50 mg/mL for each of main</w:t>
      </w:r>
      <w:r w:rsidRPr="00C73849">
        <w:rPr>
          <w:w w:val="99"/>
        </w:rPr>
        <w:t xml:space="preserve"> </w:t>
      </w:r>
      <w:r w:rsidRPr="00C73849">
        <w:t xml:space="preserve">components, </w:t>
      </w:r>
      <w:proofErr w:type="spellStart"/>
      <w:r w:rsidRPr="00C73849">
        <w:t>parapyruvate</w:t>
      </w:r>
      <w:proofErr w:type="spellEnd"/>
      <w:r w:rsidRPr="00C73849">
        <w:t xml:space="preserve"> and lactone. However, the certificate of analysis showed that the</w:t>
      </w:r>
      <w:r w:rsidRPr="00C73849">
        <w:rPr>
          <w:w w:val="99"/>
        </w:rPr>
        <w:t xml:space="preserve"> </w:t>
      </w:r>
      <w:r w:rsidRPr="00C73849">
        <w:t xml:space="preserve">stock solution contained 39.53 mg/ml </w:t>
      </w:r>
      <w:proofErr w:type="spellStart"/>
      <w:r w:rsidRPr="00C73849">
        <w:t>parapyruvate</w:t>
      </w:r>
      <w:proofErr w:type="spellEnd"/>
      <w:r w:rsidRPr="00C73849">
        <w:t xml:space="preserve"> and 40.78 mg/ml lactone. The difference</w:t>
      </w:r>
      <w:r w:rsidRPr="00C73849">
        <w:rPr>
          <w:w w:val="99"/>
        </w:rPr>
        <w:t xml:space="preserve"> </w:t>
      </w:r>
      <w:r w:rsidRPr="00C73849">
        <w:t xml:space="preserve">between the target assay value and the observed assay value was attributed to increased water content in the dry dispensed substance. Accordingly, the actual concentrations for </w:t>
      </w:r>
      <w:proofErr w:type="spellStart"/>
      <w:r w:rsidRPr="00C73849">
        <w:t>parapyruvate</w:t>
      </w:r>
      <w:proofErr w:type="spellEnd"/>
      <w:r w:rsidRPr="00C73849">
        <w:t xml:space="preserve"> and lactone were approximately 18-21% less than expected.</w:t>
      </w:r>
    </w:p>
    <w:p w14:paraId="39CC0337" w14:textId="77777777" w:rsidR="00957F89" w:rsidRPr="00980B07" w:rsidRDefault="00957F89" w:rsidP="005D3932">
      <w:pPr>
        <w:spacing w:before="4"/>
        <w:rPr>
          <w:rFonts w:ascii="Times New Roman" w:eastAsia="Times New Roman" w:hAnsi="Times New Roman" w:cs="Times New Roman"/>
        </w:rPr>
      </w:pPr>
    </w:p>
    <w:p w14:paraId="62A43257" w14:textId="15438E5D" w:rsidR="00957F89" w:rsidRPr="00C73849" w:rsidRDefault="00D92D87" w:rsidP="005D3932">
      <w:pPr>
        <w:pStyle w:val="BodyText"/>
        <w:ind w:right="466"/>
        <w:rPr>
          <w:rFonts w:ascii="Times New Roman" w:hAnsi="Times New Roman" w:cs="Times New Roman"/>
          <w:sz w:val="20"/>
          <w:szCs w:val="20"/>
        </w:rPr>
      </w:pPr>
      <w:r w:rsidRPr="00C73849">
        <w:t>A 3 h treatment incubation period was used for all experiments performed in the presence of S-9. In the absence of S-9, the Range-Finder Experiment was performed using 3 h and 24 h treatment incubation periods</w:t>
      </w:r>
      <w:r w:rsidR="00301609">
        <w:t>.</w:t>
      </w:r>
      <w:r w:rsidRPr="00C73849">
        <w:t xml:space="preserve"> Experiment 1 was performed using a 3 h treatment incubation</w:t>
      </w:r>
      <w:r w:rsidRPr="00C73849">
        <w:rPr>
          <w:w w:val="99"/>
        </w:rPr>
        <w:t xml:space="preserve"> </w:t>
      </w:r>
      <w:r w:rsidRPr="00C73849">
        <w:t>and Experiment 2 was performed using a 24 h treatment incubation.</w:t>
      </w:r>
    </w:p>
    <w:p w14:paraId="502C19E2" w14:textId="77777777" w:rsidR="00957F89" w:rsidRPr="00980B07" w:rsidRDefault="00957F89" w:rsidP="005D3932">
      <w:pPr>
        <w:spacing w:before="11"/>
        <w:rPr>
          <w:rFonts w:ascii="Times New Roman" w:eastAsia="Times New Roman" w:hAnsi="Times New Roman" w:cs="Times New Roman"/>
        </w:rPr>
      </w:pPr>
    </w:p>
    <w:p w14:paraId="46E9CA9E" w14:textId="77777777" w:rsidR="00957F89" w:rsidRPr="00C73849" w:rsidRDefault="00D92D87" w:rsidP="005D3932">
      <w:pPr>
        <w:pStyle w:val="BodyText"/>
        <w:spacing w:before="69"/>
        <w:ind w:right="256"/>
      </w:pPr>
      <w:r w:rsidRPr="00C73849">
        <w:t>In the cytotoxicity Range-Finder Experiment, 3 h treatment, six concentrations were tested, in</w:t>
      </w:r>
      <w:r w:rsidRPr="00C73849">
        <w:rPr>
          <w:w w:val="99"/>
        </w:rPr>
        <w:t xml:space="preserve"> </w:t>
      </w:r>
      <w:r w:rsidRPr="00C73849">
        <w:t xml:space="preserve">the absence and presence of S-9, ranging from 156.3 to 5000 </w:t>
      </w:r>
      <w:r w:rsidRPr="00C73849">
        <w:rPr>
          <w:rFonts w:ascii="Symbol" w:eastAsia="Symbol" w:hAnsi="Symbol" w:cs="Symbol"/>
        </w:rPr>
        <w:t></w:t>
      </w:r>
      <w:r w:rsidRPr="00C73849">
        <w:t>g/ml (an acceptable maximum</w:t>
      </w:r>
      <w:r w:rsidRPr="00C73849">
        <w:rPr>
          <w:w w:val="99"/>
        </w:rPr>
        <w:t xml:space="preserve"> </w:t>
      </w:r>
      <w:r w:rsidRPr="00C73849">
        <w:t xml:space="preserve">concentration for </w:t>
      </w:r>
      <w:r w:rsidRPr="00C73849">
        <w:rPr>
          <w:rFonts w:cs="Times New Roman"/>
          <w:i/>
        </w:rPr>
        <w:t xml:space="preserve">in vitro </w:t>
      </w:r>
      <w:r w:rsidRPr="00C73849">
        <w:t>genetic toxicology studies according to current regulatory guidelines). The highest concentration to provide &gt;10% relative total growth (RTG) was</w:t>
      </w:r>
      <w:r w:rsidR="001E1911">
        <w:t xml:space="preserve"> </w:t>
      </w:r>
      <w:r w:rsidRPr="00C73849">
        <w:t xml:space="preserve">1250 </w:t>
      </w:r>
      <w:r w:rsidRPr="00C73849">
        <w:rPr>
          <w:rFonts w:ascii="Symbol" w:eastAsia="Symbol" w:hAnsi="Symbol" w:cs="Symbol"/>
        </w:rPr>
        <w:t></w:t>
      </w:r>
      <w:r w:rsidRPr="00C73849">
        <w:t>g/mL, which gave 14% and 48% RTG in the absence and presence of S-9, respectively.</w:t>
      </w:r>
    </w:p>
    <w:p w14:paraId="120EEF3C" w14:textId="77777777" w:rsidR="00957F89" w:rsidRPr="00980B07" w:rsidRDefault="00957F89" w:rsidP="005D3932">
      <w:pPr>
        <w:spacing w:before="2"/>
        <w:rPr>
          <w:rFonts w:ascii="Times New Roman" w:eastAsia="Times New Roman" w:hAnsi="Times New Roman" w:cs="Times New Roman"/>
        </w:rPr>
      </w:pPr>
    </w:p>
    <w:p w14:paraId="61FC907C" w14:textId="77777777" w:rsidR="00957F89" w:rsidRPr="00C73849" w:rsidRDefault="00D92D87" w:rsidP="005D3932">
      <w:pPr>
        <w:pStyle w:val="BodyText"/>
        <w:ind w:right="208"/>
      </w:pPr>
      <w:r w:rsidRPr="00C73849">
        <w:t>In the cytotoxicity Range-Finder Experiment, 24 h treatment, nine concentrations were tested</w:t>
      </w:r>
      <w:r w:rsidR="001E1911">
        <w:rPr>
          <w:w w:val="99"/>
        </w:rPr>
        <w:t xml:space="preserve"> </w:t>
      </w:r>
      <w:r w:rsidRPr="00C73849">
        <w:t xml:space="preserve">in the absence of S-9, ranging from 19.53 to 5000 </w:t>
      </w:r>
      <w:r w:rsidRPr="00C73849">
        <w:rPr>
          <w:rFonts w:ascii="Symbol" w:eastAsia="Symbol" w:hAnsi="Symbol" w:cs="Symbol"/>
        </w:rPr>
        <w:t></w:t>
      </w:r>
      <w:r w:rsidRPr="00C73849">
        <w:t>g/ml. The highest concentration to provide</w:t>
      </w:r>
      <w:r w:rsidR="008265DD">
        <w:t xml:space="preserve"> </w:t>
      </w:r>
      <w:r w:rsidRPr="00C73849">
        <w:t xml:space="preserve">&gt;10% RTG was 625 </w:t>
      </w:r>
      <w:r w:rsidRPr="00C73849">
        <w:rPr>
          <w:rFonts w:ascii="Symbol" w:eastAsia="Symbol" w:hAnsi="Symbol" w:cs="Symbol"/>
        </w:rPr>
        <w:t></w:t>
      </w:r>
      <w:r w:rsidRPr="00C73849">
        <w:t>g/ml, which gave 41% RTG.</w:t>
      </w:r>
    </w:p>
    <w:p w14:paraId="313FCE06" w14:textId="77777777" w:rsidR="00957F89" w:rsidRPr="002131A0" w:rsidRDefault="00957F89" w:rsidP="005D3932">
      <w:pPr>
        <w:spacing w:before="5"/>
      </w:pPr>
    </w:p>
    <w:p w14:paraId="77CF8203" w14:textId="77777777" w:rsidR="00957F89" w:rsidRPr="00C73849" w:rsidRDefault="00D92D87" w:rsidP="005D3932">
      <w:pPr>
        <w:pStyle w:val="BodyText"/>
        <w:spacing w:line="239" w:lineRule="auto"/>
        <w:ind w:right="165"/>
      </w:pPr>
      <w:r w:rsidRPr="00C73849">
        <w:t xml:space="preserve">Accordingly, for Experiment 1, ten concentrations, ranging from 200 to 1600 </w:t>
      </w:r>
      <w:r w:rsidRPr="00C73849">
        <w:rPr>
          <w:rFonts w:ascii="Symbol" w:eastAsia="Symbol" w:hAnsi="Symbol" w:cs="Symbol"/>
        </w:rPr>
        <w:t></w:t>
      </w:r>
      <w:r w:rsidRPr="00C73849">
        <w:t>g/ml in the</w:t>
      </w:r>
      <w:r w:rsidRPr="00C73849">
        <w:rPr>
          <w:w w:val="99"/>
        </w:rPr>
        <w:t xml:space="preserve"> </w:t>
      </w:r>
      <w:r w:rsidRPr="00C73849">
        <w:t xml:space="preserve">absence of S-9 and from 250 to 2500 </w:t>
      </w:r>
      <w:r w:rsidRPr="00C73849">
        <w:rPr>
          <w:rFonts w:ascii="Symbol" w:eastAsia="Symbol" w:hAnsi="Symbol" w:cs="Symbol"/>
        </w:rPr>
        <w:t></w:t>
      </w:r>
      <w:r w:rsidRPr="00C73849">
        <w:t>g/ml in the presence of S-9, were tested. Two days after treatment, the highest concentrations analyzed to determine viability and TFT resistance were</w:t>
      </w:r>
      <w:r w:rsidRPr="00C73849">
        <w:rPr>
          <w:w w:val="99"/>
        </w:rPr>
        <w:t xml:space="preserve"> </w:t>
      </w:r>
      <w:r w:rsidRPr="00C73849">
        <w:t xml:space="preserve">1400 </w:t>
      </w:r>
      <w:r w:rsidRPr="00C73849">
        <w:rPr>
          <w:rFonts w:ascii="Symbol" w:eastAsia="Symbol" w:hAnsi="Symbol" w:cs="Symbol"/>
        </w:rPr>
        <w:t></w:t>
      </w:r>
      <w:r w:rsidRPr="00C73849">
        <w:t xml:space="preserve">g/ml in the absence of S-9 and 1250 </w:t>
      </w:r>
      <w:r w:rsidRPr="00C73849">
        <w:rPr>
          <w:rFonts w:ascii="Symbol" w:eastAsia="Symbol" w:hAnsi="Symbol" w:cs="Symbol"/>
        </w:rPr>
        <w:t></w:t>
      </w:r>
      <w:r w:rsidRPr="00C73849">
        <w:t>g/ml in the presence of S-9, which gave 8% and 37% RTG, respectively. In the presence of S-9, a steep concentration-related increase in</w:t>
      </w:r>
      <w:r w:rsidRPr="00C73849">
        <w:rPr>
          <w:w w:val="99"/>
        </w:rPr>
        <w:t xml:space="preserve"> </w:t>
      </w:r>
      <w:r w:rsidRPr="00C73849">
        <w:t>toxicity was observed between 1250 and 1500 µg/ml, giving 37% and 3% RTG, respectively, and there was marked heterogeneity between cultures at the higher concentration. Cultures were initially analyzed for mutation at 1500 µg/</w:t>
      </w:r>
      <w:r w:rsidR="00CE5E5A" w:rsidRPr="00C73849">
        <w:t>ml,</w:t>
      </w:r>
      <w:r w:rsidRPr="00C73849">
        <w:t xml:space="preserve"> but the mutation data were </w:t>
      </w:r>
      <w:r w:rsidR="002A7BB9" w:rsidRPr="00C73849">
        <w:t>considered</w:t>
      </w:r>
      <w:r w:rsidR="002A7BB9">
        <w:rPr>
          <w:w w:val="99"/>
        </w:rPr>
        <w:t xml:space="preserve"> extremely</w:t>
      </w:r>
      <w:r w:rsidRPr="00C73849">
        <w:t xml:space="preserve"> unreliable due to the high cytotoxicity and marked heterogeneity.</w:t>
      </w:r>
    </w:p>
    <w:p w14:paraId="6EBB9204" w14:textId="77777777" w:rsidR="00957F89" w:rsidRPr="002131A0" w:rsidRDefault="00957F89" w:rsidP="005D3932">
      <w:pPr>
        <w:spacing w:before="6"/>
      </w:pPr>
    </w:p>
    <w:p w14:paraId="2CDD9712" w14:textId="77777777" w:rsidR="00957F89" w:rsidRPr="00C73849" w:rsidRDefault="00D92D87" w:rsidP="005D3932">
      <w:pPr>
        <w:pStyle w:val="BodyText"/>
        <w:ind w:right="363"/>
      </w:pPr>
      <w:r w:rsidRPr="00C73849">
        <w:t xml:space="preserve">In Experiment 2, ten concentrations ranging from 125 to 1200 </w:t>
      </w:r>
      <w:r w:rsidRPr="00C73849">
        <w:rPr>
          <w:rFonts w:ascii="Symbol" w:eastAsia="Symbol" w:hAnsi="Symbol" w:cs="Symbol"/>
        </w:rPr>
        <w:t></w:t>
      </w:r>
      <w:r w:rsidRPr="00C73849">
        <w:t>g/ml in the absence of S-9</w:t>
      </w:r>
      <w:r w:rsidR="001E1911">
        <w:t xml:space="preserve"> </w:t>
      </w:r>
      <w:r w:rsidRPr="00C73849">
        <w:t>(</w:t>
      </w:r>
      <w:r w:rsidR="00CE5E5A" w:rsidRPr="00C73849">
        <w:t>24-hour</w:t>
      </w:r>
      <w:r w:rsidRPr="00C73849">
        <w:t xml:space="preserve"> treatment) and from 250 to 1750 </w:t>
      </w:r>
      <w:r w:rsidRPr="00C73849">
        <w:rPr>
          <w:rFonts w:ascii="Symbol" w:eastAsia="Symbol" w:hAnsi="Symbol" w:cs="Symbol"/>
        </w:rPr>
        <w:t></w:t>
      </w:r>
      <w:r w:rsidRPr="00C73849">
        <w:t>g/ml in the presence of S-9 (3 h treatment), were</w:t>
      </w:r>
      <w:r w:rsidRPr="00C73849">
        <w:rPr>
          <w:w w:val="99"/>
        </w:rPr>
        <w:t xml:space="preserve"> </w:t>
      </w:r>
      <w:r w:rsidRPr="00C73849">
        <w:t xml:space="preserve">tested. Two days after treatment, the highest concentrations analyzed to determine viability and TFT resistance were 750 </w:t>
      </w:r>
      <w:r w:rsidRPr="00C73849">
        <w:rPr>
          <w:rFonts w:ascii="Symbol" w:eastAsia="Symbol" w:hAnsi="Symbol" w:cs="Symbol"/>
        </w:rPr>
        <w:t></w:t>
      </w:r>
      <w:r w:rsidRPr="00C73849">
        <w:t xml:space="preserve">g/ml in the absence of S-9 and 1300 </w:t>
      </w:r>
      <w:r w:rsidRPr="00C73849">
        <w:rPr>
          <w:rFonts w:ascii="Symbol" w:eastAsia="Symbol" w:hAnsi="Symbol" w:cs="Symbol"/>
        </w:rPr>
        <w:t></w:t>
      </w:r>
      <w:r w:rsidRPr="00C73849">
        <w:t>g/ml in the presence of S-9, which gave 14% and 24% RTG, respectively. As in Experiment 1, these small increases in mutation frequency were seen under conditions of reduced pH, increased osmolality and at</w:t>
      </w:r>
      <w:r w:rsidRPr="00C73849">
        <w:rPr>
          <w:w w:val="99"/>
        </w:rPr>
        <w:t xml:space="preserve"> </w:t>
      </w:r>
      <w:r w:rsidRPr="00C73849">
        <w:t>cytotoxic concentrations.</w:t>
      </w:r>
    </w:p>
    <w:p w14:paraId="4BF94B81" w14:textId="77777777" w:rsidR="00957F89" w:rsidRPr="002131A0" w:rsidRDefault="00957F89" w:rsidP="005D3932">
      <w:pPr>
        <w:spacing w:before="7"/>
      </w:pPr>
    </w:p>
    <w:p w14:paraId="35D27605" w14:textId="77777777" w:rsidR="00957F89" w:rsidRPr="00C73849" w:rsidRDefault="00D92D87" w:rsidP="005D3932">
      <w:pPr>
        <w:pStyle w:val="BodyText"/>
        <w:spacing w:line="276" w:lineRule="exact"/>
        <w:ind w:right="311"/>
      </w:pPr>
      <w:r w:rsidRPr="00C73849">
        <w:t>In Experiment 1 in the absence of S-9, an increase in mean mutant frequency of approximately 148 (thus exceeding the Global Evaluation Factor [GEF] of 126 mutants per 10</w:t>
      </w:r>
      <w:r w:rsidRPr="00C73849">
        <w:rPr>
          <w:position w:val="11"/>
          <w:sz w:val="16"/>
        </w:rPr>
        <w:t xml:space="preserve">6 </w:t>
      </w:r>
      <w:r w:rsidRPr="00C73849">
        <w:t>viable cells)</w:t>
      </w:r>
      <w:r w:rsidRPr="00C73849">
        <w:rPr>
          <w:w w:val="99"/>
        </w:rPr>
        <w:t xml:space="preserve"> </w:t>
      </w:r>
      <w:r w:rsidRPr="00C73849">
        <w:t>was observed at 1400 µg/ml (giving 8% RTG) and there was a weak linear trend. However, a</w:t>
      </w:r>
      <w:r w:rsidRPr="00C73849">
        <w:rPr>
          <w:w w:val="99"/>
        </w:rPr>
        <w:t xml:space="preserve"> </w:t>
      </w:r>
      <w:r w:rsidRPr="00C73849">
        <w:t>steep concentration-related increase in toxicity was observed between 1250 and 1400 µg/ml</w:t>
      </w:r>
      <w:r w:rsidRPr="00C73849">
        <w:rPr>
          <w:w w:val="99"/>
        </w:rPr>
        <w:t xml:space="preserve"> </w:t>
      </w:r>
      <w:r w:rsidRPr="00C73849">
        <w:t>(giving 46% and 8% RTG, respectively) and at 1250 µg/ml the increase in mean mutant</w:t>
      </w:r>
      <w:r w:rsidRPr="00C73849">
        <w:rPr>
          <w:w w:val="99"/>
        </w:rPr>
        <w:t xml:space="preserve"> </w:t>
      </w:r>
      <w:r w:rsidRPr="00C73849">
        <w:t xml:space="preserve">frequency was </w:t>
      </w:r>
      <w:r w:rsidRPr="00C73849">
        <w:lastRenderedPageBreak/>
        <w:t>only 34 mutants per 10</w:t>
      </w:r>
      <w:r w:rsidRPr="00C73849">
        <w:rPr>
          <w:position w:val="11"/>
          <w:sz w:val="16"/>
        </w:rPr>
        <w:t xml:space="preserve">6 </w:t>
      </w:r>
      <w:r w:rsidRPr="00C73849">
        <w:t>viable cells, compared to the concurrent negative</w:t>
      </w:r>
      <w:r w:rsidRPr="00C73849">
        <w:rPr>
          <w:w w:val="99"/>
        </w:rPr>
        <w:t xml:space="preserve"> </w:t>
      </w:r>
      <w:r w:rsidRPr="00C73849">
        <w:t>control, i.e. considerably below the GEF. Furthermore, the increase in mutant frequency at</w:t>
      </w:r>
      <w:r w:rsidRPr="00C73849">
        <w:rPr>
          <w:w w:val="99"/>
        </w:rPr>
        <w:t xml:space="preserve"> </w:t>
      </w:r>
      <w:r w:rsidRPr="00C73849">
        <w:t>1400 µg/mL was associated with a decrease in pH of 1.85 and an increase in osmolality of</w:t>
      </w:r>
    </w:p>
    <w:p w14:paraId="660675B5" w14:textId="77777777" w:rsidR="00957F89" w:rsidRPr="00C73849" w:rsidRDefault="00D92D87" w:rsidP="005D3932">
      <w:pPr>
        <w:pStyle w:val="BodyText"/>
        <w:ind w:right="151"/>
      </w:pPr>
      <w:r w:rsidRPr="00C73849">
        <w:t xml:space="preserve">61 </w:t>
      </w:r>
      <w:proofErr w:type="spellStart"/>
      <w:r w:rsidRPr="00C73849">
        <w:t>mOsm</w:t>
      </w:r>
      <w:proofErr w:type="spellEnd"/>
      <w:r w:rsidRPr="00C73849">
        <w:t xml:space="preserve">/kg, compared to concurrent negative control values, therefore the observation </w:t>
      </w:r>
      <w:proofErr w:type="gramStart"/>
      <w:r w:rsidRPr="00C73849">
        <w:t>is</w:t>
      </w:r>
      <w:r w:rsidRPr="00C73849">
        <w:rPr>
          <w:w w:val="99"/>
        </w:rPr>
        <w:t xml:space="preserve"> </w:t>
      </w:r>
      <w:r w:rsidRPr="00C73849">
        <w:t>considered to be</w:t>
      </w:r>
      <w:proofErr w:type="gramEnd"/>
      <w:r w:rsidRPr="00C73849">
        <w:t xml:space="preserve"> of highly questionable biological relevance.</w:t>
      </w:r>
    </w:p>
    <w:p w14:paraId="20DE7D11" w14:textId="77777777" w:rsidR="00957F89" w:rsidRPr="002131A0" w:rsidRDefault="00957F89" w:rsidP="005D3932">
      <w:pPr>
        <w:spacing w:before="11"/>
      </w:pPr>
    </w:p>
    <w:p w14:paraId="1270C6A0" w14:textId="77777777" w:rsidR="00957F89" w:rsidRPr="00C73849" w:rsidRDefault="00D92D87" w:rsidP="005D3932">
      <w:pPr>
        <w:pStyle w:val="BodyText"/>
        <w:spacing w:line="231" w:lineRule="auto"/>
        <w:ind w:right="311"/>
      </w:pPr>
      <w:r w:rsidRPr="008265DD">
        <w:t>In Ex</w:t>
      </w:r>
      <w:r w:rsidRPr="00C73849">
        <w:t>periment 1 in the presence of S-9, an increase in mean mutant frequency of 152 (thus exceeding the GEF) was observed only at 1500 µg/ml (giving 3% RTG). At the lower</w:t>
      </w:r>
      <w:r w:rsidRPr="00C73849">
        <w:rPr>
          <w:w w:val="99"/>
        </w:rPr>
        <w:t xml:space="preserve"> </w:t>
      </w:r>
      <w:r w:rsidRPr="00C73849">
        <w:t>concentration of 1250 µg/ml (giving 37% RTG), the increase in mean mutant frequency was only 4 mutants per 10</w:t>
      </w:r>
      <w:r w:rsidRPr="00C73849">
        <w:rPr>
          <w:position w:val="11"/>
          <w:sz w:val="16"/>
        </w:rPr>
        <w:t xml:space="preserve">6 </w:t>
      </w:r>
      <w:r w:rsidRPr="00C73849">
        <w:t>viable cells, compared to the concurrent negative control, i.e.</w:t>
      </w:r>
      <w:r w:rsidRPr="00C73849">
        <w:rPr>
          <w:w w:val="99"/>
        </w:rPr>
        <w:t xml:space="preserve"> </w:t>
      </w:r>
      <w:r w:rsidRPr="00C73849">
        <w:t xml:space="preserve">between replicate cultures was observed at 1500 µg/ml, in addition to a decrease in pH of &gt;1 unit and an increase in osmolality of &gt;50 </w:t>
      </w:r>
      <w:proofErr w:type="spellStart"/>
      <w:r w:rsidRPr="00C73849">
        <w:t>mOsm</w:t>
      </w:r>
      <w:proofErr w:type="spellEnd"/>
      <w:r w:rsidRPr="00C73849">
        <w:t>/kg, therefore the increase in mutant frequency at this concentration was not considered biologically relevant.</w:t>
      </w:r>
    </w:p>
    <w:p w14:paraId="0B80AC9D" w14:textId="77777777" w:rsidR="00957F89" w:rsidRPr="002131A0" w:rsidRDefault="00957F89" w:rsidP="005D3932">
      <w:pPr>
        <w:spacing w:before="4"/>
      </w:pPr>
    </w:p>
    <w:p w14:paraId="626AB742" w14:textId="77777777" w:rsidR="00957F89" w:rsidRPr="00203D0A" w:rsidRDefault="00D92D87" w:rsidP="005D3932">
      <w:pPr>
        <w:pStyle w:val="BodyText"/>
        <w:ind w:right="311"/>
      </w:pPr>
      <w:r w:rsidRPr="008265DD">
        <w:t>In the absence and presence of S-9 in Experiment 2, the mutant freque</w:t>
      </w:r>
      <w:r w:rsidRPr="00203D0A">
        <w:t>ncies of the</w:t>
      </w:r>
      <w:r w:rsidRPr="002131A0">
        <w:t xml:space="preserve"> </w:t>
      </w:r>
      <w:r w:rsidRPr="008265DD">
        <w:t>concentrations plated were all less than the sum of the mean control mutant frequency plus the</w:t>
      </w:r>
      <w:r w:rsidRPr="002131A0">
        <w:t xml:space="preserve"> </w:t>
      </w:r>
      <w:r w:rsidRPr="008265DD">
        <w:t>GEF, indicating a negative result, but statistically significant linear trends were observed.</w:t>
      </w:r>
    </w:p>
    <w:p w14:paraId="33054FF8" w14:textId="77777777" w:rsidR="00957F89" w:rsidRPr="002131A0" w:rsidRDefault="00957F89" w:rsidP="005D3932">
      <w:pPr>
        <w:spacing w:before="4"/>
      </w:pPr>
    </w:p>
    <w:p w14:paraId="6DD9B3A2" w14:textId="6D7D1E00" w:rsidR="00957F89" w:rsidRPr="00203D0A" w:rsidRDefault="00D92D87" w:rsidP="005D3932">
      <w:pPr>
        <w:pStyle w:val="BodyText"/>
        <w:ind w:right="343"/>
      </w:pPr>
      <w:r w:rsidRPr="008265DD">
        <w:t xml:space="preserve">It is concluded that </w:t>
      </w:r>
      <w:proofErr w:type="spellStart"/>
      <w:r w:rsidR="00860C0E">
        <w:t>p</w:t>
      </w:r>
      <w:r w:rsidRPr="008265DD">
        <w:t>arapyruvate</w:t>
      </w:r>
      <w:proofErr w:type="spellEnd"/>
      <w:r w:rsidRPr="008265DD">
        <w:t>/</w:t>
      </w:r>
      <w:r w:rsidR="00860C0E">
        <w:t>l</w:t>
      </w:r>
      <w:r w:rsidRPr="008265DD">
        <w:t>actone in HCl solu</w:t>
      </w:r>
      <w:r w:rsidRPr="00203D0A">
        <w:t>tion showed evidence of mutagenic</w:t>
      </w:r>
      <w:r w:rsidRPr="002131A0">
        <w:t xml:space="preserve"> </w:t>
      </w:r>
      <w:r w:rsidRPr="008265DD">
        <w:t xml:space="preserve">activity when tested in the absence of S-9 in this test system. However, following 3 h treatment the increase was associated only with extreme toxicity (&lt;10% RTG), a decrease in pH of &gt;1 unit and an increase in osmolality </w:t>
      </w:r>
      <w:r w:rsidRPr="00203D0A">
        <w:t xml:space="preserve">of &gt;50 </w:t>
      </w:r>
      <w:proofErr w:type="spellStart"/>
      <w:r w:rsidRPr="00203D0A">
        <w:t>mOsm</w:t>
      </w:r>
      <w:proofErr w:type="spellEnd"/>
      <w:r w:rsidRPr="00203D0A">
        <w:t>/kg. Furthermore, following 24 h treatments in the absence of S-9, no marked increases in mutant frequency (exceeding the</w:t>
      </w:r>
      <w:r w:rsidRPr="002131A0">
        <w:t xml:space="preserve"> </w:t>
      </w:r>
      <w:r w:rsidRPr="008265DD">
        <w:t>GEF) were observed at any concentration analyzed, although there was a statistically significant linear trend. Overall, the</w:t>
      </w:r>
      <w:r w:rsidRPr="00203D0A">
        <w:t>se observations were considered of highly questionable</w:t>
      </w:r>
      <w:r w:rsidRPr="002131A0">
        <w:t xml:space="preserve"> </w:t>
      </w:r>
      <w:r w:rsidRPr="008265DD">
        <w:t>biological relevance.</w:t>
      </w:r>
    </w:p>
    <w:p w14:paraId="53CD462F" w14:textId="77777777" w:rsidR="00957F89" w:rsidRPr="002131A0" w:rsidRDefault="00957F89" w:rsidP="005D3932">
      <w:pPr>
        <w:spacing w:before="4"/>
      </w:pPr>
    </w:p>
    <w:p w14:paraId="050A6E7E" w14:textId="73F4C767" w:rsidR="00957F89" w:rsidRPr="00C73849" w:rsidRDefault="00D92D87" w:rsidP="005D3932">
      <w:pPr>
        <w:pStyle w:val="BodyText"/>
        <w:ind w:right="899"/>
      </w:pPr>
      <w:r w:rsidRPr="008265DD">
        <w:t>In the prese</w:t>
      </w:r>
      <w:r w:rsidRPr="00C73849">
        <w:t xml:space="preserve">nce of S-9, </w:t>
      </w:r>
      <w:proofErr w:type="spellStart"/>
      <w:r w:rsidR="00860C0E">
        <w:t>p</w:t>
      </w:r>
      <w:r w:rsidRPr="00C73849">
        <w:t>arapyruvate</w:t>
      </w:r>
      <w:proofErr w:type="spellEnd"/>
      <w:r w:rsidRPr="00C73849">
        <w:t>/lactone in HCl solution did not show reproducible</w:t>
      </w:r>
      <w:r w:rsidRPr="00C73849">
        <w:rPr>
          <w:w w:val="99"/>
        </w:rPr>
        <w:t xml:space="preserve"> </w:t>
      </w:r>
      <w:r w:rsidRPr="00C73849">
        <w:t>evidence of mutagenic activity when tested up to highly toxic concentrations.</w:t>
      </w:r>
    </w:p>
    <w:p w14:paraId="7C3D7D16" w14:textId="77777777" w:rsidR="00957F89" w:rsidRPr="00980B07" w:rsidRDefault="00957F89" w:rsidP="005D3932">
      <w:pPr>
        <w:spacing w:before="8"/>
        <w:rPr>
          <w:rFonts w:ascii="Times New Roman" w:eastAsia="Times New Roman" w:hAnsi="Times New Roman" w:cs="Times New Roman"/>
        </w:rPr>
      </w:pPr>
    </w:p>
    <w:p w14:paraId="5DF4A05D" w14:textId="77777777" w:rsidR="00957F89" w:rsidRPr="00C73849" w:rsidRDefault="009A553C" w:rsidP="005A4B55">
      <w:pPr>
        <w:pStyle w:val="Heading5"/>
        <w:rPr>
          <w:rFonts w:eastAsia="Times New Roman" w:hAnsi="Times New Roman" w:cs="Times New Roman"/>
          <w:szCs w:val="24"/>
        </w:rPr>
      </w:pPr>
      <w:r>
        <w:rPr>
          <w:rFonts w:ascii="Times New Roman"/>
        </w:rPr>
        <w:t>5.3.4.5.3</w:t>
      </w:r>
      <w:r w:rsidRPr="00C73849">
        <w:rPr>
          <w:rFonts w:ascii="Times New Roman"/>
        </w:rPr>
        <w:tab/>
      </w:r>
      <w:r w:rsidR="00D92D87" w:rsidRPr="00C73849">
        <w:t xml:space="preserve">Covance study number: 2789/10 (GE study number: B101064) </w:t>
      </w:r>
      <w:proofErr w:type="spellStart"/>
      <w:r w:rsidR="00D92D87" w:rsidRPr="00C73849">
        <w:t>Parapyruvate</w:t>
      </w:r>
      <w:proofErr w:type="spellEnd"/>
      <w:r w:rsidR="00D92D87" w:rsidRPr="00C73849">
        <w:t>/lactone in TRIS solution: Induction of micronuclei in the bone marrow of treated rats (GLP)</w:t>
      </w:r>
    </w:p>
    <w:p w14:paraId="0CB8F4DE" w14:textId="77777777" w:rsidR="00957F89" w:rsidRPr="002131A0" w:rsidRDefault="00957F89" w:rsidP="005D3932">
      <w:pPr>
        <w:spacing w:before="5"/>
      </w:pPr>
    </w:p>
    <w:p w14:paraId="2E969D66" w14:textId="77777777" w:rsidR="00957F89" w:rsidRPr="008265DD" w:rsidRDefault="00D92D87" w:rsidP="005D3932">
      <w:pPr>
        <w:pStyle w:val="BodyText"/>
        <w:ind w:right="151"/>
      </w:pPr>
      <w:proofErr w:type="spellStart"/>
      <w:r w:rsidRPr="008265DD">
        <w:t>Parapyruvate</w:t>
      </w:r>
      <w:proofErr w:type="spellEnd"/>
      <w:r w:rsidRPr="008265DD">
        <w:t>/lactone in TRIS solution was tested for its ability to induce micronuclei (MN) in</w:t>
      </w:r>
      <w:r w:rsidRPr="002131A0">
        <w:t xml:space="preserve"> </w:t>
      </w:r>
      <w:r w:rsidRPr="008265DD">
        <w:t>the polychromatic erythrocytes (PCE) of the bone marrow of treated rats.</w:t>
      </w:r>
    </w:p>
    <w:p w14:paraId="63212719" w14:textId="77777777" w:rsidR="00957F89" w:rsidRPr="002131A0" w:rsidRDefault="00957F89" w:rsidP="005D3932">
      <w:pPr>
        <w:spacing w:before="4"/>
      </w:pPr>
    </w:p>
    <w:p w14:paraId="09E5CA25" w14:textId="77777777" w:rsidR="00957F89" w:rsidRPr="00DA01B2" w:rsidRDefault="00D92D87" w:rsidP="005D3932">
      <w:pPr>
        <w:pStyle w:val="BodyText"/>
        <w:spacing w:line="239" w:lineRule="auto"/>
        <w:ind w:right="343"/>
      </w:pPr>
      <w:proofErr w:type="spellStart"/>
      <w:r w:rsidRPr="008265DD">
        <w:t>Parapyruvate</w:t>
      </w:r>
      <w:proofErr w:type="spellEnd"/>
      <w:r w:rsidRPr="008265DD">
        <w:t>/lactone in TRIS solution was formulated according to the user instruction,</w:t>
      </w:r>
      <w:r w:rsidRPr="002131A0">
        <w:t xml:space="preserve"> </w:t>
      </w:r>
      <w:r w:rsidRPr="008265DD">
        <w:t>assuming the stock solution comprised concentrations of 10 mg/ml for each of the main</w:t>
      </w:r>
      <w:r w:rsidRPr="002131A0">
        <w:t xml:space="preserve"> </w:t>
      </w:r>
      <w:r w:rsidRPr="008265DD">
        <w:t xml:space="preserve">components, </w:t>
      </w:r>
      <w:proofErr w:type="spellStart"/>
      <w:r w:rsidRPr="008265DD">
        <w:t>parapyruvate</w:t>
      </w:r>
      <w:proofErr w:type="spellEnd"/>
      <w:r w:rsidRPr="008265DD">
        <w:t xml:space="preserve"> and lactone. However, the certificate of analysis showed that the</w:t>
      </w:r>
      <w:r w:rsidRPr="002131A0">
        <w:t xml:space="preserve"> </w:t>
      </w:r>
      <w:r w:rsidRPr="008265DD">
        <w:t xml:space="preserve">stock solution contained 8.6 mg/ml </w:t>
      </w:r>
      <w:proofErr w:type="spellStart"/>
      <w:r w:rsidRPr="008265DD">
        <w:t>parapyruvate</w:t>
      </w:r>
      <w:proofErr w:type="spellEnd"/>
      <w:r w:rsidRPr="008265DD">
        <w:t xml:space="preserve"> and 8.19 mg/ml lactone. The difference</w:t>
      </w:r>
      <w:r w:rsidRPr="002131A0">
        <w:t xml:space="preserve"> </w:t>
      </w:r>
      <w:r w:rsidRPr="008265DD">
        <w:t>between the target assay value and the observed assay value was attributed to increase</w:t>
      </w:r>
      <w:r w:rsidRPr="00203D0A">
        <w:t xml:space="preserve">d water content in the dry dispensed substance. Accordingly, the actual concentrations for </w:t>
      </w:r>
      <w:proofErr w:type="spellStart"/>
      <w:r w:rsidRPr="00203D0A">
        <w:t>parapyruvate</w:t>
      </w:r>
      <w:proofErr w:type="spellEnd"/>
      <w:r w:rsidRPr="00203D0A">
        <w:t xml:space="preserve"> and lactone were approximately 14-18% less than expected.</w:t>
      </w:r>
    </w:p>
    <w:p w14:paraId="4F889BAC" w14:textId="77777777" w:rsidR="00957F89" w:rsidRPr="002131A0" w:rsidRDefault="00957F89" w:rsidP="005D3932">
      <w:pPr>
        <w:spacing w:before="4"/>
      </w:pPr>
    </w:p>
    <w:p w14:paraId="46C8F218" w14:textId="77777777" w:rsidR="00957F89" w:rsidRPr="00203D0A" w:rsidRDefault="00D92D87" w:rsidP="005D3932">
      <w:pPr>
        <w:pStyle w:val="BodyText"/>
        <w:ind w:right="311"/>
      </w:pPr>
      <w:r w:rsidRPr="008265DD">
        <w:t>In an initial toxicity Range-Finder Experiment, out-bred male and female Han Wistar rats were</w:t>
      </w:r>
      <w:r w:rsidRPr="002131A0">
        <w:t xml:space="preserve"> </w:t>
      </w:r>
      <w:r w:rsidRPr="008265DD">
        <w:t xml:space="preserve">dosed once with the test article at a maximum permissible dose volume of 20 ml/kg, designed to provide a dose of 200 mg </w:t>
      </w:r>
      <w:proofErr w:type="spellStart"/>
      <w:r w:rsidRPr="008265DD">
        <w:t>parapyruvate</w:t>
      </w:r>
      <w:proofErr w:type="spellEnd"/>
      <w:r w:rsidRPr="008265DD">
        <w:t>/kg and 200 mg lactone/kg, via intravenous infusion</w:t>
      </w:r>
      <w:r w:rsidR="001E1911" w:rsidRPr="002131A0">
        <w:t xml:space="preserve"> </w:t>
      </w:r>
      <w:r w:rsidRPr="008265DD">
        <w:t xml:space="preserve">at a rate of 1.2 ml/min. During a </w:t>
      </w:r>
      <w:r w:rsidR="00CE5E5A" w:rsidRPr="008265DD">
        <w:t>two-day</w:t>
      </w:r>
      <w:r w:rsidRPr="008265DD">
        <w:t xml:space="preserve"> post-dose observation period, clinical signs of piloerection were noted.</w:t>
      </w:r>
    </w:p>
    <w:p w14:paraId="25FC700B" w14:textId="77777777" w:rsidR="00957F89" w:rsidRPr="002131A0" w:rsidRDefault="00957F89" w:rsidP="005D3932">
      <w:pPr>
        <w:spacing w:before="4"/>
      </w:pPr>
    </w:p>
    <w:p w14:paraId="606309FF" w14:textId="77777777" w:rsidR="00957F89" w:rsidRPr="00203D0A" w:rsidRDefault="00D92D87" w:rsidP="005D3932">
      <w:pPr>
        <w:pStyle w:val="BodyText"/>
        <w:ind w:right="312"/>
      </w:pPr>
      <w:r w:rsidRPr="008265DD">
        <w:lastRenderedPageBreak/>
        <w:t>From these data, the nominal dose of 200 mg/kg was considered a suitable maximum dose for the Micronucleus Experiment. Two lower nominal doses of 60 and 20 mg/kg were also</w:t>
      </w:r>
      <w:r w:rsidRPr="002131A0">
        <w:t xml:space="preserve"> </w:t>
      </w:r>
      <w:r w:rsidRPr="008265DD">
        <w:t>administered. No substantial difference was observed between males and females in the</w:t>
      </w:r>
      <w:r w:rsidRPr="002131A0">
        <w:t xml:space="preserve"> </w:t>
      </w:r>
      <w:proofErr w:type="gramStart"/>
      <w:r w:rsidRPr="008265DD">
        <w:t>Range-Finder</w:t>
      </w:r>
      <w:proofErr w:type="gramEnd"/>
      <w:r w:rsidRPr="008265DD">
        <w:t>, therefore male animals only were used in the Micronucleus Experiment.</w:t>
      </w:r>
    </w:p>
    <w:p w14:paraId="528357B9" w14:textId="1092BFB8" w:rsidR="00957F89" w:rsidRPr="008265DD" w:rsidRDefault="00D92D87" w:rsidP="005D3932">
      <w:pPr>
        <w:pStyle w:val="BodyText"/>
        <w:spacing w:before="69"/>
        <w:ind w:right="311"/>
      </w:pPr>
      <w:r w:rsidRPr="00DA01B2">
        <w:t xml:space="preserve">Groups of six male rats were treated once with the vehicle or </w:t>
      </w:r>
      <w:proofErr w:type="spellStart"/>
      <w:r w:rsidR="00B57BAF">
        <w:t>p</w:t>
      </w:r>
      <w:r w:rsidRPr="00DA01B2">
        <w:t>arapyruvate</w:t>
      </w:r>
      <w:proofErr w:type="spellEnd"/>
      <w:r w:rsidRPr="00DA01B2">
        <w:t xml:space="preserve">/lactone in TRIS solution using the same dosing </w:t>
      </w:r>
      <w:r w:rsidR="002A7BB9" w:rsidRPr="00DA01B2">
        <w:t>re</w:t>
      </w:r>
      <w:r w:rsidR="002A7BB9" w:rsidRPr="00CC7DF9">
        <w:t>gimen</w:t>
      </w:r>
      <w:r w:rsidRPr="00CC7DF9">
        <w:t xml:space="preserve"> as the Range-Finder Experiment at dose volumes of 2, 6 and 20 ml/kg to provide the doses stated above. A group of six male rats were treated once via</w:t>
      </w:r>
      <w:r w:rsidRPr="002131A0">
        <w:t xml:space="preserve"> </w:t>
      </w:r>
      <w:r w:rsidRPr="008265DD">
        <w:t>oral gavage with the required positive control (cyclophosphamide 20 mg/kg) at a dose volume</w:t>
      </w:r>
      <w:r w:rsidRPr="002131A0">
        <w:t xml:space="preserve"> </w:t>
      </w:r>
      <w:r w:rsidRPr="008265DD">
        <w:t>of 10 ml/kg.</w:t>
      </w:r>
    </w:p>
    <w:p w14:paraId="13C9371E" w14:textId="77777777" w:rsidR="00957F89" w:rsidRPr="002131A0" w:rsidRDefault="00957F89" w:rsidP="005D3932">
      <w:pPr>
        <w:spacing w:before="4"/>
      </w:pPr>
    </w:p>
    <w:p w14:paraId="29542462" w14:textId="77777777" w:rsidR="00957F89" w:rsidRPr="008265DD" w:rsidRDefault="00D92D87" w:rsidP="005D3932">
      <w:pPr>
        <w:pStyle w:val="BodyText"/>
        <w:ind w:right="151"/>
      </w:pPr>
      <w:r w:rsidRPr="008265DD">
        <w:t>No clinical signs were observed in the Micronucleus Experiment. Bone marrow smears were</w:t>
      </w:r>
      <w:r w:rsidRPr="002131A0">
        <w:t xml:space="preserve"> </w:t>
      </w:r>
      <w:r w:rsidRPr="008265DD">
        <w:t>prepared from sacrificed animals approximately 24 and 48 h post-treatment.</w:t>
      </w:r>
    </w:p>
    <w:p w14:paraId="1C049D12" w14:textId="77777777" w:rsidR="00957F89" w:rsidRPr="002131A0" w:rsidRDefault="00957F89" w:rsidP="005D3932">
      <w:pPr>
        <w:spacing w:before="4"/>
      </w:pPr>
    </w:p>
    <w:p w14:paraId="780A6A5E" w14:textId="68D1AEB6" w:rsidR="00957F89" w:rsidRPr="00203D0A" w:rsidRDefault="00D92D87" w:rsidP="005D3932">
      <w:pPr>
        <w:pStyle w:val="BodyText"/>
        <w:ind w:right="311"/>
      </w:pPr>
      <w:r w:rsidRPr="008265DD">
        <w:t xml:space="preserve">Rats treated with </w:t>
      </w:r>
      <w:proofErr w:type="spellStart"/>
      <w:r w:rsidR="00B57BAF">
        <w:t>p</w:t>
      </w:r>
      <w:r w:rsidRPr="008265DD">
        <w:t>arapyruvate</w:t>
      </w:r>
      <w:proofErr w:type="spellEnd"/>
      <w:r w:rsidRPr="008265DD">
        <w:t>/lactone in TRIS solution at all doses, and both sampling time</w:t>
      </w:r>
      <w:r w:rsidRPr="002131A0">
        <w:t xml:space="preserve"> </w:t>
      </w:r>
      <w:r w:rsidRPr="008265DD">
        <w:t xml:space="preserve">points exhibited group mean % PCE that were </w:t>
      </w:r>
      <w:proofErr w:type="gramStart"/>
      <w:r w:rsidRPr="008265DD">
        <w:t>similar to</w:t>
      </w:r>
      <w:proofErr w:type="gramEnd"/>
      <w:r w:rsidRPr="008265DD">
        <w:t xml:space="preserve"> the values for the vehicle control</w:t>
      </w:r>
      <w:r w:rsidRPr="002131A0">
        <w:t xml:space="preserve"> </w:t>
      </w:r>
      <w:r w:rsidRPr="008265DD">
        <w:t>group, and which were comparable with historical control data, thus confirming there was no evidence of test article related bone marrow toxicity.</w:t>
      </w:r>
    </w:p>
    <w:p w14:paraId="429F8625" w14:textId="77777777" w:rsidR="00957F89" w:rsidRPr="002131A0" w:rsidRDefault="00957F89" w:rsidP="005D3932">
      <w:pPr>
        <w:spacing w:before="4"/>
      </w:pPr>
    </w:p>
    <w:p w14:paraId="7CEA05CA" w14:textId="4F287726" w:rsidR="00957F89" w:rsidRPr="00C73849" w:rsidRDefault="00D92D87" w:rsidP="005D3932">
      <w:pPr>
        <w:pStyle w:val="BodyText"/>
        <w:ind w:right="311"/>
      </w:pPr>
      <w:r w:rsidRPr="008265DD">
        <w:t xml:space="preserve">Rats treated with </w:t>
      </w:r>
      <w:proofErr w:type="spellStart"/>
      <w:r w:rsidR="00B57BAF">
        <w:t>p</w:t>
      </w:r>
      <w:r w:rsidRPr="008265DD">
        <w:t>arapyruvate</w:t>
      </w:r>
      <w:proofErr w:type="spellEnd"/>
      <w:r w:rsidRPr="008265DD">
        <w:t>/lactone in TRIS solution at all doses exhibited individual MN PCE frequencies that were generally similar to the values for the concurrent vehicle control</w:t>
      </w:r>
      <w:r w:rsidRPr="002131A0">
        <w:t xml:space="preserve"> </w:t>
      </w:r>
      <w:proofErr w:type="gramStart"/>
      <w:r w:rsidRPr="008265DD">
        <w:t>group</w:t>
      </w:r>
      <w:proofErr w:type="gramEnd"/>
      <w:r w:rsidRPr="008265DD">
        <w:t xml:space="preserve"> a</w:t>
      </w:r>
      <w:r w:rsidRPr="00C73849">
        <w:t>nd which also fell within the laboratory's historical distribution data. There were no instances of statistically significant increases in micronucleus frequency for any of the groups receiving the test article.</w:t>
      </w:r>
    </w:p>
    <w:p w14:paraId="38ED1A1C" w14:textId="77777777" w:rsidR="00957F89" w:rsidRPr="002131A0" w:rsidRDefault="00957F89" w:rsidP="005D3932">
      <w:pPr>
        <w:spacing w:before="4"/>
      </w:pPr>
    </w:p>
    <w:p w14:paraId="7B0F643B" w14:textId="5E6FD062" w:rsidR="00957F89" w:rsidRPr="008265DD" w:rsidRDefault="00D92D87" w:rsidP="005D3932">
      <w:pPr>
        <w:pStyle w:val="BodyText"/>
        <w:ind w:right="151"/>
      </w:pPr>
      <w:r w:rsidRPr="008265DD">
        <w:t xml:space="preserve">It is concluded that </w:t>
      </w:r>
      <w:proofErr w:type="spellStart"/>
      <w:r w:rsidR="00B57BAF">
        <w:t>p</w:t>
      </w:r>
      <w:r w:rsidRPr="008265DD">
        <w:t>arapyruvate</w:t>
      </w:r>
      <w:proofErr w:type="spellEnd"/>
      <w:r w:rsidRPr="008265DD">
        <w:t>/lactone in TRIS solution did not induce micronuclei in the</w:t>
      </w:r>
      <w:r w:rsidRPr="002131A0">
        <w:t xml:space="preserve"> </w:t>
      </w:r>
      <w:r w:rsidRPr="008265DD">
        <w:t>polychromatic erythrocytes of the bone marrow of male rats treated up to the nominal dose of 200 mg/kg (the maximum practicable dose</w:t>
      </w:r>
      <w:r w:rsidRPr="002131A0">
        <w:t xml:space="preserve">) </w:t>
      </w:r>
      <w:r w:rsidRPr="008265DD">
        <w:t>following both 24 and 48 h sampling under the</w:t>
      </w:r>
      <w:r w:rsidRPr="002131A0">
        <w:t xml:space="preserve"> </w:t>
      </w:r>
      <w:r w:rsidRPr="008265DD">
        <w:t>conditions of this assay.</w:t>
      </w:r>
    </w:p>
    <w:p w14:paraId="49A569FE" w14:textId="77777777" w:rsidR="00957F89" w:rsidRPr="002131A0" w:rsidRDefault="00957F89" w:rsidP="005D3932">
      <w:pPr>
        <w:spacing w:before="7"/>
      </w:pPr>
    </w:p>
    <w:p w14:paraId="69E003A5" w14:textId="77777777" w:rsidR="00957F89" w:rsidRPr="00C73849" w:rsidRDefault="00266FD0" w:rsidP="002131A0">
      <w:pPr>
        <w:pStyle w:val="Heading3"/>
        <w:rPr>
          <w:rFonts w:eastAsia="Times New Roman" w:hAnsi="Times New Roman" w:cs="Times New Roman"/>
          <w:szCs w:val="24"/>
        </w:rPr>
      </w:pPr>
      <w:bookmarkStart w:id="133" w:name="_Toc34899986"/>
      <w:bookmarkStart w:id="134" w:name="_Toc33702515"/>
      <w:bookmarkStart w:id="135" w:name="_Toc176276942"/>
      <w:r>
        <w:t>5.3.5</w:t>
      </w:r>
      <w:r>
        <w:tab/>
      </w:r>
      <w:r w:rsidR="00D92D87" w:rsidRPr="00C73849">
        <w:t>Carcinogenicity</w:t>
      </w:r>
      <w:bookmarkEnd w:id="133"/>
      <w:bookmarkEnd w:id="134"/>
      <w:bookmarkEnd w:id="135"/>
    </w:p>
    <w:p w14:paraId="51F8D0FE" w14:textId="77777777" w:rsidR="00957F89" w:rsidRPr="00C73849" w:rsidRDefault="00957F89">
      <w:pPr>
        <w:spacing w:before="5"/>
        <w:rPr>
          <w:rFonts w:ascii="Times New Roman" w:eastAsia="Times New Roman" w:hAnsi="Times New Roman" w:cs="Times New Roman"/>
          <w:b/>
          <w:bCs/>
          <w:sz w:val="20"/>
          <w:szCs w:val="20"/>
        </w:rPr>
      </w:pPr>
    </w:p>
    <w:p w14:paraId="51768A5F" w14:textId="77777777" w:rsidR="00957F89" w:rsidRPr="00C73849" w:rsidRDefault="00D92D87">
      <w:pPr>
        <w:pStyle w:val="BodyText"/>
      </w:pPr>
      <w:r w:rsidRPr="00C73849">
        <w:t>No studies have been performed to date.</w:t>
      </w:r>
    </w:p>
    <w:p w14:paraId="4BA74025" w14:textId="77777777" w:rsidR="00957F89" w:rsidRPr="00C73849" w:rsidRDefault="00957F89">
      <w:pPr>
        <w:rPr>
          <w:rFonts w:ascii="Times New Roman" w:eastAsia="Times New Roman" w:hAnsi="Times New Roman" w:cs="Times New Roman"/>
          <w:sz w:val="24"/>
          <w:szCs w:val="24"/>
        </w:rPr>
      </w:pPr>
    </w:p>
    <w:p w14:paraId="6A5498EA" w14:textId="77777777" w:rsidR="00957F89" w:rsidRPr="002131A0" w:rsidRDefault="00266FD0" w:rsidP="002131A0">
      <w:pPr>
        <w:pStyle w:val="Heading3"/>
      </w:pPr>
      <w:bookmarkStart w:id="136" w:name="_Toc34899987"/>
      <w:bookmarkStart w:id="137" w:name="_Toc33702516"/>
      <w:bookmarkStart w:id="138" w:name="_Toc176276943"/>
      <w:r>
        <w:t>5.3.6</w:t>
      </w:r>
      <w:r>
        <w:tab/>
      </w:r>
      <w:r w:rsidR="00D92D87" w:rsidRPr="002131A0">
        <w:t>Reproductive and Developmental Toxicity</w:t>
      </w:r>
      <w:bookmarkEnd w:id="136"/>
      <w:bookmarkEnd w:id="137"/>
      <w:bookmarkEnd w:id="138"/>
    </w:p>
    <w:p w14:paraId="4A7B422B" w14:textId="77777777" w:rsidR="00957F89" w:rsidRPr="00C73849" w:rsidRDefault="00957F89">
      <w:pPr>
        <w:spacing w:before="5"/>
        <w:rPr>
          <w:rFonts w:ascii="Times New Roman" w:eastAsia="Times New Roman" w:hAnsi="Times New Roman" w:cs="Times New Roman"/>
          <w:b/>
          <w:bCs/>
          <w:sz w:val="20"/>
          <w:szCs w:val="20"/>
        </w:rPr>
      </w:pPr>
    </w:p>
    <w:p w14:paraId="75A63A71" w14:textId="77777777" w:rsidR="00957F89" w:rsidRPr="00C73849" w:rsidRDefault="00D92D87">
      <w:pPr>
        <w:pStyle w:val="BodyText"/>
      </w:pPr>
      <w:r w:rsidRPr="00C73849">
        <w:t>No studies have been performed to date.</w:t>
      </w:r>
    </w:p>
    <w:p w14:paraId="051D048E" w14:textId="77777777" w:rsidR="00957F89" w:rsidRPr="00C73849" w:rsidRDefault="00957F89">
      <w:pPr>
        <w:rPr>
          <w:rFonts w:ascii="Times New Roman" w:eastAsia="Times New Roman" w:hAnsi="Times New Roman" w:cs="Times New Roman"/>
          <w:sz w:val="24"/>
          <w:szCs w:val="24"/>
        </w:rPr>
      </w:pPr>
    </w:p>
    <w:p w14:paraId="454466AB" w14:textId="77777777" w:rsidR="00957F89" w:rsidRPr="00C73849" w:rsidRDefault="00266FD0" w:rsidP="002131A0">
      <w:pPr>
        <w:pStyle w:val="Heading3"/>
        <w:rPr>
          <w:rFonts w:eastAsia="Times New Roman" w:hAnsi="Times New Roman" w:cs="Times New Roman"/>
          <w:szCs w:val="24"/>
        </w:rPr>
      </w:pPr>
      <w:bookmarkStart w:id="139" w:name="_Toc34899988"/>
      <w:bookmarkStart w:id="140" w:name="_Toc33702517"/>
      <w:bookmarkStart w:id="141" w:name="_Toc176276944"/>
      <w:r>
        <w:t>5.3.7</w:t>
      </w:r>
      <w:r>
        <w:tab/>
      </w:r>
      <w:r w:rsidR="00D92D87" w:rsidRPr="00C73849">
        <w:t>Local Tolerance</w:t>
      </w:r>
      <w:bookmarkEnd w:id="139"/>
      <w:bookmarkEnd w:id="140"/>
      <w:bookmarkEnd w:id="141"/>
    </w:p>
    <w:p w14:paraId="6C2398F7" w14:textId="77777777" w:rsidR="00957F89" w:rsidRPr="00C73849" w:rsidRDefault="00957F89" w:rsidP="00203787">
      <w:pPr>
        <w:keepNext/>
        <w:spacing w:before="10"/>
        <w:rPr>
          <w:rFonts w:ascii="Times New Roman" w:eastAsia="Times New Roman" w:hAnsi="Times New Roman" w:cs="Times New Roman"/>
          <w:b/>
          <w:bCs/>
          <w:sz w:val="20"/>
          <w:szCs w:val="20"/>
        </w:rPr>
      </w:pPr>
    </w:p>
    <w:p w14:paraId="2CB03CAF" w14:textId="630FB80A" w:rsidR="00957F89" w:rsidRPr="00C73849" w:rsidRDefault="00D92D87" w:rsidP="00DE40D1">
      <w:pPr>
        <w:pStyle w:val="Heading4"/>
        <w:rPr>
          <w:rFonts w:eastAsia="Times New Roman" w:hAnsi="Times New Roman" w:cs="Times New Roman"/>
          <w:szCs w:val="24"/>
        </w:rPr>
      </w:pPr>
      <w:r w:rsidRPr="00C73849">
        <w:t>5.3.7.1.</w:t>
      </w:r>
      <w:r w:rsidRPr="00C73849">
        <w:tab/>
        <w:t>TNO study number: 5612/08 (GE study number: B101013)</w:t>
      </w:r>
      <w:r w:rsidR="00266FD0">
        <w:t xml:space="preserve">: </w:t>
      </w:r>
      <w:r w:rsidRPr="00C73849">
        <w:t xml:space="preserve">Local Tolerance Study with AH111501 dissolved in </w:t>
      </w:r>
      <w:r w:rsidRPr="00C73849">
        <w:rPr>
          <w:position w:val="11"/>
          <w:sz w:val="16"/>
        </w:rPr>
        <w:t>12</w:t>
      </w:r>
      <w:r w:rsidRPr="00C73849">
        <w:t>C AH110896 in Rabbits (GLP)</w:t>
      </w:r>
    </w:p>
    <w:p w14:paraId="0014D048" w14:textId="77777777" w:rsidR="00957F89" w:rsidRPr="00C73849" w:rsidRDefault="00957F89" w:rsidP="005D3932">
      <w:pPr>
        <w:spacing w:before="2"/>
        <w:rPr>
          <w:rFonts w:eastAsia="Times New Roman" w:hAnsi="Times New Roman" w:cs="Times New Roman"/>
          <w:b/>
          <w:bCs/>
          <w:sz w:val="20"/>
          <w:szCs w:val="20"/>
        </w:rPr>
      </w:pPr>
    </w:p>
    <w:p w14:paraId="3987114E" w14:textId="77777777" w:rsidR="00957F89" w:rsidRPr="00C73849" w:rsidRDefault="00D92D87" w:rsidP="005D3932">
      <w:pPr>
        <w:pStyle w:val="BodyText"/>
        <w:ind w:right="151"/>
      </w:pPr>
      <w:r w:rsidRPr="00C73849">
        <w:t>The test item containing 44 mg/ml pyruvate and 0.85 mg/ml AH111501 in TRIS/EDTA</w:t>
      </w:r>
      <w:r w:rsidRPr="00C73849">
        <w:rPr>
          <w:w w:val="99"/>
        </w:rPr>
        <w:t xml:space="preserve"> </w:t>
      </w:r>
      <w:r w:rsidRPr="00C73849">
        <w:t>dissolution medium was administered via the following routes: intra-arterial (0.5 ml per site in</w:t>
      </w:r>
      <w:r w:rsidRPr="00C73849">
        <w:rPr>
          <w:w w:val="99"/>
        </w:rPr>
        <w:t xml:space="preserve"> </w:t>
      </w:r>
      <w:r w:rsidRPr="00C73849">
        <w:t>two males and two females), intramuscular (0.5 ml per site in two males and two females),</w:t>
      </w:r>
      <w:r w:rsidRPr="00C73849">
        <w:rPr>
          <w:w w:val="99"/>
        </w:rPr>
        <w:t xml:space="preserve"> </w:t>
      </w:r>
      <w:r w:rsidRPr="00C73849">
        <w:t xml:space="preserve">subcutaneous and </w:t>
      </w:r>
      <w:proofErr w:type="spellStart"/>
      <w:r w:rsidRPr="00C73849">
        <w:t>paravenous</w:t>
      </w:r>
      <w:proofErr w:type="spellEnd"/>
      <w:r w:rsidRPr="00C73849">
        <w:t xml:space="preserve"> (0.2 ml per site in two males and two females) injection in albino</w:t>
      </w:r>
      <w:r w:rsidR="008265DD">
        <w:t xml:space="preserve"> </w:t>
      </w:r>
      <w:r w:rsidRPr="00C73849">
        <w:t xml:space="preserve">rabbits. In addition, the acute dermal and eye irritating properties were examined, respectively, after one single dermal </w:t>
      </w:r>
      <w:r w:rsidRPr="00C73849">
        <w:lastRenderedPageBreak/>
        <w:t>application to the skin of three albino rabbits (0.5 ml per site), and one</w:t>
      </w:r>
      <w:r w:rsidRPr="00C73849">
        <w:rPr>
          <w:w w:val="99"/>
        </w:rPr>
        <w:t xml:space="preserve"> </w:t>
      </w:r>
      <w:r w:rsidRPr="00C73849">
        <w:t>single application to the eye of three albino rabbits (0.1 ml per site).</w:t>
      </w:r>
    </w:p>
    <w:p w14:paraId="0DAFAB31" w14:textId="77777777" w:rsidR="00957F89" w:rsidRPr="00C73849" w:rsidRDefault="00957F89" w:rsidP="005D3932">
      <w:pPr>
        <w:spacing w:before="10"/>
        <w:rPr>
          <w:rFonts w:ascii="Times New Roman" w:eastAsia="Times New Roman" w:hAnsi="Times New Roman" w:cs="Times New Roman"/>
          <w:sz w:val="20"/>
          <w:szCs w:val="20"/>
        </w:rPr>
      </w:pPr>
    </w:p>
    <w:p w14:paraId="27472D5A" w14:textId="77777777" w:rsidR="00957F89" w:rsidRPr="00C73849" w:rsidRDefault="00D92D87" w:rsidP="005D3932">
      <w:pPr>
        <w:pStyle w:val="BodyText"/>
        <w:ind w:right="225"/>
      </w:pPr>
      <w:r w:rsidRPr="00C73849">
        <w:t>The test item did not induce substance-related local effects in the rabbits by the dermal, ocular, intra-arterial and intramuscular route. Injection in the subcutis induced a minimal local</w:t>
      </w:r>
      <w:r w:rsidRPr="00C73849">
        <w:rPr>
          <w:w w:val="99"/>
        </w:rPr>
        <w:t xml:space="preserve"> </w:t>
      </w:r>
      <w:r w:rsidRPr="00C73849">
        <w:t>inflammatory response in one out of four cases, consisting of scattered single-cell necrosis and</w:t>
      </w:r>
      <w:r w:rsidRPr="00C73849">
        <w:rPr>
          <w:w w:val="99"/>
        </w:rPr>
        <w:t xml:space="preserve"> </w:t>
      </w:r>
      <w:r w:rsidRPr="00C73849">
        <w:t xml:space="preserve">infiltration with granulocytes, macrophages and monocytes. Injection in the </w:t>
      </w:r>
      <w:proofErr w:type="spellStart"/>
      <w:r w:rsidRPr="00C73849">
        <w:t>paravenous</w:t>
      </w:r>
      <w:proofErr w:type="spellEnd"/>
      <w:r w:rsidRPr="00C73849">
        <w:t xml:space="preserve"> area</w:t>
      </w:r>
      <w:r w:rsidRPr="00C73849">
        <w:rPr>
          <w:w w:val="99"/>
        </w:rPr>
        <w:t xml:space="preserve"> </w:t>
      </w:r>
      <w:r w:rsidRPr="00C73849">
        <w:t>induced a moderate local inflammatory response in two out of four cases, generally consisting of hemorrhages, scattered single-cell necrosis and infiltration with granulocytes, macrophages and monocytes.</w:t>
      </w:r>
    </w:p>
    <w:p w14:paraId="70A39229" w14:textId="77777777" w:rsidR="00957F89" w:rsidRPr="00C73849" w:rsidRDefault="00957F89" w:rsidP="005D3932">
      <w:pPr>
        <w:spacing w:before="10"/>
        <w:rPr>
          <w:rFonts w:ascii="Times New Roman" w:eastAsia="Times New Roman" w:hAnsi="Times New Roman" w:cs="Times New Roman"/>
          <w:sz w:val="20"/>
          <w:szCs w:val="20"/>
        </w:rPr>
      </w:pPr>
    </w:p>
    <w:p w14:paraId="4E2B1F23" w14:textId="77777777" w:rsidR="00957F89" w:rsidRPr="00C73849" w:rsidRDefault="00D92D87" w:rsidP="005D3932">
      <w:pPr>
        <w:pStyle w:val="BodyText"/>
        <w:ind w:right="311"/>
      </w:pPr>
      <w:r w:rsidRPr="00C73849">
        <w:t>It was concluded that the test item containing pyruvate (44 mg/ml) and AH111501 (0.85 mg/ml) did not induce signs of local intolerance in rabbits by the dermal, ocular, intra-arterial,</w:t>
      </w:r>
      <w:r w:rsidRPr="00C73849">
        <w:rPr>
          <w:w w:val="99"/>
        </w:rPr>
        <w:t xml:space="preserve"> </w:t>
      </w:r>
      <w:r w:rsidRPr="00C73849">
        <w:t xml:space="preserve">or the intramuscular route. Injection in the subcutis and in the </w:t>
      </w:r>
      <w:proofErr w:type="spellStart"/>
      <w:r w:rsidRPr="00C73849">
        <w:t>paravenous</w:t>
      </w:r>
      <w:proofErr w:type="spellEnd"/>
      <w:r w:rsidRPr="00C73849">
        <w:t xml:space="preserve"> area induced,</w:t>
      </w:r>
      <w:r w:rsidRPr="00C73849">
        <w:rPr>
          <w:w w:val="99"/>
        </w:rPr>
        <w:t xml:space="preserve"> </w:t>
      </w:r>
      <w:r w:rsidRPr="00C73849">
        <w:t>respectively, a minimal and a moderate local inflammatory response</w:t>
      </w:r>
    </w:p>
    <w:p w14:paraId="67565F73" w14:textId="77777777" w:rsidR="00957F89" w:rsidRPr="00C73849" w:rsidRDefault="00957F89" w:rsidP="005D3932">
      <w:pPr>
        <w:rPr>
          <w:rFonts w:ascii="Times New Roman" w:eastAsia="Times New Roman" w:hAnsi="Times New Roman" w:cs="Times New Roman"/>
          <w:sz w:val="24"/>
          <w:szCs w:val="24"/>
        </w:rPr>
      </w:pPr>
    </w:p>
    <w:p w14:paraId="7798A188" w14:textId="77777777" w:rsidR="00957F89" w:rsidRPr="00C73849" w:rsidRDefault="00266FD0" w:rsidP="002131A0">
      <w:pPr>
        <w:pStyle w:val="Heading3"/>
        <w:rPr>
          <w:rFonts w:eastAsia="Times New Roman" w:hAnsi="Times New Roman" w:cs="Times New Roman"/>
          <w:szCs w:val="24"/>
        </w:rPr>
      </w:pPr>
      <w:bookmarkStart w:id="142" w:name="_Toc34899989"/>
      <w:bookmarkStart w:id="143" w:name="_Toc33702518"/>
      <w:bookmarkStart w:id="144" w:name="_Toc176276945"/>
      <w:r>
        <w:t>5.3.8</w:t>
      </w:r>
      <w:r>
        <w:tab/>
      </w:r>
      <w:r w:rsidR="00D92D87" w:rsidRPr="00C73849">
        <w:t>Other Toxicity Studies</w:t>
      </w:r>
      <w:bookmarkEnd w:id="142"/>
      <w:bookmarkEnd w:id="143"/>
      <w:bookmarkEnd w:id="144"/>
    </w:p>
    <w:p w14:paraId="3579C7AE" w14:textId="77777777" w:rsidR="00957F89" w:rsidRPr="00C73849" w:rsidRDefault="00957F89">
      <w:pPr>
        <w:spacing w:before="5"/>
        <w:rPr>
          <w:rFonts w:ascii="Times New Roman" w:eastAsia="Times New Roman" w:hAnsi="Times New Roman" w:cs="Times New Roman"/>
          <w:b/>
          <w:bCs/>
          <w:sz w:val="20"/>
          <w:szCs w:val="20"/>
        </w:rPr>
      </w:pPr>
    </w:p>
    <w:p w14:paraId="1BEE3FFF" w14:textId="77777777" w:rsidR="00957F89" w:rsidRPr="00C73849" w:rsidRDefault="00D92D87">
      <w:pPr>
        <w:pStyle w:val="BodyText"/>
      </w:pPr>
      <w:r w:rsidRPr="00C73849">
        <w:t>No specific studies have been performed to date.</w:t>
      </w:r>
    </w:p>
    <w:p w14:paraId="1E19CEB0" w14:textId="77777777" w:rsidR="00957F89" w:rsidRPr="00C73849" w:rsidRDefault="00957F89">
      <w:pPr>
        <w:rPr>
          <w:rFonts w:ascii="Times New Roman" w:eastAsia="Times New Roman" w:hAnsi="Times New Roman" w:cs="Times New Roman"/>
          <w:sz w:val="24"/>
          <w:szCs w:val="24"/>
        </w:rPr>
      </w:pPr>
    </w:p>
    <w:p w14:paraId="5F1B007D" w14:textId="77777777" w:rsidR="00957F89" w:rsidRPr="00C73849" w:rsidRDefault="00266FD0" w:rsidP="002131A0">
      <w:pPr>
        <w:pStyle w:val="Heading3"/>
        <w:rPr>
          <w:rFonts w:eastAsia="Times New Roman" w:hAnsi="Times New Roman" w:cs="Times New Roman"/>
          <w:szCs w:val="24"/>
        </w:rPr>
      </w:pPr>
      <w:bookmarkStart w:id="145" w:name="_Toc34899990"/>
      <w:bookmarkStart w:id="146" w:name="_Toc33702519"/>
      <w:bookmarkStart w:id="147" w:name="_Toc176276946"/>
      <w:r>
        <w:t>5.3.9</w:t>
      </w:r>
      <w:r>
        <w:tab/>
      </w:r>
      <w:r w:rsidR="00D92D87" w:rsidRPr="00C73849">
        <w:t>Discussion and Conclusions</w:t>
      </w:r>
      <w:bookmarkEnd w:id="145"/>
      <w:bookmarkEnd w:id="146"/>
      <w:bookmarkEnd w:id="147"/>
    </w:p>
    <w:p w14:paraId="29EEB159" w14:textId="77777777" w:rsidR="00957F89" w:rsidRPr="00C73849" w:rsidRDefault="00957F89">
      <w:pPr>
        <w:spacing w:before="5"/>
        <w:rPr>
          <w:rFonts w:ascii="Times New Roman" w:eastAsia="Times New Roman" w:hAnsi="Times New Roman" w:cs="Times New Roman"/>
          <w:b/>
          <w:bCs/>
          <w:sz w:val="20"/>
          <w:szCs w:val="20"/>
        </w:rPr>
      </w:pPr>
    </w:p>
    <w:p w14:paraId="4516796D" w14:textId="77777777" w:rsidR="00957F89" w:rsidRPr="00C73849" w:rsidRDefault="00D92D87">
      <w:pPr>
        <w:pStyle w:val="BodyText"/>
        <w:ind w:right="151"/>
      </w:pPr>
      <w:r w:rsidRPr="00C73849">
        <w:t>Toxicology studies have included expanded acute toxicity studies in the rat and the dog, an</w:t>
      </w:r>
      <w:r w:rsidRPr="00C73849">
        <w:rPr>
          <w:w w:val="99"/>
        </w:rPr>
        <w:t xml:space="preserve"> </w:t>
      </w:r>
      <w:r w:rsidRPr="00C73849">
        <w:t>extensive genetic toxicology package, as well as local tolerance studies, all conducted to GLP.</w:t>
      </w:r>
    </w:p>
    <w:p w14:paraId="0A3D1920" w14:textId="77777777" w:rsidR="00957F89" w:rsidRPr="00C73849" w:rsidRDefault="00957F89">
      <w:pPr>
        <w:spacing w:before="9"/>
        <w:rPr>
          <w:rFonts w:ascii="Times New Roman" w:eastAsia="Times New Roman" w:hAnsi="Times New Roman" w:cs="Times New Roman"/>
          <w:sz w:val="21"/>
          <w:szCs w:val="21"/>
        </w:rPr>
      </w:pPr>
    </w:p>
    <w:p w14:paraId="64F9A1E3" w14:textId="77777777" w:rsidR="00957F89" w:rsidRPr="00C73849" w:rsidRDefault="00D92D87">
      <w:pPr>
        <w:pStyle w:val="BodyText"/>
        <w:spacing w:line="228" w:lineRule="auto"/>
        <w:ind w:right="265"/>
      </w:pPr>
      <w:r w:rsidRPr="00C73849">
        <w:t>Two expanded acute toxicity studies were conducted in the rat with different concentrations of the pyruvate test article, one comprising 500 mM (44.6 mg/ml) [1-</w:t>
      </w:r>
      <w:r w:rsidRPr="00C73849">
        <w:rPr>
          <w:position w:val="11"/>
          <w:sz w:val="16"/>
        </w:rPr>
        <w:t>13</w:t>
      </w:r>
      <w:proofErr w:type="gramStart"/>
      <w:r w:rsidRPr="00C73849">
        <w:t>C]pyruvate</w:t>
      </w:r>
      <w:proofErr w:type="gramEnd"/>
      <w:r w:rsidRPr="00C73849">
        <w:t xml:space="preserve"> plus 0.85 mg/ml AH111501, and the other 250 mM (22.3 mg/ml) [1-</w:t>
      </w:r>
      <w:r w:rsidRPr="00C73849">
        <w:rPr>
          <w:position w:val="11"/>
          <w:sz w:val="16"/>
        </w:rPr>
        <w:t>13</w:t>
      </w:r>
      <w:r w:rsidRPr="00C73849">
        <w:t>C]pyruvate plus 0.43 mg/ml</w:t>
      </w:r>
      <w:r w:rsidRPr="00C73849">
        <w:rPr>
          <w:w w:val="99"/>
        </w:rPr>
        <w:t xml:space="preserve"> </w:t>
      </w:r>
      <w:r w:rsidRPr="00C73849">
        <w:t>AH111501. No treatment-related adverse effects were observed in either study; therefore, the</w:t>
      </w:r>
      <w:r w:rsidRPr="00C73849">
        <w:rPr>
          <w:w w:val="99"/>
        </w:rPr>
        <w:t xml:space="preserve"> </w:t>
      </w:r>
      <w:r w:rsidRPr="00C73849">
        <w:t>top dose achieved, 1784 and 892 mg/kg [1-</w:t>
      </w:r>
      <w:r w:rsidRPr="00C73849">
        <w:rPr>
          <w:position w:val="11"/>
          <w:sz w:val="16"/>
        </w:rPr>
        <w:t>13</w:t>
      </w:r>
      <w:proofErr w:type="gramStart"/>
      <w:r w:rsidRPr="00C73849">
        <w:t>C]pyruvate</w:t>
      </w:r>
      <w:proofErr w:type="gramEnd"/>
      <w:r w:rsidRPr="00C73849">
        <w:t>, respectively, was the NOAEL in each</w:t>
      </w:r>
      <w:r w:rsidRPr="00C73849">
        <w:rPr>
          <w:w w:val="99"/>
        </w:rPr>
        <w:t xml:space="preserve"> </w:t>
      </w:r>
      <w:r w:rsidRPr="00C73849">
        <w:t xml:space="preserve">of the studies. Similarly, the top dose of the excipient AH111501 was 34 mg/kg and 17 mg/kg, respectively, and was also regarded as the NOAEL in each of the studies. The top dose </w:t>
      </w:r>
      <w:r w:rsidR="00F61776" w:rsidRPr="00C73849">
        <w:t>in these</w:t>
      </w:r>
      <w:r w:rsidRPr="00C73849">
        <w:t xml:space="preserve"> studies was limited by the maximum dose volume of 20 ml/kg on each of the two dosing</w:t>
      </w:r>
      <w:r w:rsidRPr="00C73849">
        <w:rPr>
          <w:w w:val="99"/>
        </w:rPr>
        <w:t xml:space="preserve"> </w:t>
      </w:r>
      <w:r w:rsidRPr="00C73849">
        <w:t>occasions.</w:t>
      </w:r>
    </w:p>
    <w:p w14:paraId="57C46352" w14:textId="77777777" w:rsidR="00957F89" w:rsidRPr="00C73849" w:rsidRDefault="00957F89">
      <w:pPr>
        <w:spacing w:before="4"/>
        <w:rPr>
          <w:rFonts w:ascii="Times New Roman" w:eastAsia="Times New Roman" w:hAnsi="Times New Roman" w:cs="Times New Roman"/>
          <w:sz w:val="21"/>
          <w:szCs w:val="21"/>
        </w:rPr>
      </w:pPr>
    </w:p>
    <w:p w14:paraId="2423232C" w14:textId="537B3D49" w:rsidR="00957F89" w:rsidRPr="00C73849" w:rsidRDefault="00D92D87">
      <w:pPr>
        <w:pStyle w:val="BodyText"/>
        <w:spacing w:line="276" w:lineRule="exact"/>
        <w:ind w:right="311"/>
      </w:pPr>
      <w:r w:rsidRPr="00C73849">
        <w:t>A single-dose expanded acute toxicity study was performed in the dog with the more</w:t>
      </w:r>
      <w:r w:rsidRPr="00C73849">
        <w:rPr>
          <w:w w:val="99"/>
        </w:rPr>
        <w:t xml:space="preserve"> </w:t>
      </w:r>
      <w:r w:rsidRPr="00C73849">
        <w:t xml:space="preserve">concentrated pyruvate test article comprising </w:t>
      </w:r>
      <w:r w:rsidR="00DA4E2B">
        <w:t xml:space="preserve">of </w:t>
      </w:r>
      <w:r w:rsidRPr="00C73849">
        <w:t>500 mM [1-</w:t>
      </w:r>
      <w:r w:rsidRPr="00C73849">
        <w:rPr>
          <w:position w:val="11"/>
          <w:sz w:val="16"/>
        </w:rPr>
        <w:t>13</w:t>
      </w:r>
      <w:proofErr w:type="gramStart"/>
      <w:r w:rsidRPr="00C73849">
        <w:t>C]pyruvate</w:t>
      </w:r>
      <w:proofErr w:type="gramEnd"/>
      <w:r w:rsidRPr="00C73849">
        <w:t xml:space="preserve"> plus 0.85 mg/ml</w:t>
      </w:r>
      <w:r w:rsidRPr="00C73849">
        <w:rPr>
          <w:w w:val="99"/>
        </w:rPr>
        <w:t xml:space="preserve"> </w:t>
      </w:r>
      <w:r w:rsidRPr="00C73849">
        <w:t>AH111501. In common with the rat studies, there were no treatment-related adverse findings, and the top doses of 446 mg/kg [1-</w:t>
      </w:r>
      <w:r w:rsidRPr="00C73849">
        <w:rPr>
          <w:position w:val="11"/>
          <w:sz w:val="16"/>
        </w:rPr>
        <w:t>13</w:t>
      </w:r>
      <w:proofErr w:type="gramStart"/>
      <w:r w:rsidRPr="00C73849">
        <w:t>C]pyruvate</w:t>
      </w:r>
      <w:proofErr w:type="gramEnd"/>
      <w:r w:rsidRPr="00C73849">
        <w:t xml:space="preserve"> and 8.5 mg/kg AH111501 were regarded as the respective NOAEL values. The top dose in this study was limited by the maximum dose volume for dogs of 5 ml/kg on each of the two dosing occasions.</w:t>
      </w:r>
    </w:p>
    <w:p w14:paraId="7309156A" w14:textId="77777777" w:rsidR="00957F89" w:rsidRPr="00C73849" w:rsidRDefault="00957F89">
      <w:pPr>
        <w:spacing w:before="10"/>
        <w:rPr>
          <w:rFonts w:ascii="Times New Roman" w:eastAsia="Times New Roman" w:hAnsi="Times New Roman" w:cs="Times New Roman"/>
          <w:sz w:val="20"/>
          <w:szCs w:val="20"/>
        </w:rPr>
      </w:pPr>
    </w:p>
    <w:p w14:paraId="3E8779D2" w14:textId="77777777" w:rsidR="00957F89" w:rsidRPr="00C73849" w:rsidRDefault="00D92D87" w:rsidP="002131A0">
      <w:pPr>
        <w:pStyle w:val="BodyText"/>
        <w:spacing w:line="276" w:lineRule="exact"/>
        <w:ind w:right="151"/>
      </w:pPr>
      <w:r w:rsidRPr="00C73849">
        <w:t>The NOAEL, when expressed as the human equivalent doses (HED), is calculated to be 288 mg/kg for the acute dose rat study in which the highest dose of [1-</w:t>
      </w:r>
      <w:r w:rsidRPr="00C73849">
        <w:rPr>
          <w:position w:val="11"/>
          <w:sz w:val="16"/>
        </w:rPr>
        <w:t>13</w:t>
      </w:r>
      <w:proofErr w:type="gramStart"/>
      <w:r w:rsidRPr="00C73849">
        <w:t>C]pyruvate</w:t>
      </w:r>
      <w:proofErr w:type="gramEnd"/>
      <w:r w:rsidRPr="00C73849">
        <w:t xml:space="preserve"> was administered, and for the acute dose dog study, the HED is 248 mg/kg. Similarly, the NOAEL</w:t>
      </w:r>
      <w:r w:rsidR="00F61776">
        <w:t xml:space="preserve"> </w:t>
      </w:r>
      <w:r w:rsidRPr="00C73849">
        <w:t>for AH111501 expressed as the HED is 5.5 mg/kg and 4.7 mg/kg when based on data from the</w:t>
      </w:r>
      <w:r w:rsidRPr="00C73849">
        <w:rPr>
          <w:w w:val="99"/>
        </w:rPr>
        <w:t xml:space="preserve"> </w:t>
      </w:r>
      <w:r w:rsidRPr="00C73849">
        <w:t>high dose rat study and the dog study, respectively.</w:t>
      </w:r>
    </w:p>
    <w:p w14:paraId="6E593FEF" w14:textId="77777777" w:rsidR="00957F89" w:rsidRPr="00C73849" w:rsidRDefault="00957F89">
      <w:pPr>
        <w:spacing w:before="10"/>
        <w:rPr>
          <w:rFonts w:ascii="Times New Roman" w:eastAsia="Times New Roman" w:hAnsi="Times New Roman" w:cs="Times New Roman"/>
          <w:sz w:val="20"/>
          <w:szCs w:val="20"/>
        </w:rPr>
      </w:pPr>
    </w:p>
    <w:p w14:paraId="70F69B13" w14:textId="77777777" w:rsidR="00957F89" w:rsidRPr="00C73849" w:rsidRDefault="00D92D87" w:rsidP="008265DD">
      <w:pPr>
        <w:pStyle w:val="BodyText"/>
        <w:ind w:right="311"/>
      </w:pPr>
      <w:r w:rsidRPr="00C73849">
        <w:t xml:space="preserve">The acute toxicity studies in rats to examine the effects of the potential impurities AH112623, </w:t>
      </w:r>
      <w:r w:rsidRPr="00C73849">
        <w:lastRenderedPageBreak/>
        <w:t>AH112615 and AH113462 resulted in no overt adverse effects at doses up to 1216, 1400 and</w:t>
      </w:r>
      <w:r w:rsidRPr="00C73849">
        <w:rPr>
          <w:w w:val="99"/>
        </w:rPr>
        <w:t xml:space="preserve"> </w:t>
      </w:r>
      <w:r w:rsidRPr="00C73849">
        <w:t>164 mg/kg, respectively. Accordingly, these doses were regarded as the NOAEL for the</w:t>
      </w:r>
      <w:r w:rsidRPr="00C73849">
        <w:rPr>
          <w:w w:val="99"/>
        </w:rPr>
        <w:t xml:space="preserve"> </w:t>
      </w:r>
      <w:r w:rsidRPr="00C73849">
        <w:t xml:space="preserve">respective impurities, and these levels give HED values of 196 mg/kg for </w:t>
      </w:r>
      <w:proofErr w:type="spellStart"/>
      <w:r w:rsidRPr="00C73849">
        <w:t>parapyruvate</w:t>
      </w:r>
      <w:proofErr w:type="spellEnd"/>
      <w:r w:rsidRPr="00C73849">
        <w:t>,</w:t>
      </w:r>
    </w:p>
    <w:p w14:paraId="3FA80D6E" w14:textId="77777777" w:rsidR="00957F89" w:rsidRPr="00C73849" w:rsidRDefault="00D92D87" w:rsidP="002131A0">
      <w:pPr>
        <w:pStyle w:val="BodyText"/>
        <w:ind w:right="311"/>
      </w:pPr>
      <w:r w:rsidRPr="00C73849">
        <w:t>226 mg/kg for AH112615 and 26.4 mg/kg for AH113462.</w:t>
      </w:r>
    </w:p>
    <w:p w14:paraId="2D181399" w14:textId="77777777" w:rsidR="00957F89" w:rsidRPr="00C73849" w:rsidRDefault="00D92D87">
      <w:pPr>
        <w:pStyle w:val="BodyText"/>
        <w:spacing w:before="204"/>
      </w:pPr>
      <w:r w:rsidRPr="00C73849">
        <w:t>The test article for the Phase 1/2a clinical study will comprise 250 mM [1-</w:t>
      </w:r>
      <w:r w:rsidRPr="00C73849">
        <w:rPr>
          <w:position w:val="11"/>
          <w:sz w:val="16"/>
        </w:rPr>
        <w:t>13</w:t>
      </w:r>
      <w:proofErr w:type="gramStart"/>
      <w:r w:rsidRPr="00C73849">
        <w:t>C]pyruvate</w:t>
      </w:r>
      <w:proofErr w:type="gramEnd"/>
    </w:p>
    <w:p w14:paraId="0FB497DF" w14:textId="77777777" w:rsidR="00957F89" w:rsidRPr="00C73849" w:rsidRDefault="00D92D87">
      <w:pPr>
        <w:pStyle w:val="BodyText"/>
        <w:spacing w:before="3" w:line="276" w:lineRule="exact"/>
        <w:ind w:right="172"/>
      </w:pPr>
      <w:r w:rsidRPr="00C73849">
        <w:t>(22 mg/ml) and 4.6 µg/ml AH111501/ml, given in ascending doses from 0.14 to 0.43 ml/</w:t>
      </w:r>
      <w:r w:rsidR="00F61776" w:rsidRPr="00C73849">
        <w:t>kg</w:t>
      </w:r>
      <w:r w:rsidR="00F61776" w:rsidRPr="00C73849">
        <w:rPr>
          <w:w w:val="99"/>
        </w:rPr>
        <w:t xml:space="preserve"> </w:t>
      </w:r>
      <w:proofErr w:type="spellStart"/>
      <w:r w:rsidR="00F61776" w:rsidRPr="00C73849">
        <w:rPr>
          <w:w w:val="99"/>
        </w:rPr>
        <w:t>bw</w:t>
      </w:r>
      <w:proofErr w:type="spellEnd"/>
      <w:r w:rsidRPr="00C73849">
        <w:t>. This gives a dose range of 3.1 to 9.6 mg/kg for [1-</w:t>
      </w:r>
      <w:r w:rsidRPr="00C73849">
        <w:rPr>
          <w:position w:val="11"/>
          <w:sz w:val="16"/>
        </w:rPr>
        <w:t>13</w:t>
      </w:r>
      <w:proofErr w:type="gramStart"/>
      <w:r w:rsidRPr="00C73849">
        <w:t>C]pyruvate</w:t>
      </w:r>
      <w:proofErr w:type="gramEnd"/>
      <w:r w:rsidRPr="00C73849">
        <w:t xml:space="preserve"> and 0.64 to 1.97 µg/kg for AH111501. For the high-concentration test article (500 mM [1-</w:t>
      </w:r>
      <w:r w:rsidRPr="00C73849">
        <w:rPr>
          <w:position w:val="11"/>
          <w:sz w:val="16"/>
        </w:rPr>
        <w:t>13</w:t>
      </w:r>
      <w:proofErr w:type="gramStart"/>
      <w:r w:rsidRPr="00C73849">
        <w:t>C]pyruvate</w:t>
      </w:r>
      <w:proofErr w:type="gramEnd"/>
      <w:r w:rsidRPr="00C73849">
        <w:t>) and taking the</w:t>
      </w:r>
      <w:r w:rsidRPr="00C73849">
        <w:rPr>
          <w:w w:val="99"/>
        </w:rPr>
        <w:t xml:space="preserve"> </w:t>
      </w:r>
      <w:r w:rsidRPr="00C73849">
        <w:t>more conservative NOAEL values converted to HED from the dog study, the safety margins</w:t>
      </w:r>
      <w:r w:rsidRPr="00C73849">
        <w:rPr>
          <w:w w:val="99"/>
        </w:rPr>
        <w:t xml:space="preserve">   </w:t>
      </w:r>
      <w:r w:rsidRPr="00C73849">
        <w:t>for [1-</w:t>
      </w:r>
      <w:r w:rsidRPr="00C73849">
        <w:rPr>
          <w:position w:val="11"/>
          <w:sz w:val="16"/>
        </w:rPr>
        <w:t>13</w:t>
      </w:r>
      <w:r w:rsidRPr="00C73849">
        <w:t>C]pyruvate are from 79 to 26 and those for AH111501 are from 7362 to 2397 for the</w:t>
      </w:r>
      <w:r w:rsidRPr="00C73849">
        <w:rPr>
          <w:w w:val="99"/>
        </w:rPr>
        <w:t xml:space="preserve"> </w:t>
      </w:r>
      <w:r w:rsidRPr="00C73849">
        <w:t xml:space="preserve">doses of 0.14 to 0.43 ml/kg </w:t>
      </w:r>
      <w:proofErr w:type="spellStart"/>
      <w:r w:rsidRPr="00C73849">
        <w:t>bw</w:t>
      </w:r>
      <w:proofErr w:type="spellEnd"/>
      <w:r w:rsidRPr="00C73849">
        <w:t>, respectively. Similar calculations using data from the rat study with the 250 mM [1-</w:t>
      </w:r>
      <w:r w:rsidRPr="00C73849">
        <w:rPr>
          <w:position w:val="11"/>
          <w:sz w:val="16"/>
        </w:rPr>
        <w:t>13</w:t>
      </w:r>
      <w:proofErr w:type="gramStart"/>
      <w:r w:rsidRPr="00C73849">
        <w:t>C]pyruvate</w:t>
      </w:r>
      <w:proofErr w:type="gramEnd"/>
      <w:r w:rsidRPr="00C73849">
        <w:t xml:space="preserve"> test article gives safety margins of 92 to 30 for pyruvate and</w:t>
      </w:r>
      <w:r w:rsidRPr="00C73849">
        <w:rPr>
          <w:w w:val="99"/>
        </w:rPr>
        <w:t xml:space="preserve"> </w:t>
      </w:r>
      <w:r w:rsidRPr="00C73849">
        <w:t>8549 to 2783 for AH111501.</w:t>
      </w:r>
    </w:p>
    <w:p w14:paraId="1E32FDD6" w14:textId="77777777" w:rsidR="00957F89" w:rsidRPr="00C73849" w:rsidRDefault="00957F89">
      <w:pPr>
        <w:spacing w:before="7"/>
        <w:rPr>
          <w:rFonts w:ascii="Times New Roman" w:eastAsia="Times New Roman" w:hAnsi="Times New Roman" w:cs="Times New Roman"/>
          <w:sz w:val="20"/>
          <w:szCs w:val="20"/>
        </w:rPr>
      </w:pPr>
    </w:p>
    <w:p w14:paraId="2540BA95" w14:textId="77777777" w:rsidR="00957F89" w:rsidRPr="00C73849" w:rsidRDefault="00D92D87">
      <w:pPr>
        <w:pStyle w:val="BodyText"/>
        <w:ind w:right="311"/>
      </w:pPr>
      <w:r w:rsidRPr="00C73849">
        <w:t>Local tolerance studies in rabbits demonstrated a minimal and a moderate risk of local</w:t>
      </w:r>
      <w:r w:rsidRPr="00C73849">
        <w:rPr>
          <w:w w:val="99"/>
        </w:rPr>
        <w:t xml:space="preserve"> </w:t>
      </w:r>
      <w:r w:rsidRPr="00C73849">
        <w:t xml:space="preserve">inflammatory response in case of </w:t>
      </w:r>
      <w:proofErr w:type="spellStart"/>
      <w:r w:rsidRPr="00C73849">
        <w:t>misinjection</w:t>
      </w:r>
      <w:proofErr w:type="spellEnd"/>
      <w:r w:rsidRPr="00C73849">
        <w:t xml:space="preserve"> in subcutis and in the </w:t>
      </w:r>
      <w:proofErr w:type="spellStart"/>
      <w:r w:rsidRPr="00C73849">
        <w:t>paravenous</w:t>
      </w:r>
      <w:proofErr w:type="spellEnd"/>
      <w:r w:rsidRPr="00C73849">
        <w:t xml:space="preserve"> area,</w:t>
      </w:r>
      <w:r w:rsidRPr="00C73849">
        <w:rPr>
          <w:w w:val="99"/>
        </w:rPr>
        <w:t xml:space="preserve"> </w:t>
      </w:r>
      <w:r w:rsidRPr="00C73849">
        <w:t>respectively. The minimal inflammatory response was observed in one of four rabbits</w:t>
      </w:r>
      <w:r w:rsidRPr="00C73849">
        <w:rPr>
          <w:w w:val="99"/>
        </w:rPr>
        <w:t xml:space="preserve"> </w:t>
      </w:r>
      <w:r w:rsidRPr="00C73849">
        <w:t>following injection in the subcutis, and the moderate inflammatory response was observed in</w:t>
      </w:r>
      <w:r w:rsidRPr="00C73849">
        <w:rPr>
          <w:w w:val="99"/>
        </w:rPr>
        <w:t xml:space="preserve"> </w:t>
      </w:r>
      <w:r w:rsidRPr="00C73849">
        <w:t xml:space="preserve">two of four rabbits following injection in the </w:t>
      </w:r>
      <w:proofErr w:type="spellStart"/>
      <w:r w:rsidRPr="00C73849">
        <w:t>paravenous</w:t>
      </w:r>
      <w:proofErr w:type="spellEnd"/>
      <w:r w:rsidRPr="00C73849">
        <w:t xml:space="preserve"> area.</w:t>
      </w:r>
    </w:p>
    <w:p w14:paraId="3F42B6AD" w14:textId="77777777" w:rsidR="00957F89" w:rsidRPr="00C73849" w:rsidRDefault="00957F89">
      <w:pPr>
        <w:spacing w:before="10"/>
        <w:rPr>
          <w:rFonts w:ascii="Times New Roman" w:eastAsia="Times New Roman" w:hAnsi="Times New Roman" w:cs="Times New Roman"/>
          <w:sz w:val="20"/>
          <w:szCs w:val="20"/>
        </w:rPr>
      </w:pPr>
    </w:p>
    <w:p w14:paraId="7D66EECC" w14:textId="77777777" w:rsidR="00957F89" w:rsidRPr="00C73849" w:rsidRDefault="00D92D87" w:rsidP="00F61776">
      <w:pPr>
        <w:pStyle w:val="BodyText"/>
        <w:spacing w:line="258" w:lineRule="exact"/>
      </w:pPr>
      <w:r w:rsidRPr="00C73849">
        <w:t>A number of studies have been performed to evaluate the genotoxic potential of the</w:t>
      </w:r>
      <w:r w:rsidR="00F61776">
        <w:t xml:space="preserve"> </w:t>
      </w:r>
      <w:r w:rsidRPr="00C73849">
        <w:t>[1-</w:t>
      </w:r>
      <w:r w:rsidRPr="00C73849">
        <w:rPr>
          <w:position w:val="11"/>
          <w:sz w:val="16"/>
        </w:rPr>
        <w:t>13</w:t>
      </w:r>
      <w:proofErr w:type="gramStart"/>
      <w:r w:rsidRPr="00C73849">
        <w:t>C]pyruvate</w:t>
      </w:r>
      <w:proofErr w:type="gramEnd"/>
      <w:r w:rsidRPr="00C73849">
        <w:t xml:space="preserve"> test article, the excipient AH111501 alone, and also the potential impurities</w:t>
      </w:r>
      <w:r w:rsidRPr="00C73849">
        <w:rPr>
          <w:w w:val="99"/>
        </w:rPr>
        <w:t xml:space="preserve"> </w:t>
      </w:r>
      <w:r w:rsidRPr="00C73849">
        <w:t xml:space="preserve">AH112623, AH112615 and AH113462. In the conventional </w:t>
      </w:r>
      <w:r w:rsidRPr="00C73849">
        <w:rPr>
          <w:i/>
        </w:rPr>
        <w:t xml:space="preserve">in vitro </w:t>
      </w:r>
      <w:r w:rsidRPr="00C73849">
        <w:t>Ames test with the</w:t>
      </w:r>
      <w:r w:rsidRPr="00C73849">
        <w:rPr>
          <w:w w:val="99"/>
        </w:rPr>
        <w:t xml:space="preserve"> </w:t>
      </w:r>
      <w:r w:rsidRPr="00C73849">
        <w:t xml:space="preserve">standard five strains of </w:t>
      </w:r>
      <w:r w:rsidRPr="00C73849">
        <w:rPr>
          <w:i/>
        </w:rPr>
        <w:t>Salmonella typhimurium</w:t>
      </w:r>
      <w:r w:rsidRPr="00C73849">
        <w:t>, there were no findings that were regarded as</w:t>
      </w:r>
      <w:r w:rsidR="00F61776">
        <w:t xml:space="preserve"> </w:t>
      </w:r>
      <w:r w:rsidRPr="00C73849">
        <w:t>positive with any of these test items. However, in the MLA test using mouse lymphoma</w:t>
      </w:r>
      <w:r w:rsidRPr="00C73849">
        <w:rPr>
          <w:w w:val="99"/>
        </w:rPr>
        <w:t xml:space="preserve"> </w:t>
      </w:r>
      <w:r w:rsidRPr="00C73849">
        <w:t xml:space="preserve">L5178 cells, which are sensitive to chemicals that induce gene mutations at the </w:t>
      </w:r>
      <w:proofErr w:type="spellStart"/>
      <w:r w:rsidRPr="00C73849">
        <w:rPr>
          <w:i/>
        </w:rPr>
        <w:t>tk</w:t>
      </w:r>
      <w:proofErr w:type="spellEnd"/>
      <w:r w:rsidRPr="00C73849">
        <w:t>-locus,</w:t>
      </w:r>
      <w:r w:rsidRPr="00C73849">
        <w:rPr>
          <w:w w:val="99"/>
        </w:rPr>
        <w:t xml:space="preserve"> </w:t>
      </w:r>
      <w:r w:rsidRPr="00C73849">
        <w:t>several positive findings were reported.</w:t>
      </w:r>
    </w:p>
    <w:p w14:paraId="70E41426" w14:textId="77777777" w:rsidR="00957F89" w:rsidRPr="00C73849" w:rsidRDefault="00957F89">
      <w:pPr>
        <w:spacing w:before="10"/>
        <w:rPr>
          <w:rFonts w:ascii="Times New Roman" w:eastAsia="Times New Roman" w:hAnsi="Times New Roman" w:cs="Times New Roman"/>
          <w:sz w:val="20"/>
          <w:szCs w:val="20"/>
        </w:rPr>
      </w:pPr>
    </w:p>
    <w:p w14:paraId="78E5E25F" w14:textId="77777777" w:rsidR="00957F89" w:rsidRPr="00C73849" w:rsidRDefault="00D92D87" w:rsidP="002131A0">
      <w:pPr>
        <w:pStyle w:val="BodyText"/>
        <w:ind w:right="288"/>
      </w:pPr>
      <w:r w:rsidRPr="00C73849">
        <w:t>The pyruvate test article has been investigated in two separate MLA studies. In the first study, there was an increase in mutation frequency with the pyruvate test article, but also with the</w:t>
      </w:r>
      <w:r w:rsidRPr="00C73849">
        <w:rPr>
          <w:w w:val="99"/>
        </w:rPr>
        <w:t xml:space="preserve"> </w:t>
      </w:r>
      <w:r w:rsidRPr="00C73849">
        <w:t xml:space="preserve">vehicle and TRIS/EDTA dissolution medium controls. In the cells treated with the </w:t>
      </w:r>
      <w:r w:rsidR="00F61776" w:rsidRPr="00C73849">
        <w:t>pyruvate</w:t>
      </w:r>
      <w:r w:rsidR="00F61776" w:rsidRPr="00C73849">
        <w:rPr>
          <w:w w:val="99"/>
        </w:rPr>
        <w:t xml:space="preserve"> test</w:t>
      </w:r>
      <w:r w:rsidRPr="00C73849">
        <w:t xml:space="preserve"> article, this was only seen after exposure for 24 h in the absence of an S9 metabolizing</w:t>
      </w:r>
      <w:r w:rsidRPr="00C73849">
        <w:rPr>
          <w:w w:val="99"/>
        </w:rPr>
        <w:t xml:space="preserve"> </w:t>
      </w:r>
      <w:r w:rsidRPr="00C73849">
        <w:t xml:space="preserve">system. In the second MLA study, there was a dose-related increase in mutation </w:t>
      </w:r>
      <w:r w:rsidR="00F61776" w:rsidRPr="00C73849">
        <w:t>frequency after</w:t>
      </w:r>
      <w:r w:rsidRPr="00C73849">
        <w:t xml:space="preserve"> treatment incubation for 3 h with and without S-9, and after treatment incubation for 24 h without S-9. In both studies, there were increases in both large and small colonies, with greater</w:t>
      </w:r>
      <w:r w:rsidRPr="00C73849">
        <w:rPr>
          <w:w w:val="99"/>
        </w:rPr>
        <w:t xml:space="preserve"> </w:t>
      </w:r>
      <w:r w:rsidRPr="00C73849">
        <w:t xml:space="preserve">increases in the proportion of small colonies. The positive effects were seen at high concentrations only, and these were shown to frequently be the cause of elevated </w:t>
      </w:r>
      <w:proofErr w:type="spellStart"/>
      <w:r w:rsidRPr="00C73849">
        <w:t>osmolalities</w:t>
      </w:r>
      <w:proofErr w:type="spellEnd"/>
      <w:r w:rsidRPr="00C73849">
        <w:t>. The potential impurities AH112623, AH112615 and AH113462, as well as the novel excipient</w:t>
      </w:r>
      <w:r w:rsidRPr="00C73849">
        <w:rPr>
          <w:w w:val="99"/>
        </w:rPr>
        <w:t xml:space="preserve"> </w:t>
      </w:r>
      <w:r w:rsidRPr="00C73849">
        <w:t>AH111501 have also been evaluated in the MLA test. AH112623 was found to be positive but</w:t>
      </w:r>
      <w:r w:rsidRPr="00C73849">
        <w:rPr>
          <w:w w:val="99"/>
        </w:rPr>
        <w:t xml:space="preserve"> </w:t>
      </w:r>
      <w:r w:rsidRPr="00C73849">
        <w:t>only for concentrations for which the osmolality was substantially increased. AH113462 showed evidence of mutagenic activity but this was only associated with extreme toxicity, considerable changes in pH and osmolality, and these observations were considered of highly</w:t>
      </w:r>
      <w:r w:rsidR="00F61776">
        <w:t xml:space="preserve"> </w:t>
      </w:r>
      <w:r w:rsidRPr="00C73849">
        <w:t>questionable biological relevance. AH111501 were positive but the effect was weak, whereas</w:t>
      </w:r>
      <w:r w:rsidRPr="00C73849">
        <w:rPr>
          <w:w w:val="99"/>
        </w:rPr>
        <w:t xml:space="preserve"> </w:t>
      </w:r>
      <w:r w:rsidRPr="00C73849">
        <w:t>AH112615, was negative.</w:t>
      </w:r>
    </w:p>
    <w:p w14:paraId="262A5E5C" w14:textId="77777777" w:rsidR="00957F89" w:rsidRPr="00C73849" w:rsidRDefault="00957F89">
      <w:pPr>
        <w:spacing w:before="10"/>
        <w:rPr>
          <w:rFonts w:ascii="Times New Roman" w:eastAsia="Times New Roman" w:hAnsi="Times New Roman" w:cs="Times New Roman"/>
          <w:sz w:val="20"/>
          <w:szCs w:val="20"/>
        </w:rPr>
      </w:pPr>
    </w:p>
    <w:p w14:paraId="4272AF09" w14:textId="77777777" w:rsidR="00957F89" w:rsidRPr="00C73849" w:rsidRDefault="00D92D87">
      <w:pPr>
        <w:pStyle w:val="BodyText"/>
        <w:ind w:right="343"/>
      </w:pPr>
      <w:r w:rsidRPr="00C73849">
        <w:t>There is some uncertainty over the significance of these findings in the MLA test, as it is</w:t>
      </w:r>
      <w:r w:rsidRPr="00C73849">
        <w:rPr>
          <w:w w:val="99"/>
        </w:rPr>
        <w:t xml:space="preserve"> </w:t>
      </w:r>
      <w:r w:rsidRPr="00C73849">
        <w:t>known to be prone to high incidences of false-positive results. In addition, it is unclear</w:t>
      </w:r>
      <w:r w:rsidRPr="00C73849">
        <w:rPr>
          <w:w w:val="99"/>
        </w:rPr>
        <w:t xml:space="preserve"> </w:t>
      </w:r>
      <w:r w:rsidRPr="00C73849">
        <w:t>whether the positive results are due to the intrinsic properties of one or several of the</w:t>
      </w:r>
      <w:r w:rsidRPr="00C73849">
        <w:rPr>
          <w:w w:val="99"/>
        </w:rPr>
        <w:t xml:space="preserve"> </w:t>
      </w:r>
      <w:r w:rsidRPr="00C73849">
        <w:t xml:space="preserve">constituents, or to some other factors such as electrolyte imbalance, pH changes or osmolality, the latter shown in several studies to be high due to the high concentrations of test item used, particularly at the levels associated with positive findings. If these physicochemical changes are associated with the </w:t>
      </w:r>
      <w:r w:rsidRPr="00C73849">
        <w:lastRenderedPageBreak/>
        <w:t>increased mutation frequency in the MLA assay, they are not relevant</w:t>
      </w:r>
      <w:r w:rsidRPr="00C73849">
        <w:rPr>
          <w:w w:val="99"/>
        </w:rPr>
        <w:t xml:space="preserve"> </w:t>
      </w:r>
      <w:r w:rsidRPr="00C73849">
        <w:t xml:space="preserve">for a test article injected </w:t>
      </w:r>
      <w:r w:rsidRPr="00C73849">
        <w:rPr>
          <w:i/>
        </w:rPr>
        <w:t xml:space="preserve">in vivo </w:t>
      </w:r>
      <w:r w:rsidRPr="00C73849">
        <w:t>where the buffering capacity and rapid dilution in the</w:t>
      </w:r>
      <w:r w:rsidRPr="00C73849">
        <w:rPr>
          <w:w w:val="99"/>
        </w:rPr>
        <w:t xml:space="preserve"> </w:t>
      </w:r>
      <w:r w:rsidRPr="00C73849">
        <w:t>bloodstream will rapidly normalize the injection solution to more physiological values.</w:t>
      </w:r>
    </w:p>
    <w:p w14:paraId="44B1CE47" w14:textId="77777777" w:rsidR="00957F89" w:rsidRPr="00C73849" w:rsidRDefault="00957F89">
      <w:pPr>
        <w:spacing w:before="2"/>
        <w:rPr>
          <w:rFonts w:ascii="Times New Roman" w:eastAsia="Times New Roman" w:hAnsi="Times New Roman" w:cs="Times New Roman"/>
          <w:sz w:val="21"/>
          <w:szCs w:val="21"/>
        </w:rPr>
      </w:pPr>
    </w:p>
    <w:p w14:paraId="744343BF" w14:textId="77777777" w:rsidR="00957F89" w:rsidRPr="00C73849" w:rsidRDefault="00D92D87">
      <w:pPr>
        <w:pStyle w:val="BodyText"/>
        <w:spacing w:line="276" w:lineRule="exact"/>
        <w:ind w:right="219"/>
      </w:pPr>
      <w:r w:rsidRPr="00C73849">
        <w:t xml:space="preserve">To investigate the potential genotoxic risk of the test article, two mammalian </w:t>
      </w:r>
      <w:r w:rsidRPr="00C73849">
        <w:rPr>
          <w:i/>
        </w:rPr>
        <w:t xml:space="preserve">in vivo </w:t>
      </w:r>
      <w:r w:rsidRPr="00C73849">
        <w:t>assays were performed in rats. The micronucleus assay was done to test for the induction of erythrocyte micronuclei in the bone marrow. In this test, rats were given a maximum dose of 892 mg [1-</w:t>
      </w:r>
      <w:r w:rsidRPr="00C73849">
        <w:rPr>
          <w:position w:val="11"/>
          <w:sz w:val="16"/>
        </w:rPr>
        <w:t>13</w:t>
      </w:r>
      <w:proofErr w:type="gramStart"/>
      <w:r w:rsidRPr="00C73849">
        <w:t>C]pyruvate</w:t>
      </w:r>
      <w:proofErr w:type="gramEnd"/>
      <w:r w:rsidRPr="00C73849">
        <w:t xml:space="preserve">/kg </w:t>
      </w:r>
      <w:proofErr w:type="spellStart"/>
      <w:r w:rsidRPr="00C73849">
        <w:t>bw</w:t>
      </w:r>
      <w:proofErr w:type="spellEnd"/>
      <w:r w:rsidRPr="00C73849">
        <w:t xml:space="preserve">/day and 17 mg AH111501/kg </w:t>
      </w:r>
      <w:proofErr w:type="spellStart"/>
      <w:r w:rsidRPr="00C73849">
        <w:t>bw</w:t>
      </w:r>
      <w:proofErr w:type="spellEnd"/>
      <w:r w:rsidRPr="00C73849">
        <w:t>/day. The results of this study show that there were no increases in the incidences of micronuclei. The Comet assay was done</w:t>
      </w:r>
      <w:r w:rsidRPr="00C73849">
        <w:rPr>
          <w:w w:val="99"/>
        </w:rPr>
        <w:t xml:space="preserve"> </w:t>
      </w:r>
      <w:r w:rsidRPr="00C73849">
        <w:t>to investigate induction of DNA strand breaks and/or alkali labile sites in blood. The maximum dose administered was 1784 mg [1-</w:t>
      </w:r>
      <w:r w:rsidRPr="00C73849">
        <w:rPr>
          <w:position w:val="11"/>
          <w:sz w:val="16"/>
        </w:rPr>
        <w:t>13</w:t>
      </w:r>
      <w:proofErr w:type="gramStart"/>
      <w:r w:rsidRPr="00C73849">
        <w:t>C]pyruvate</w:t>
      </w:r>
      <w:proofErr w:type="gramEnd"/>
      <w:r w:rsidRPr="00C73849">
        <w:t xml:space="preserve">/kg </w:t>
      </w:r>
      <w:proofErr w:type="spellStart"/>
      <w:r w:rsidRPr="00C73849">
        <w:t>bw</w:t>
      </w:r>
      <w:proofErr w:type="spellEnd"/>
      <w:r w:rsidRPr="00C73849">
        <w:t>/day and 34 mg</w:t>
      </w:r>
      <w:r w:rsidRPr="00C73849">
        <w:rPr>
          <w:w w:val="99"/>
        </w:rPr>
        <w:t xml:space="preserve"> </w:t>
      </w:r>
      <w:r w:rsidRPr="00C73849">
        <w:t xml:space="preserve">AH111501/kg </w:t>
      </w:r>
      <w:proofErr w:type="spellStart"/>
      <w:r w:rsidRPr="00C73849">
        <w:t>bw</w:t>
      </w:r>
      <w:proofErr w:type="spellEnd"/>
      <w:r w:rsidRPr="00C73849">
        <w:t>/day on 2 consecutive days. Under the conditions of the assay, the test article</w:t>
      </w:r>
      <w:r w:rsidRPr="00C73849">
        <w:rPr>
          <w:w w:val="99"/>
        </w:rPr>
        <w:t xml:space="preserve"> </w:t>
      </w:r>
      <w:r w:rsidRPr="00C73849">
        <w:t xml:space="preserve">did not induce DNA damage in the blood of rats. Based on the results of the two assays, </w:t>
      </w:r>
      <w:r w:rsidR="00F61776" w:rsidRPr="00C73849">
        <w:t>the</w:t>
      </w:r>
      <w:r w:rsidR="00F61776" w:rsidRPr="00C73849">
        <w:rPr>
          <w:w w:val="99"/>
        </w:rPr>
        <w:t xml:space="preserve"> risk</w:t>
      </w:r>
      <w:r w:rsidRPr="00C73849">
        <w:t xml:space="preserve"> of this pyruvate test article being genotoxic </w:t>
      </w:r>
      <w:r w:rsidRPr="00C73849">
        <w:rPr>
          <w:i/>
        </w:rPr>
        <w:t xml:space="preserve">in vivo </w:t>
      </w:r>
      <w:proofErr w:type="gramStart"/>
      <w:r w:rsidRPr="00C73849">
        <w:t>is considered to be</w:t>
      </w:r>
      <w:proofErr w:type="gramEnd"/>
      <w:r w:rsidRPr="00C73849">
        <w:t xml:space="preserve"> very low. The</w:t>
      </w:r>
      <w:r w:rsidRPr="00C73849">
        <w:rPr>
          <w:w w:val="99"/>
        </w:rPr>
        <w:t xml:space="preserve"> </w:t>
      </w:r>
      <w:r w:rsidRPr="00C73849">
        <w:t>micronucleus assay was also done for the potential impurity AH113462 to test for the induction</w:t>
      </w:r>
      <w:r w:rsidRPr="00C73849">
        <w:rPr>
          <w:w w:val="99"/>
        </w:rPr>
        <w:t xml:space="preserve"> </w:t>
      </w:r>
      <w:r w:rsidRPr="00C73849">
        <w:t>of erythrocyte micronuclei in the bone marrow. In this test, rats were given a single</w:t>
      </w:r>
      <w:r w:rsidRPr="00C73849">
        <w:rPr>
          <w:w w:val="99"/>
        </w:rPr>
        <w:t xml:space="preserve"> </w:t>
      </w:r>
      <w:r w:rsidRPr="00C73849">
        <w:t xml:space="preserve">intravenous dose of 164 mg AH113462/kg </w:t>
      </w:r>
      <w:proofErr w:type="spellStart"/>
      <w:r w:rsidRPr="00C73849">
        <w:t>bw</w:t>
      </w:r>
      <w:proofErr w:type="spellEnd"/>
      <w:r w:rsidRPr="00C73849">
        <w:t xml:space="preserve"> (and 172 mg AH112623/kg </w:t>
      </w:r>
      <w:proofErr w:type="spellStart"/>
      <w:r w:rsidRPr="00C73849">
        <w:t>bw</w:t>
      </w:r>
      <w:proofErr w:type="spellEnd"/>
      <w:r w:rsidRPr="00C73849">
        <w:t>). It was concluded that this, the maximum practicable dose, did not induce any effects at the 24 h and</w:t>
      </w:r>
      <w:r w:rsidRPr="00C73849">
        <w:rPr>
          <w:w w:val="99"/>
        </w:rPr>
        <w:t xml:space="preserve"> </w:t>
      </w:r>
      <w:r w:rsidRPr="00C73849">
        <w:t>48 h sampling.</w:t>
      </w:r>
    </w:p>
    <w:p w14:paraId="538ADAF1" w14:textId="77777777" w:rsidR="00957F89" w:rsidRPr="00C73849" w:rsidRDefault="00957F89">
      <w:pPr>
        <w:spacing w:before="4"/>
        <w:rPr>
          <w:rFonts w:ascii="Times New Roman" w:eastAsia="Times New Roman" w:hAnsi="Times New Roman" w:cs="Times New Roman"/>
          <w:sz w:val="20"/>
          <w:szCs w:val="20"/>
        </w:rPr>
      </w:pPr>
    </w:p>
    <w:p w14:paraId="10FE2067" w14:textId="77777777" w:rsidR="00957F89" w:rsidRPr="00C73849" w:rsidRDefault="00D92D87">
      <w:pPr>
        <w:pStyle w:val="BodyText"/>
        <w:ind w:right="293"/>
      </w:pPr>
      <w:r w:rsidRPr="00C73849">
        <w:t>The genetic toxicology studies can be summarized as follows: The data show that one of the</w:t>
      </w:r>
      <w:r w:rsidRPr="00C73849">
        <w:rPr>
          <w:w w:val="99"/>
        </w:rPr>
        <w:t xml:space="preserve"> </w:t>
      </w:r>
      <w:r w:rsidRPr="00C73849">
        <w:t xml:space="preserve">two </w:t>
      </w:r>
      <w:r w:rsidRPr="00C73849">
        <w:rPr>
          <w:i/>
        </w:rPr>
        <w:t xml:space="preserve">in vitro </w:t>
      </w:r>
      <w:r w:rsidRPr="00C73849">
        <w:t>tests (</w:t>
      </w:r>
      <w:proofErr w:type="gramStart"/>
      <w:r w:rsidRPr="00C73849">
        <w:t>Ames</w:t>
      </w:r>
      <w:proofErr w:type="gramEnd"/>
      <w:r w:rsidRPr="00C73849">
        <w:t xml:space="preserve"> test) is negative for all of the test items that have been tested, i.e., the</w:t>
      </w:r>
      <w:r w:rsidRPr="00C73849">
        <w:rPr>
          <w:w w:val="99"/>
        </w:rPr>
        <w:t xml:space="preserve"> </w:t>
      </w:r>
      <w:r w:rsidRPr="00C73849">
        <w:t>pyruvate test article, each of the three potential impurities, AH112623, AH112615 and</w:t>
      </w:r>
      <w:r w:rsidRPr="00C73849">
        <w:rPr>
          <w:w w:val="99"/>
        </w:rPr>
        <w:t xml:space="preserve"> </w:t>
      </w:r>
      <w:r w:rsidRPr="00C73849">
        <w:t>AH113462, and the novel excipient, AH111501. The positive findings in the MLA test with</w:t>
      </w:r>
      <w:r w:rsidRPr="00C73849">
        <w:rPr>
          <w:w w:val="99"/>
        </w:rPr>
        <w:t xml:space="preserve"> </w:t>
      </w:r>
      <w:r w:rsidRPr="00C73849">
        <w:t>the pyruvate test article and AH112623, and the weakly positive findings with AH111501 and</w:t>
      </w:r>
      <w:r w:rsidRPr="00C73849">
        <w:rPr>
          <w:w w:val="99"/>
        </w:rPr>
        <w:t xml:space="preserve"> </w:t>
      </w:r>
      <w:r w:rsidRPr="00C73849">
        <w:t xml:space="preserve">AH113462, indicate that there is a </w:t>
      </w:r>
      <w:r w:rsidRPr="00C73849">
        <w:rPr>
          <w:u w:val="single" w:color="000000"/>
        </w:rPr>
        <w:t xml:space="preserve">potential </w:t>
      </w:r>
      <w:r w:rsidRPr="00C73849">
        <w:t>hazard, although this is mitigated by the negative</w:t>
      </w:r>
      <w:r w:rsidRPr="00C73849">
        <w:rPr>
          <w:w w:val="99"/>
        </w:rPr>
        <w:t xml:space="preserve"> </w:t>
      </w:r>
      <w:r w:rsidRPr="00C73849">
        <w:t xml:space="preserve">result in the standard </w:t>
      </w:r>
      <w:r w:rsidRPr="00C73849">
        <w:rPr>
          <w:i/>
        </w:rPr>
        <w:t xml:space="preserve">in vivo </w:t>
      </w:r>
      <w:r w:rsidRPr="00C73849">
        <w:t>risk assessment micronucleus study and the novel Comet assay with the pyruvate test article, and the micronucleus study for AH113462 (and AH112623).</w:t>
      </w:r>
    </w:p>
    <w:p w14:paraId="002DC286" w14:textId="77777777" w:rsidR="00957F89" w:rsidRPr="00C73849" w:rsidRDefault="00957F89">
      <w:pPr>
        <w:spacing w:before="10"/>
        <w:rPr>
          <w:rFonts w:ascii="Times New Roman" w:eastAsia="Times New Roman" w:hAnsi="Times New Roman" w:cs="Times New Roman"/>
          <w:sz w:val="20"/>
          <w:szCs w:val="20"/>
        </w:rPr>
      </w:pPr>
    </w:p>
    <w:p w14:paraId="768C3D82" w14:textId="77777777" w:rsidR="00957F89" w:rsidRDefault="00D92D87">
      <w:pPr>
        <w:pStyle w:val="BodyText"/>
        <w:ind w:right="248"/>
      </w:pPr>
      <w:r w:rsidRPr="00C73849">
        <w:t>In terms of human risk assessment, the weight of evidence from the toxicology studies, i.e.,</w:t>
      </w:r>
      <w:r w:rsidRPr="00C73849">
        <w:rPr>
          <w:w w:val="99"/>
        </w:rPr>
        <w:t xml:space="preserve"> </w:t>
      </w:r>
      <w:r w:rsidRPr="00C73849">
        <w:t>acute toxicity, local tolerance and genetic toxicology studies, indicates that the risk of the</w:t>
      </w:r>
      <w:r w:rsidRPr="00C73849">
        <w:rPr>
          <w:w w:val="99"/>
        </w:rPr>
        <w:t xml:space="preserve"> </w:t>
      </w:r>
      <w:r w:rsidRPr="00C73849">
        <w:t>pyruvate test article causing toxicity is acceptably low</w:t>
      </w:r>
      <w:r w:rsidR="00DA5F23">
        <w:t>.</w:t>
      </w:r>
    </w:p>
    <w:p w14:paraId="7D209238" w14:textId="77777777" w:rsidR="009E14F8" w:rsidRPr="00C73849" w:rsidRDefault="009E14F8">
      <w:pPr>
        <w:pStyle w:val="BodyText"/>
        <w:ind w:right="248"/>
      </w:pPr>
    </w:p>
    <w:p w14:paraId="65966F71" w14:textId="77777777" w:rsidR="009E14F8" w:rsidRDefault="009E14F8">
      <w:pPr>
        <w:rPr>
          <w:rFonts w:ascii="Times New Roman" w:eastAsia="Times New Roman" w:hAnsi="Times New Roman" w:cs="Times New Roman"/>
          <w:sz w:val="20"/>
          <w:szCs w:val="20"/>
        </w:rPr>
        <w:sectPr w:rsidR="009E14F8" w:rsidSect="00E9284E">
          <w:pgSz w:w="11909" w:h="16834" w:code="9"/>
          <w:pgMar w:top="1440" w:right="1440" w:bottom="1440" w:left="1440" w:header="720" w:footer="720" w:gutter="0"/>
          <w:cols w:space="720"/>
          <w:docGrid w:linePitch="299"/>
        </w:sectPr>
      </w:pPr>
    </w:p>
    <w:p w14:paraId="573E410E" w14:textId="77777777" w:rsidR="009E14F8" w:rsidRDefault="009E14F8" w:rsidP="00F670E8">
      <w:pPr>
        <w:pStyle w:val="Heading2"/>
        <w:numPr>
          <w:ilvl w:val="1"/>
          <w:numId w:val="9"/>
        </w:numPr>
      </w:pPr>
      <w:bookmarkStart w:id="148" w:name="_Toc34899991"/>
      <w:bookmarkStart w:id="149" w:name="_Toc33702520"/>
      <w:bookmarkStart w:id="150" w:name="_Toc176276947"/>
      <w:r>
        <w:lastRenderedPageBreak/>
        <w:t>Tabulated Summary of Non-clinical Studies</w:t>
      </w:r>
      <w:bookmarkEnd w:id="148"/>
      <w:bookmarkEnd w:id="149"/>
      <w:bookmarkEnd w:id="150"/>
    </w:p>
    <w:tbl>
      <w:tblPr>
        <w:tblStyle w:val="TableGrid"/>
        <w:tblW w:w="5151" w:type="pct"/>
        <w:tblLayout w:type="fixed"/>
        <w:tblLook w:val="04A0" w:firstRow="1" w:lastRow="0" w:firstColumn="1" w:lastColumn="0" w:noHBand="0" w:noVBand="1"/>
      </w:tblPr>
      <w:tblGrid>
        <w:gridCol w:w="4617"/>
        <w:gridCol w:w="1350"/>
        <w:gridCol w:w="8398"/>
      </w:tblGrid>
      <w:tr w:rsidR="009F5F26" w:rsidRPr="009F5F26" w14:paraId="7D6316DB" w14:textId="77777777" w:rsidTr="00E55B59">
        <w:trPr>
          <w:cantSplit/>
          <w:tblHeader/>
        </w:trPr>
        <w:tc>
          <w:tcPr>
            <w:tcW w:w="1607" w:type="pct"/>
          </w:tcPr>
          <w:p w14:paraId="0A528B5C" w14:textId="77777777" w:rsidR="009F5F26" w:rsidRPr="009F5F26" w:rsidRDefault="009F5F26" w:rsidP="009F5F26">
            <w:pPr>
              <w:jc w:val="center"/>
              <w:rPr>
                <w:rFonts w:ascii="Times New Roman" w:hAnsi="Times New Roman" w:cs="Times New Roman"/>
                <w:b/>
                <w:sz w:val="24"/>
                <w:szCs w:val="24"/>
              </w:rPr>
            </w:pPr>
            <w:r w:rsidRPr="009F5F26">
              <w:rPr>
                <w:rFonts w:ascii="Calibri" w:hAnsi="Calibri" w:cs="Times New Roman"/>
                <w:b/>
                <w:sz w:val="24"/>
                <w:szCs w:val="24"/>
              </w:rPr>
              <w:t>Study Title</w:t>
            </w:r>
          </w:p>
        </w:tc>
        <w:tc>
          <w:tcPr>
            <w:tcW w:w="470" w:type="pct"/>
          </w:tcPr>
          <w:p w14:paraId="1BB8F0A9" w14:textId="77777777" w:rsidR="009F5F26" w:rsidRPr="009F5F26" w:rsidRDefault="009F5F26" w:rsidP="009F5F26">
            <w:pPr>
              <w:jc w:val="center"/>
              <w:rPr>
                <w:rFonts w:ascii="Times New Roman" w:hAnsi="Times New Roman" w:cs="Times New Roman"/>
                <w:b/>
                <w:sz w:val="24"/>
                <w:szCs w:val="24"/>
              </w:rPr>
            </w:pPr>
            <w:r w:rsidRPr="009F5F26">
              <w:rPr>
                <w:rFonts w:ascii="Calibri" w:hAnsi="Calibri" w:cs="Times New Roman"/>
                <w:b/>
                <w:sz w:val="24"/>
                <w:szCs w:val="24"/>
              </w:rPr>
              <w:t>Study No.</w:t>
            </w:r>
          </w:p>
        </w:tc>
        <w:tc>
          <w:tcPr>
            <w:tcW w:w="2924" w:type="pct"/>
          </w:tcPr>
          <w:p w14:paraId="20F54BA1" w14:textId="77777777" w:rsidR="009F5F26" w:rsidRPr="009F5F26" w:rsidRDefault="009F5F26" w:rsidP="009F5F26">
            <w:pPr>
              <w:jc w:val="center"/>
              <w:rPr>
                <w:rFonts w:ascii="Calibri" w:hAnsi="Calibri" w:cs="Times New Roman"/>
                <w:b/>
                <w:sz w:val="24"/>
                <w:szCs w:val="24"/>
              </w:rPr>
            </w:pPr>
            <w:r w:rsidRPr="009F5F26">
              <w:rPr>
                <w:rFonts w:ascii="Calibri" w:hAnsi="Calibri" w:cs="Times New Roman"/>
                <w:b/>
                <w:sz w:val="24"/>
                <w:szCs w:val="24"/>
              </w:rPr>
              <w:t>Results Summary</w:t>
            </w:r>
          </w:p>
        </w:tc>
      </w:tr>
      <w:tr w:rsidR="009F5F26" w:rsidRPr="009F5F26" w14:paraId="4D354E45" w14:textId="77777777" w:rsidTr="00E55B59">
        <w:trPr>
          <w:cantSplit/>
        </w:trPr>
        <w:tc>
          <w:tcPr>
            <w:tcW w:w="5000" w:type="pct"/>
            <w:gridSpan w:val="3"/>
          </w:tcPr>
          <w:p w14:paraId="5D70D8AD" w14:textId="77777777" w:rsidR="009F5F26" w:rsidRPr="009F5F26" w:rsidRDefault="009F5F26" w:rsidP="009F5F26">
            <w:pPr>
              <w:rPr>
                <w:rFonts w:ascii="Calibri" w:hAnsi="Calibri" w:cs="Times New Roman"/>
                <w:b/>
                <w:sz w:val="20"/>
                <w:szCs w:val="20"/>
              </w:rPr>
            </w:pPr>
            <w:r w:rsidRPr="009F5F26">
              <w:rPr>
                <w:rFonts w:ascii="Calibri" w:hAnsi="Calibri" w:cs="Times New Roman"/>
                <w:b/>
                <w:sz w:val="20"/>
                <w:szCs w:val="20"/>
              </w:rPr>
              <w:t>Primary Pharmacodynamic Studies</w:t>
            </w:r>
          </w:p>
        </w:tc>
      </w:tr>
      <w:tr w:rsidR="009F5F26" w:rsidRPr="009F5F26" w14:paraId="4B41478F" w14:textId="77777777" w:rsidTr="00E55B59">
        <w:trPr>
          <w:cantSplit/>
        </w:trPr>
        <w:tc>
          <w:tcPr>
            <w:tcW w:w="1607" w:type="pct"/>
          </w:tcPr>
          <w:p w14:paraId="11089CB6" w14:textId="77777777" w:rsidR="009F5F26" w:rsidRPr="009F5F26" w:rsidRDefault="009F5F26" w:rsidP="009F5F26">
            <w:pPr>
              <w:autoSpaceDE w:val="0"/>
              <w:autoSpaceDN w:val="0"/>
              <w:adjustRightInd w:val="0"/>
              <w:rPr>
                <w:rFonts w:ascii="Calibri" w:hAnsi="Calibri" w:cs="Times New Roman"/>
                <w:sz w:val="20"/>
                <w:szCs w:val="20"/>
              </w:rPr>
            </w:pPr>
            <w:r w:rsidRPr="009F5F26">
              <w:rPr>
                <w:rFonts w:ascii="Calibri" w:hAnsi="Calibri" w:cs="Times New Roman"/>
                <w:sz w:val="20"/>
                <w:szCs w:val="20"/>
              </w:rPr>
              <w:t>Metabolic Imaging with hyperpolarized [1-</w:t>
            </w:r>
            <w:r w:rsidRPr="009F5F26">
              <w:rPr>
                <w:rFonts w:ascii="Calibri" w:hAnsi="Calibri" w:cs="Times New Roman"/>
                <w:sz w:val="20"/>
                <w:szCs w:val="20"/>
                <w:vertAlign w:val="superscript"/>
              </w:rPr>
              <w:t>13</w:t>
            </w:r>
            <w:r w:rsidRPr="009F5F26">
              <w:rPr>
                <w:rFonts w:ascii="Calibri" w:hAnsi="Calibri" w:cs="Times New Roman"/>
                <w:sz w:val="20"/>
                <w:szCs w:val="20"/>
              </w:rPr>
              <w:t>C]-Pyruvate in Prostate of Healthy Dogs Using a Second- Generation Endorectal Coil and Reduced</w:t>
            </w:r>
          </w:p>
          <w:p w14:paraId="1270BE53" w14:textId="77777777" w:rsidR="009F5F26" w:rsidRPr="009F5F26" w:rsidRDefault="009F5F26" w:rsidP="009F5F26">
            <w:pPr>
              <w:autoSpaceDE w:val="0"/>
              <w:autoSpaceDN w:val="0"/>
              <w:adjustRightInd w:val="0"/>
              <w:rPr>
                <w:rFonts w:ascii="Calibri" w:hAnsi="Calibri" w:cs="Times New Roman"/>
                <w:sz w:val="20"/>
                <w:szCs w:val="20"/>
              </w:rPr>
            </w:pPr>
            <w:r w:rsidRPr="009F5F26">
              <w:rPr>
                <w:rFonts w:ascii="Calibri" w:hAnsi="Calibri" w:cs="Times New Roman"/>
                <w:sz w:val="20"/>
                <w:szCs w:val="20"/>
              </w:rPr>
              <w:t>Dose</w:t>
            </w:r>
          </w:p>
          <w:p w14:paraId="0A421F37" w14:textId="77777777" w:rsidR="009F5F26" w:rsidRPr="009F5F26" w:rsidRDefault="009F5F26" w:rsidP="009F5F26">
            <w:pPr>
              <w:rPr>
                <w:rFonts w:ascii="Times New Roman" w:hAnsi="Times New Roman" w:cs="Times New Roman"/>
                <w:sz w:val="20"/>
                <w:szCs w:val="20"/>
              </w:rPr>
            </w:pPr>
          </w:p>
        </w:tc>
        <w:tc>
          <w:tcPr>
            <w:tcW w:w="470" w:type="pct"/>
          </w:tcPr>
          <w:p w14:paraId="25B44923" w14:textId="2D624064" w:rsidR="009F5F26" w:rsidRPr="009F5F26" w:rsidRDefault="009F5F26" w:rsidP="009F5F26">
            <w:pPr>
              <w:rPr>
                <w:rFonts w:ascii="Times New Roman" w:hAnsi="Times New Roman" w:cs="Times New Roman"/>
                <w:sz w:val="20"/>
                <w:szCs w:val="20"/>
              </w:rPr>
            </w:pPr>
            <w:r w:rsidRPr="007F001B">
              <w:rPr>
                <w:rFonts w:ascii="Calibri" w:hAnsi="Calibri" w:cs="Times New Roman"/>
                <w:sz w:val="20"/>
                <w:szCs w:val="20"/>
              </w:rPr>
              <w:t>B101059</w:t>
            </w:r>
          </w:p>
        </w:tc>
        <w:tc>
          <w:tcPr>
            <w:tcW w:w="2924" w:type="pct"/>
          </w:tcPr>
          <w:p w14:paraId="10669A7C" w14:textId="77777777" w:rsidR="009F5F26" w:rsidRPr="009F5F26" w:rsidRDefault="009F5F26" w:rsidP="009F5F26">
            <w:pPr>
              <w:rPr>
                <w:rFonts w:ascii="Calibri" w:hAnsi="Calibri" w:cs="Times New Roman"/>
                <w:sz w:val="20"/>
                <w:szCs w:val="20"/>
              </w:rPr>
            </w:pPr>
            <w:r w:rsidRPr="009F5F26">
              <w:rPr>
                <w:rFonts w:ascii="Calibri" w:hAnsi="Calibri" w:cs="Times New Roman"/>
                <w:sz w:val="20"/>
                <w:szCs w:val="20"/>
              </w:rPr>
              <w:t xml:space="preserve">The injection rate was scaled to cardiac output to make it comparable to the clinical injection rate of 5 ml/s. The doses of 0.18 and 0.36 ml/kg were administered manually due to the low dose volume (2.0-4.7 ml). The dose of 1.4 ml/kg </w:t>
            </w:r>
            <w:proofErr w:type="spellStart"/>
            <w:r w:rsidRPr="009F5F26">
              <w:rPr>
                <w:rFonts w:ascii="Calibri" w:hAnsi="Calibri" w:cs="Times New Roman"/>
                <w:sz w:val="20"/>
                <w:szCs w:val="20"/>
              </w:rPr>
              <w:t>bw</w:t>
            </w:r>
            <w:proofErr w:type="spellEnd"/>
            <w:r w:rsidRPr="009F5F26">
              <w:rPr>
                <w:rFonts w:ascii="Calibri" w:hAnsi="Calibri" w:cs="Times New Roman"/>
                <w:sz w:val="20"/>
                <w:szCs w:val="20"/>
              </w:rPr>
              <w:t xml:space="preserve"> was administered by power injector. The study demonstrated pyruvate and lactate signal-to-noise ratios of ~20:1 for both the 0.18 and 0.36 ml/kg </w:t>
            </w:r>
            <w:proofErr w:type="spellStart"/>
            <w:r w:rsidRPr="009F5F26">
              <w:rPr>
                <w:rFonts w:ascii="Calibri" w:hAnsi="Calibri" w:cs="Times New Roman"/>
                <w:sz w:val="20"/>
                <w:szCs w:val="20"/>
              </w:rPr>
              <w:t>bw</w:t>
            </w:r>
            <w:proofErr w:type="spellEnd"/>
            <w:r w:rsidRPr="009F5F26">
              <w:rPr>
                <w:rFonts w:ascii="Calibri" w:hAnsi="Calibri" w:cs="Times New Roman"/>
                <w:sz w:val="20"/>
                <w:szCs w:val="20"/>
              </w:rPr>
              <w:t xml:space="preserve"> doses. The choice of dose appears to be limited by tissue contrast-to-noise and the highest acceptable dose from a safety perspective is recommended for clinical studies. Based on the results </w:t>
            </w:r>
            <w:proofErr w:type="gramStart"/>
            <w:r w:rsidRPr="009F5F26">
              <w:rPr>
                <w:rFonts w:ascii="Calibri" w:hAnsi="Calibri" w:cs="Times New Roman"/>
                <w:sz w:val="20"/>
                <w:szCs w:val="20"/>
              </w:rPr>
              <w:t>it is clear that the</w:t>
            </w:r>
            <w:proofErr w:type="gramEnd"/>
            <w:r w:rsidRPr="009F5F26">
              <w:rPr>
                <w:rFonts w:ascii="Calibri" w:hAnsi="Calibri" w:cs="Times New Roman"/>
                <w:sz w:val="20"/>
                <w:szCs w:val="20"/>
              </w:rPr>
              <w:t xml:space="preserve"> pulse sequence must be tailored to suit the human </w:t>
            </w:r>
            <w:r w:rsidR="00CE5E5A" w:rsidRPr="009F5F26">
              <w:rPr>
                <w:rFonts w:ascii="Calibri" w:hAnsi="Calibri" w:cs="Times New Roman"/>
                <w:sz w:val="20"/>
                <w:szCs w:val="20"/>
              </w:rPr>
              <w:t>biology,</w:t>
            </w:r>
            <w:r w:rsidRPr="009F5F26">
              <w:rPr>
                <w:rFonts w:ascii="Calibri" w:hAnsi="Calibri" w:cs="Times New Roman"/>
                <w:sz w:val="20"/>
                <w:szCs w:val="20"/>
              </w:rPr>
              <w:t xml:space="preserve"> and this can only be accomplished in clinical studies.</w:t>
            </w:r>
          </w:p>
        </w:tc>
      </w:tr>
      <w:tr w:rsidR="009F5F26" w:rsidRPr="009F5F26" w14:paraId="5016670F" w14:textId="77777777" w:rsidTr="00E55B59">
        <w:trPr>
          <w:cantSplit/>
        </w:trPr>
        <w:tc>
          <w:tcPr>
            <w:tcW w:w="5000" w:type="pct"/>
            <w:gridSpan w:val="3"/>
          </w:tcPr>
          <w:p w14:paraId="226321DA" w14:textId="77777777" w:rsidR="009F5F26" w:rsidRPr="009F5F26" w:rsidRDefault="009F5F26" w:rsidP="009F5F26">
            <w:pPr>
              <w:autoSpaceDE w:val="0"/>
              <w:autoSpaceDN w:val="0"/>
              <w:adjustRightInd w:val="0"/>
              <w:rPr>
                <w:rFonts w:ascii="Calibri" w:hAnsi="Calibri" w:cs="Times New Roman"/>
                <w:b/>
                <w:sz w:val="20"/>
                <w:szCs w:val="20"/>
              </w:rPr>
            </w:pPr>
            <w:r w:rsidRPr="009F5F26">
              <w:rPr>
                <w:rFonts w:ascii="Calibri" w:hAnsi="Calibri" w:cs="Times New Roman"/>
                <w:b/>
                <w:sz w:val="20"/>
                <w:szCs w:val="20"/>
              </w:rPr>
              <w:t>Safety Pharmacology Studies</w:t>
            </w:r>
          </w:p>
        </w:tc>
      </w:tr>
      <w:tr w:rsidR="009F5F26" w:rsidRPr="009F5F26" w14:paraId="5C773A35" w14:textId="77777777" w:rsidTr="00E55B59">
        <w:trPr>
          <w:cantSplit/>
        </w:trPr>
        <w:tc>
          <w:tcPr>
            <w:tcW w:w="1607" w:type="pct"/>
          </w:tcPr>
          <w:p w14:paraId="067C9381" w14:textId="77777777" w:rsidR="009F5F26" w:rsidRPr="009F5F26" w:rsidRDefault="009F5F26" w:rsidP="009F5F26">
            <w:pPr>
              <w:autoSpaceDE w:val="0"/>
              <w:autoSpaceDN w:val="0"/>
              <w:adjustRightInd w:val="0"/>
              <w:rPr>
                <w:rFonts w:ascii="Times New Roman" w:hAnsi="Times New Roman" w:cs="Times New Roman"/>
                <w:sz w:val="20"/>
                <w:szCs w:val="20"/>
              </w:rPr>
            </w:pPr>
            <w:r w:rsidRPr="009F5F26">
              <w:rPr>
                <w:rFonts w:ascii="Calibri" w:hAnsi="Calibri" w:cs="Times New Roman"/>
                <w:sz w:val="20"/>
                <w:szCs w:val="20"/>
              </w:rPr>
              <w:t>Na-Pyruvate and AH111501: Effects on HERG-1 tail currents recorded from stably transfected HEK 293 cells.</w:t>
            </w:r>
          </w:p>
        </w:tc>
        <w:tc>
          <w:tcPr>
            <w:tcW w:w="470" w:type="pct"/>
          </w:tcPr>
          <w:p w14:paraId="7433624C" w14:textId="75D23BC1" w:rsidR="009F5F26" w:rsidRPr="009F5F26" w:rsidRDefault="009F5F26" w:rsidP="009F5F26">
            <w:pPr>
              <w:rPr>
                <w:rFonts w:ascii="Times New Roman" w:hAnsi="Times New Roman" w:cs="Times New Roman"/>
                <w:sz w:val="20"/>
                <w:szCs w:val="20"/>
              </w:rPr>
            </w:pPr>
            <w:r w:rsidRPr="009F5F26">
              <w:rPr>
                <w:rFonts w:ascii="Calibri" w:hAnsi="Calibri" w:cs="Times New Roman"/>
                <w:sz w:val="20"/>
                <w:szCs w:val="20"/>
              </w:rPr>
              <w:t>RCC 858776 (B101021)</w:t>
            </w:r>
          </w:p>
        </w:tc>
        <w:tc>
          <w:tcPr>
            <w:tcW w:w="2924" w:type="pct"/>
          </w:tcPr>
          <w:p w14:paraId="724F04C7" w14:textId="77777777" w:rsidR="009F5F26" w:rsidRPr="009F5F26" w:rsidRDefault="009F5F26" w:rsidP="009F5F26">
            <w:pPr>
              <w:autoSpaceDE w:val="0"/>
              <w:autoSpaceDN w:val="0"/>
              <w:adjustRightInd w:val="0"/>
              <w:rPr>
                <w:rFonts w:ascii="Calibri" w:hAnsi="Calibri" w:cs="Times New Roman"/>
                <w:sz w:val="20"/>
                <w:szCs w:val="20"/>
              </w:rPr>
            </w:pPr>
            <w:r w:rsidRPr="009F5F26">
              <w:rPr>
                <w:rFonts w:ascii="Calibri" w:hAnsi="Calibri" w:cs="Times New Roman"/>
                <w:sz w:val="20"/>
                <w:szCs w:val="20"/>
              </w:rPr>
              <w:t>Neither AH111501 nor Na-pyruvate affected the amplitude of the hERG-1 tail current at the tested concentrations. Exposure was demonstrated for Na-pyruvate at a concentration of 4.0 mg/ml.</w:t>
            </w:r>
          </w:p>
        </w:tc>
      </w:tr>
      <w:tr w:rsidR="009F5F26" w:rsidRPr="009F5F26" w14:paraId="5E005729" w14:textId="77777777" w:rsidTr="00E55B59">
        <w:trPr>
          <w:cantSplit/>
        </w:trPr>
        <w:tc>
          <w:tcPr>
            <w:tcW w:w="1607" w:type="pct"/>
          </w:tcPr>
          <w:p w14:paraId="6500DD17" w14:textId="77777777" w:rsidR="009F5F26" w:rsidRPr="009F5F26" w:rsidRDefault="009F5F26" w:rsidP="009F5F26">
            <w:pPr>
              <w:autoSpaceDE w:val="0"/>
              <w:autoSpaceDN w:val="0"/>
              <w:adjustRightInd w:val="0"/>
              <w:rPr>
                <w:rFonts w:ascii="Calibri" w:hAnsi="Calibri" w:cs="Times New Roman"/>
                <w:sz w:val="20"/>
                <w:szCs w:val="20"/>
              </w:rPr>
            </w:pPr>
            <w:r w:rsidRPr="009F5F26">
              <w:rPr>
                <w:rFonts w:ascii="Calibri" w:hAnsi="Calibri" w:cs="Times New Roman"/>
                <w:sz w:val="20"/>
                <w:szCs w:val="20"/>
              </w:rPr>
              <w:t xml:space="preserve">AH111501 dissolved in </w:t>
            </w:r>
            <w:r w:rsidRPr="009F5F26">
              <w:rPr>
                <w:rFonts w:ascii="Calibri" w:hAnsi="Calibri" w:cs="Times New Roman"/>
                <w:sz w:val="20"/>
                <w:szCs w:val="20"/>
                <w:vertAlign w:val="superscript"/>
              </w:rPr>
              <w:t>12</w:t>
            </w:r>
            <w:r w:rsidRPr="009F5F26">
              <w:rPr>
                <w:rFonts w:ascii="Calibri" w:hAnsi="Calibri" w:cs="Times New Roman"/>
                <w:sz w:val="20"/>
                <w:szCs w:val="20"/>
              </w:rPr>
              <w:t>C-pyruvate: Modified Irwin screen test in the rat.</w:t>
            </w:r>
          </w:p>
          <w:p w14:paraId="6D2EB363" w14:textId="77777777" w:rsidR="009F5F26" w:rsidRPr="009F5F26" w:rsidRDefault="009F5F26" w:rsidP="009F5F26">
            <w:pPr>
              <w:rPr>
                <w:rFonts w:ascii="Times New Roman" w:hAnsi="Times New Roman" w:cs="Times New Roman"/>
                <w:sz w:val="20"/>
                <w:szCs w:val="20"/>
              </w:rPr>
            </w:pPr>
          </w:p>
        </w:tc>
        <w:tc>
          <w:tcPr>
            <w:tcW w:w="470" w:type="pct"/>
          </w:tcPr>
          <w:p w14:paraId="33A4DCB8" w14:textId="43CBC756" w:rsidR="009F5F26" w:rsidRPr="009F5F26" w:rsidRDefault="009F5F26" w:rsidP="009F5F26">
            <w:pPr>
              <w:rPr>
                <w:rFonts w:ascii="Times New Roman" w:hAnsi="Times New Roman" w:cs="Times New Roman"/>
                <w:sz w:val="20"/>
                <w:szCs w:val="20"/>
              </w:rPr>
            </w:pPr>
            <w:r w:rsidRPr="009F5F26">
              <w:rPr>
                <w:rFonts w:ascii="Calibri" w:hAnsi="Calibri" w:cs="Times New Roman"/>
                <w:sz w:val="20"/>
                <w:szCs w:val="20"/>
              </w:rPr>
              <w:t>RCC 855869 (B101011)</w:t>
            </w:r>
          </w:p>
        </w:tc>
        <w:tc>
          <w:tcPr>
            <w:tcW w:w="2924" w:type="pct"/>
          </w:tcPr>
          <w:p w14:paraId="56B44D25" w14:textId="77777777" w:rsidR="009F5F26" w:rsidRPr="009F5F26" w:rsidRDefault="009F5F26" w:rsidP="009F5F26">
            <w:pPr>
              <w:autoSpaceDE w:val="0"/>
              <w:autoSpaceDN w:val="0"/>
              <w:adjustRightInd w:val="0"/>
              <w:rPr>
                <w:rFonts w:ascii="Calibri" w:hAnsi="Calibri" w:cs="Times New Roman"/>
                <w:sz w:val="20"/>
                <w:szCs w:val="20"/>
              </w:rPr>
            </w:pPr>
            <w:r w:rsidRPr="009F5F26">
              <w:rPr>
                <w:rFonts w:ascii="Calibri" w:hAnsi="Calibri" w:cs="Times New Roman"/>
                <w:sz w:val="20"/>
                <w:szCs w:val="20"/>
              </w:rPr>
              <w:t xml:space="preserve">Intravenous administration of test item containing AH111501 and pyruvate up to dose volumes of 5 ml/kg </w:t>
            </w:r>
            <w:proofErr w:type="spellStart"/>
            <w:r w:rsidRPr="009F5F26">
              <w:rPr>
                <w:rFonts w:ascii="Calibri" w:hAnsi="Calibri" w:cs="Times New Roman"/>
                <w:sz w:val="20"/>
                <w:szCs w:val="20"/>
              </w:rPr>
              <w:t>bw</w:t>
            </w:r>
            <w:proofErr w:type="spellEnd"/>
            <w:r w:rsidRPr="009F5F26">
              <w:rPr>
                <w:rFonts w:ascii="Calibri" w:hAnsi="Calibri" w:cs="Times New Roman"/>
                <w:sz w:val="20"/>
                <w:szCs w:val="20"/>
              </w:rPr>
              <w:t xml:space="preserve"> had no significant effects on the behavior of male Wistar rats when evaluated in a modified Irwin screen test.</w:t>
            </w:r>
          </w:p>
        </w:tc>
      </w:tr>
      <w:tr w:rsidR="009F5F26" w:rsidRPr="009F5F26" w14:paraId="2AFA46C9" w14:textId="77777777" w:rsidTr="00E55B59">
        <w:trPr>
          <w:cantSplit/>
        </w:trPr>
        <w:tc>
          <w:tcPr>
            <w:tcW w:w="1607" w:type="pct"/>
          </w:tcPr>
          <w:p w14:paraId="4E1CAE1D" w14:textId="77777777" w:rsidR="009F5F26" w:rsidRPr="009F5F26" w:rsidRDefault="009F5F26" w:rsidP="009F5F26">
            <w:pPr>
              <w:autoSpaceDE w:val="0"/>
              <w:autoSpaceDN w:val="0"/>
              <w:adjustRightInd w:val="0"/>
              <w:rPr>
                <w:rFonts w:ascii="Calibri" w:hAnsi="Calibri" w:cs="Times New Roman"/>
                <w:sz w:val="20"/>
                <w:szCs w:val="20"/>
              </w:rPr>
            </w:pPr>
            <w:r w:rsidRPr="009F5F26">
              <w:rPr>
                <w:rFonts w:ascii="Calibri" w:hAnsi="Calibri" w:cs="Times New Roman"/>
                <w:sz w:val="20"/>
                <w:szCs w:val="20"/>
              </w:rPr>
              <w:lastRenderedPageBreak/>
              <w:t>Cardiovascular assessment in anaesthetised dogs of pyruvate administered at high injection rates.</w:t>
            </w:r>
          </w:p>
          <w:p w14:paraId="3D506FCB" w14:textId="77777777" w:rsidR="009F5F26" w:rsidRPr="009F5F26" w:rsidRDefault="009F5F26" w:rsidP="009F5F26">
            <w:pPr>
              <w:rPr>
                <w:rFonts w:ascii="Times New Roman" w:hAnsi="Times New Roman" w:cs="Times New Roman"/>
                <w:sz w:val="20"/>
                <w:szCs w:val="20"/>
              </w:rPr>
            </w:pPr>
          </w:p>
        </w:tc>
        <w:tc>
          <w:tcPr>
            <w:tcW w:w="470" w:type="pct"/>
          </w:tcPr>
          <w:p w14:paraId="51DD8FBE" w14:textId="71F48071" w:rsidR="009F5F26" w:rsidRPr="009F5F26" w:rsidRDefault="009F5F26" w:rsidP="009F5F26">
            <w:pPr>
              <w:rPr>
                <w:rFonts w:ascii="Times New Roman" w:hAnsi="Times New Roman" w:cs="Times New Roman"/>
                <w:sz w:val="20"/>
                <w:szCs w:val="20"/>
              </w:rPr>
            </w:pPr>
            <w:r w:rsidRPr="009F5F26">
              <w:rPr>
                <w:rFonts w:ascii="Calibri" w:hAnsi="Calibri" w:cs="Times New Roman"/>
                <w:sz w:val="20"/>
                <w:szCs w:val="20"/>
              </w:rPr>
              <w:t>B101026</w:t>
            </w:r>
          </w:p>
        </w:tc>
        <w:tc>
          <w:tcPr>
            <w:tcW w:w="2924" w:type="pct"/>
          </w:tcPr>
          <w:p w14:paraId="3BE0536D" w14:textId="77777777" w:rsidR="009F5F26" w:rsidRPr="009F5F26" w:rsidRDefault="009F5F26" w:rsidP="009F5F26">
            <w:pPr>
              <w:autoSpaceDE w:val="0"/>
              <w:autoSpaceDN w:val="0"/>
              <w:adjustRightInd w:val="0"/>
              <w:rPr>
                <w:rFonts w:ascii="Calibri" w:hAnsi="Calibri" w:cs="Times New Roman"/>
                <w:sz w:val="20"/>
                <w:szCs w:val="20"/>
              </w:rPr>
            </w:pPr>
            <w:r w:rsidRPr="009F5F26">
              <w:rPr>
                <w:rFonts w:ascii="Calibri" w:hAnsi="Calibri" w:cs="Times New Roman"/>
                <w:sz w:val="20"/>
                <w:szCs w:val="20"/>
              </w:rPr>
              <w:t xml:space="preserve">One female dog died after receiving the first dose of 126 mg/kg </w:t>
            </w:r>
            <w:proofErr w:type="spellStart"/>
            <w:r w:rsidRPr="009F5F26">
              <w:rPr>
                <w:rFonts w:ascii="Calibri" w:hAnsi="Calibri" w:cs="Times New Roman"/>
                <w:sz w:val="20"/>
                <w:szCs w:val="20"/>
              </w:rPr>
              <w:t>bw</w:t>
            </w:r>
            <w:proofErr w:type="spellEnd"/>
            <w:r w:rsidRPr="009F5F26">
              <w:rPr>
                <w:rFonts w:ascii="Calibri" w:hAnsi="Calibri" w:cs="Times New Roman"/>
                <w:sz w:val="20"/>
                <w:szCs w:val="20"/>
              </w:rPr>
              <w:t xml:space="preserve"> pyruvate. This animal had received ~4.5 times as much pentobarbital and more than 1.6 times as much fentanyl per hour compared to the average given to the other dogs. The heavy dose of anesthetic was thought to have abolished all cardiovascular compensatory mechanisms.</w:t>
            </w:r>
          </w:p>
          <w:p w14:paraId="27ED498D" w14:textId="77777777" w:rsidR="009F5F26" w:rsidRPr="009F5F26" w:rsidRDefault="009F5F26" w:rsidP="009F5F26">
            <w:pPr>
              <w:autoSpaceDE w:val="0"/>
              <w:autoSpaceDN w:val="0"/>
              <w:adjustRightInd w:val="0"/>
              <w:rPr>
                <w:rFonts w:ascii="Calibri" w:hAnsi="Calibri" w:cs="Times New Roman"/>
                <w:sz w:val="20"/>
                <w:szCs w:val="20"/>
              </w:rPr>
            </w:pPr>
            <w:r w:rsidRPr="009F5F26">
              <w:rPr>
                <w:rFonts w:ascii="Calibri" w:hAnsi="Calibri" w:cs="Times New Roman"/>
                <w:sz w:val="20"/>
                <w:szCs w:val="20"/>
              </w:rPr>
              <w:t>Pyruvate caused an acute, short-lasting, dose-dependent decrease in arterial blood pressure, immediately followed by a compensatory increase in heart rate and femoral arterial flow. Pulmonary arterial pressure [PAP] gradually increased with peak effect at 2-3 min.</w:t>
            </w:r>
          </w:p>
          <w:p w14:paraId="552B6E9A" w14:textId="77777777" w:rsidR="009F5F26" w:rsidRPr="00DA4E2B" w:rsidRDefault="009F5F26" w:rsidP="009F5F26">
            <w:pPr>
              <w:autoSpaceDE w:val="0"/>
              <w:autoSpaceDN w:val="0"/>
              <w:adjustRightInd w:val="0"/>
              <w:rPr>
                <w:rFonts w:ascii="Calibri" w:hAnsi="Calibri" w:cs="Times New Roman"/>
                <w:sz w:val="20"/>
                <w:szCs w:val="20"/>
              </w:rPr>
            </w:pPr>
            <w:r w:rsidRPr="009F5F26">
              <w:rPr>
                <w:rFonts w:ascii="Calibri" w:hAnsi="Calibri" w:cs="Times New Roman"/>
                <w:sz w:val="20"/>
                <w:szCs w:val="20"/>
              </w:rPr>
              <w:t>The increase in PAP was either a passive effect, caused by an increase in cardiac output, or by an increase in pulmonary resistance. A short-lasting, dose-dependent, prolongation of the QT/</w:t>
            </w:r>
            <w:proofErr w:type="spellStart"/>
            <w:r w:rsidRPr="009F5F26">
              <w:rPr>
                <w:rFonts w:ascii="Calibri" w:hAnsi="Calibri" w:cs="Times New Roman"/>
                <w:sz w:val="20"/>
                <w:szCs w:val="20"/>
              </w:rPr>
              <w:t>QTcV</w:t>
            </w:r>
            <w:proofErr w:type="spellEnd"/>
            <w:r w:rsidRPr="009F5F26">
              <w:rPr>
                <w:rFonts w:ascii="Calibri" w:hAnsi="Calibri" w:cs="Times New Roman"/>
                <w:sz w:val="20"/>
                <w:szCs w:val="20"/>
              </w:rPr>
              <w:t xml:space="preserve">-interval was observed. No evidence of treatment-related arrhythmias was recorded. Administration </w:t>
            </w:r>
            <w:r w:rsidRPr="00DA4E2B">
              <w:rPr>
                <w:rFonts w:ascii="Calibri" w:hAnsi="Calibri" w:cs="Times New Roman"/>
                <w:sz w:val="20"/>
                <w:szCs w:val="20"/>
              </w:rPr>
              <w:t>of TRIS/EDTA vehicle control caused an acute short-lasting decrease in blood pressure.</w:t>
            </w:r>
          </w:p>
          <w:p w14:paraId="7E3EF59D" w14:textId="77777777" w:rsidR="009F5F26" w:rsidRPr="00DA4E2B" w:rsidRDefault="009F5F26" w:rsidP="009F5F26">
            <w:pPr>
              <w:autoSpaceDE w:val="0"/>
              <w:autoSpaceDN w:val="0"/>
              <w:adjustRightInd w:val="0"/>
              <w:rPr>
                <w:rFonts w:ascii="Calibri" w:hAnsi="Calibri" w:cs="Times New Roman"/>
                <w:sz w:val="20"/>
                <w:szCs w:val="20"/>
              </w:rPr>
            </w:pPr>
            <w:proofErr w:type="gramStart"/>
            <w:r w:rsidRPr="00DA4E2B">
              <w:rPr>
                <w:rFonts w:ascii="Calibri" w:hAnsi="Calibri" w:cs="Times New Roman"/>
                <w:sz w:val="20"/>
                <w:szCs w:val="20"/>
              </w:rPr>
              <w:t>Osmotically-matched</w:t>
            </w:r>
            <w:proofErr w:type="gramEnd"/>
            <w:r w:rsidRPr="00DA4E2B">
              <w:rPr>
                <w:rFonts w:ascii="Calibri" w:hAnsi="Calibri" w:cs="Times New Roman"/>
                <w:sz w:val="20"/>
                <w:szCs w:val="20"/>
              </w:rPr>
              <w:t xml:space="preserve"> glucose solution caused effects </w:t>
            </w:r>
            <w:r w:rsidR="008F6736" w:rsidRPr="00DA4E2B">
              <w:rPr>
                <w:rFonts w:ascii="Calibri" w:hAnsi="Calibri" w:cs="Times New Roman"/>
                <w:sz w:val="20"/>
                <w:szCs w:val="20"/>
              </w:rPr>
              <w:t>like</w:t>
            </w:r>
            <w:r w:rsidRPr="00DA4E2B">
              <w:rPr>
                <w:rFonts w:ascii="Calibri" w:hAnsi="Calibri" w:cs="Times New Roman"/>
                <w:sz w:val="20"/>
                <w:szCs w:val="20"/>
              </w:rPr>
              <w:t xml:space="preserve"> administration of pyruvate. A reduction in injection rate appeared to diminish the effects on</w:t>
            </w:r>
          </w:p>
          <w:p w14:paraId="506188E9" w14:textId="77777777" w:rsidR="009F5F26" w:rsidRPr="009F5F26" w:rsidRDefault="009F5F26" w:rsidP="009F5F26">
            <w:pPr>
              <w:rPr>
                <w:rFonts w:ascii="Calibri" w:hAnsi="Calibri" w:cs="Times New Roman"/>
                <w:sz w:val="20"/>
                <w:szCs w:val="20"/>
              </w:rPr>
            </w:pPr>
            <w:r w:rsidRPr="009F5F26">
              <w:rPr>
                <w:rFonts w:ascii="Calibri" w:hAnsi="Calibri" w:cs="Times New Roman"/>
                <w:sz w:val="20"/>
                <w:szCs w:val="20"/>
              </w:rPr>
              <w:t>systemic arterial pressure and heart rate and to a lesser degree the effect on pulmonary arterial pressure.</w:t>
            </w:r>
          </w:p>
          <w:p w14:paraId="48CE3CAB" w14:textId="77777777" w:rsidR="009F5F26" w:rsidRPr="009F5F26" w:rsidRDefault="009F5F26" w:rsidP="009F5F26">
            <w:pPr>
              <w:rPr>
                <w:rFonts w:ascii="Calibri" w:hAnsi="Calibri" w:cs="Times New Roman"/>
                <w:sz w:val="20"/>
                <w:szCs w:val="20"/>
              </w:rPr>
            </w:pPr>
            <w:r w:rsidRPr="009F5F26">
              <w:rPr>
                <w:rFonts w:ascii="Calibri" w:hAnsi="Calibri" w:cs="Times New Roman"/>
                <w:sz w:val="20"/>
                <w:szCs w:val="20"/>
              </w:rPr>
              <w:t xml:space="preserve">Pyruvate was rapidly metabolized to lactate following intravenous injection, with high concentrations observed as early as 1 min post dosing. </w:t>
            </w:r>
            <w:proofErr w:type="spellStart"/>
            <w:r w:rsidRPr="009F5F26">
              <w:rPr>
                <w:rFonts w:ascii="Calibri" w:hAnsi="Calibri" w:cs="Times New Roman"/>
                <w:sz w:val="20"/>
                <w:szCs w:val="20"/>
              </w:rPr>
              <w:t>Tmax</w:t>
            </w:r>
            <w:proofErr w:type="spellEnd"/>
            <w:r w:rsidRPr="009F5F26">
              <w:rPr>
                <w:rFonts w:ascii="Calibri" w:hAnsi="Calibri" w:cs="Times New Roman"/>
                <w:sz w:val="20"/>
                <w:szCs w:val="20"/>
              </w:rPr>
              <w:t xml:space="preserve"> was in the range of 1 to 10 min. The pharmacokinetics of pyruvate and lactate were calculated using noncompartmental analysis. The blood concentrations of pyruvate and lactate were corrected for pre-dose levels before pharmacokinetic analysis. There was no statistically significant difference in </w:t>
            </w:r>
            <w:proofErr w:type="spellStart"/>
            <w:r w:rsidRPr="009F5F26">
              <w:rPr>
                <w:rFonts w:ascii="Calibri" w:hAnsi="Calibri" w:cs="Times New Roman"/>
                <w:sz w:val="20"/>
                <w:szCs w:val="20"/>
              </w:rPr>
              <w:t>Cmax</w:t>
            </w:r>
            <w:proofErr w:type="spellEnd"/>
            <w:r w:rsidRPr="009F5F26">
              <w:rPr>
                <w:rFonts w:ascii="Calibri" w:hAnsi="Calibri" w:cs="Times New Roman"/>
                <w:sz w:val="20"/>
                <w:szCs w:val="20"/>
              </w:rPr>
              <w:t xml:space="preserve"> or </w:t>
            </w:r>
            <w:proofErr w:type="spellStart"/>
            <w:r w:rsidRPr="009F5F26">
              <w:rPr>
                <w:rFonts w:ascii="Calibri" w:hAnsi="Calibri" w:cs="Times New Roman"/>
                <w:sz w:val="20"/>
                <w:szCs w:val="20"/>
              </w:rPr>
              <w:t>AUCtot</w:t>
            </w:r>
            <w:proofErr w:type="spellEnd"/>
            <w:r w:rsidRPr="009F5F26">
              <w:rPr>
                <w:rFonts w:ascii="Calibri" w:hAnsi="Calibri" w:cs="Times New Roman"/>
                <w:sz w:val="20"/>
                <w:szCs w:val="20"/>
              </w:rPr>
              <w:t xml:space="preserve"> between filtered and unfiltered test substance in any of the dose groups, suggesting that the presence of AH111501 in the test article did not influence the blood concentration of pyruvate. Pyruvate was eliminated from blood with an average elimination </w:t>
            </w:r>
            <w:r w:rsidR="007A63B7" w:rsidRPr="009F5F26">
              <w:rPr>
                <w:rFonts w:ascii="Calibri" w:hAnsi="Calibri" w:cs="Times New Roman"/>
                <w:sz w:val="20"/>
                <w:szCs w:val="20"/>
              </w:rPr>
              <w:t>half-life</w:t>
            </w:r>
            <w:r w:rsidRPr="009F5F26">
              <w:rPr>
                <w:rFonts w:ascii="Calibri" w:hAnsi="Calibri" w:cs="Times New Roman"/>
                <w:sz w:val="20"/>
                <w:szCs w:val="20"/>
              </w:rPr>
              <w:t xml:space="preserve"> of 18±11 min. Dose-normalized pyruvate data indicated that </w:t>
            </w:r>
            <w:proofErr w:type="spellStart"/>
            <w:r w:rsidRPr="009F5F26">
              <w:rPr>
                <w:rFonts w:ascii="Calibri" w:hAnsi="Calibri" w:cs="Times New Roman"/>
                <w:sz w:val="20"/>
                <w:szCs w:val="20"/>
              </w:rPr>
              <w:t>Cmax</w:t>
            </w:r>
            <w:proofErr w:type="spellEnd"/>
            <w:r w:rsidRPr="009F5F26">
              <w:rPr>
                <w:rFonts w:ascii="Calibri" w:hAnsi="Calibri" w:cs="Times New Roman"/>
                <w:sz w:val="20"/>
                <w:szCs w:val="20"/>
              </w:rPr>
              <w:t xml:space="preserve"> deviated negatively from proportionality in the 1.4 ml/kg </w:t>
            </w:r>
            <w:proofErr w:type="spellStart"/>
            <w:r w:rsidRPr="009F5F26">
              <w:rPr>
                <w:rFonts w:ascii="Calibri" w:hAnsi="Calibri" w:cs="Times New Roman"/>
                <w:sz w:val="20"/>
                <w:szCs w:val="20"/>
              </w:rPr>
              <w:t>bw</w:t>
            </w:r>
            <w:proofErr w:type="spellEnd"/>
            <w:r w:rsidRPr="009F5F26">
              <w:rPr>
                <w:rFonts w:ascii="Calibri" w:hAnsi="Calibri" w:cs="Times New Roman"/>
                <w:sz w:val="20"/>
                <w:szCs w:val="20"/>
              </w:rPr>
              <w:t xml:space="preserve"> dose group. </w:t>
            </w:r>
            <w:proofErr w:type="spellStart"/>
            <w:r w:rsidRPr="009F5F26">
              <w:rPr>
                <w:rFonts w:ascii="Calibri" w:hAnsi="Calibri" w:cs="Times New Roman"/>
                <w:sz w:val="20"/>
                <w:szCs w:val="20"/>
              </w:rPr>
              <w:t>AUCtot</w:t>
            </w:r>
            <w:proofErr w:type="spellEnd"/>
            <w:r w:rsidRPr="009F5F26">
              <w:rPr>
                <w:rFonts w:ascii="Calibri" w:hAnsi="Calibri" w:cs="Times New Roman"/>
                <w:sz w:val="20"/>
                <w:szCs w:val="20"/>
              </w:rPr>
              <w:t xml:space="preserve"> increased proportionally with dose. Dose-normalized lactate data indicated that </w:t>
            </w:r>
            <w:proofErr w:type="spellStart"/>
            <w:r w:rsidRPr="009F5F26">
              <w:rPr>
                <w:rFonts w:ascii="Calibri" w:hAnsi="Calibri" w:cs="Times New Roman"/>
                <w:sz w:val="20"/>
                <w:szCs w:val="20"/>
              </w:rPr>
              <w:t>Cmax</w:t>
            </w:r>
            <w:proofErr w:type="spellEnd"/>
            <w:r w:rsidRPr="009F5F26">
              <w:rPr>
                <w:rFonts w:ascii="Calibri" w:hAnsi="Calibri" w:cs="Times New Roman"/>
                <w:sz w:val="20"/>
                <w:szCs w:val="20"/>
              </w:rPr>
              <w:t xml:space="preserve"> and </w:t>
            </w:r>
            <w:proofErr w:type="spellStart"/>
            <w:r w:rsidRPr="009F5F26">
              <w:rPr>
                <w:rFonts w:ascii="Calibri" w:hAnsi="Calibri" w:cs="Times New Roman"/>
                <w:sz w:val="20"/>
                <w:szCs w:val="20"/>
              </w:rPr>
              <w:t>AUCtot</w:t>
            </w:r>
            <w:proofErr w:type="spellEnd"/>
            <w:r w:rsidRPr="009F5F26">
              <w:rPr>
                <w:rFonts w:ascii="Calibri" w:hAnsi="Calibri" w:cs="Times New Roman"/>
                <w:sz w:val="20"/>
                <w:szCs w:val="20"/>
              </w:rPr>
              <w:t xml:space="preserve"> deviated positively from proportionality in the 1.4 ml/kg </w:t>
            </w:r>
            <w:proofErr w:type="spellStart"/>
            <w:r w:rsidRPr="009F5F26">
              <w:rPr>
                <w:rFonts w:ascii="Calibri" w:hAnsi="Calibri" w:cs="Times New Roman"/>
                <w:sz w:val="20"/>
                <w:szCs w:val="20"/>
              </w:rPr>
              <w:t>bw</w:t>
            </w:r>
            <w:proofErr w:type="spellEnd"/>
            <w:r w:rsidRPr="009F5F26">
              <w:rPr>
                <w:rFonts w:ascii="Calibri" w:hAnsi="Calibri" w:cs="Times New Roman"/>
                <w:sz w:val="20"/>
                <w:szCs w:val="20"/>
              </w:rPr>
              <w:t xml:space="preserve"> dose group. Due to the individual variation in data, the biological significance of these findings is not known.</w:t>
            </w:r>
          </w:p>
        </w:tc>
      </w:tr>
      <w:tr w:rsidR="009F5F26" w:rsidRPr="009F5F26" w14:paraId="120841B9" w14:textId="77777777" w:rsidTr="00E55B59">
        <w:trPr>
          <w:cantSplit/>
        </w:trPr>
        <w:tc>
          <w:tcPr>
            <w:tcW w:w="1607" w:type="pct"/>
          </w:tcPr>
          <w:p w14:paraId="5E7A5E9D" w14:textId="77777777" w:rsidR="009F5F26" w:rsidRPr="009F5F26" w:rsidRDefault="009F5F26" w:rsidP="009F5F26">
            <w:pPr>
              <w:autoSpaceDE w:val="0"/>
              <w:autoSpaceDN w:val="0"/>
              <w:adjustRightInd w:val="0"/>
              <w:rPr>
                <w:rFonts w:ascii="Calibri" w:hAnsi="Calibri" w:cs="Times New Roman"/>
                <w:sz w:val="20"/>
                <w:szCs w:val="20"/>
              </w:rPr>
            </w:pPr>
            <w:r w:rsidRPr="009F5F26">
              <w:rPr>
                <w:rFonts w:ascii="Calibri" w:hAnsi="Calibri" w:cs="Times New Roman"/>
                <w:sz w:val="20"/>
                <w:szCs w:val="20"/>
              </w:rPr>
              <w:lastRenderedPageBreak/>
              <w:t>Mechanistic study of effects of 500 mM pyruvate on the cardiovascular system in anaesthetised male dogs.</w:t>
            </w:r>
          </w:p>
          <w:p w14:paraId="178CA5D3" w14:textId="77777777" w:rsidR="009F5F26" w:rsidRPr="009F5F26" w:rsidRDefault="009F5F26" w:rsidP="009F5F26">
            <w:pPr>
              <w:rPr>
                <w:rFonts w:ascii="Times New Roman" w:hAnsi="Times New Roman" w:cs="Times New Roman"/>
                <w:sz w:val="20"/>
                <w:szCs w:val="20"/>
              </w:rPr>
            </w:pPr>
          </w:p>
        </w:tc>
        <w:tc>
          <w:tcPr>
            <w:tcW w:w="470" w:type="pct"/>
          </w:tcPr>
          <w:p w14:paraId="09C23BA4" w14:textId="2D4D0CE1" w:rsidR="009F5F26" w:rsidRPr="009F5F26" w:rsidRDefault="009F5F26" w:rsidP="009F5F26">
            <w:pPr>
              <w:rPr>
                <w:rFonts w:ascii="Times New Roman" w:hAnsi="Times New Roman" w:cs="Times New Roman"/>
                <w:sz w:val="20"/>
                <w:szCs w:val="20"/>
              </w:rPr>
            </w:pPr>
            <w:r w:rsidRPr="009F5F26">
              <w:rPr>
                <w:rFonts w:ascii="Calibri" w:hAnsi="Calibri" w:cs="Times New Roman"/>
                <w:sz w:val="20"/>
                <w:szCs w:val="20"/>
              </w:rPr>
              <w:t>B101031</w:t>
            </w:r>
          </w:p>
        </w:tc>
        <w:tc>
          <w:tcPr>
            <w:tcW w:w="2924" w:type="pct"/>
          </w:tcPr>
          <w:p w14:paraId="7B76A797" w14:textId="31BAADAF" w:rsidR="009F5F26" w:rsidRPr="009F5F26" w:rsidRDefault="009F5F26" w:rsidP="009F5F26">
            <w:pPr>
              <w:rPr>
                <w:rFonts w:ascii="Calibri" w:hAnsi="Calibri" w:cs="Times New Roman"/>
                <w:sz w:val="20"/>
                <w:szCs w:val="20"/>
              </w:rPr>
            </w:pPr>
            <w:r w:rsidRPr="009F5F26">
              <w:rPr>
                <w:rFonts w:ascii="Calibri" w:hAnsi="Calibri" w:cs="Times New Roman"/>
                <w:sz w:val="20"/>
                <w:szCs w:val="20"/>
              </w:rPr>
              <w:t xml:space="preserve">A drop in arterial blood pressure was observed after pyruvate injections. Data from administration of hypertonic and isotonic test item indicate that the drop was caused by peripheral vasodilation and that the vasodilation was caused in part by the osmolarity of the test article and in part by a metabolite of pyruvate, probably lactic acid. Pyruvate caused no negative effect on the heart’s pumping activity. There was no direct effect of pyruvate on the pulmonary circulation, the observed increase in pulmonary arterial pressure was a reflex of an increased cardiac output. Pyruvate was accompanied by a bi-phasic response in cardiac workload, the maximum increase (40% for 2 ml/kg) was of the same magnitude as variations seen during everyday activities (meals, postural changes, walking). A small increase (2 mmHg) in pulmonary venous pressure was observed after 2.0 ml/kg </w:t>
            </w:r>
            <w:proofErr w:type="spellStart"/>
            <w:r w:rsidRPr="009F5F26">
              <w:rPr>
                <w:rFonts w:ascii="Calibri" w:hAnsi="Calibri" w:cs="Times New Roman"/>
                <w:sz w:val="20"/>
                <w:szCs w:val="20"/>
              </w:rPr>
              <w:t>bw</w:t>
            </w:r>
            <w:proofErr w:type="spellEnd"/>
            <w:r w:rsidRPr="009F5F26">
              <w:rPr>
                <w:rFonts w:ascii="Calibri" w:hAnsi="Calibri" w:cs="Times New Roman"/>
                <w:sz w:val="20"/>
                <w:szCs w:val="20"/>
              </w:rPr>
              <w:t xml:space="preserve"> pyruvate injections. This was too small to have any effects on pulmonary tissue fluid balance and will not induce lung edema.</w:t>
            </w:r>
          </w:p>
        </w:tc>
      </w:tr>
      <w:tr w:rsidR="009F5F26" w:rsidRPr="009F5F26" w14:paraId="11ACA73A" w14:textId="77777777" w:rsidTr="00E55B59">
        <w:trPr>
          <w:cantSplit/>
        </w:trPr>
        <w:tc>
          <w:tcPr>
            <w:tcW w:w="1607" w:type="pct"/>
          </w:tcPr>
          <w:p w14:paraId="61CDFF0B" w14:textId="77777777" w:rsidR="009F5F26" w:rsidRPr="009F5F26" w:rsidRDefault="009F5F26" w:rsidP="009F5F26">
            <w:pPr>
              <w:rPr>
                <w:rFonts w:ascii="Times New Roman" w:hAnsi="Times New Roman" w:cs="Times New Roman"/>
                <w:sz w:val="20"/>
                <w:szCs w:val="20"/>
              </w:rPr>
            </w:pPr>
            <w:r w:rsidRPr="009F5F26">
              <w:rPr>
                <w:rFonts w:ascii="Calibri" w:hAnsi="Calibri" w:cs="Times New Roman"/>
                <w:sz w:val="20"/>
                <w:szCs w:val="20"/>
              </w:rPr>
              <w:t>Effects of rapid intravenous administration of a mixture of natural abundant pyruvic acid and 15 mM AH111501 dissolved in TRIS/EDTA dissolution medium on the cardiovascular function in the telemetered dog.</w:t>
            </w:r>
          </w:p>
        </w:tc>
        <w:tc>
          <w:tcPr>
            <w:tcW w:w="470" w:type="pct"/>
          </w:tcPr>
          <w:p w14:paraId="36BE229C" w14:textId="2FC8285F" w:rsidR="009F5F26" w:rsidRPr="009F5F26" w:rsidRDefault="009F5F26" w:rsidP="009F5F26">
            <w:pPr>
              <w:rPr>
                <w:rFonts w:ascii="Times New Roman" w:hAnsi="Times New Roman" w:cs="Times New Roman"/>
                <w:sz w:val="20"/>
                <w:szCs w:val="20"/>
              </w:rPr>
            </w:pPr>
            <w:proofErr w:type="spellStart"/>
            <w:r w:rsidRPr="009F5F26">
              <w:rPr>
                <w:rFonts w:ascii="Calibri" w:hAnsi="Calibri" w:cs="Times New Roman"/>
                <w:sz w:val="20"/>
                <w:szCs w:val="20"/>
              </w:rPr>
              <w:t>Porsolt</w:t>
            </w:r>
            <w:proofErr w:type="spellEnd"/>
            <w:r w:rsidRPr="009F5F26">
              <w:rPr>
                <w:rFonts w:ascii="Calibri" w:hAnsi="Calibri" w:cs="Times New Roman"/>
                <w:sz w:val="20"/>
                <w:szCs w:val="20"/>
              </w:rPr>
              <w:t xml:space="preserve"> 06.075/5 (B101036)</w:t>
            </w:r>
          </w:p>
        </w:tc>
        <w:tc>
          <w:tcPr>
            <w:tcW w:w="2924" w:type="pct"/>
          </w:tcPr>
          <w:p w14:paraId="37429DCE" w14:textId="77777777" w:rsidR="009F5F26" w:rsidRPr="009F5F26" w:rsidRDefault="009F5F26" w:rsidP="009F5F26">
            <w:pPr>
              <w:rPr>
                <w:rFonts w:ascii="Calibri" w:hAnsi="Calibri" w:cs="Times New Roman"/>
                <w:sz w:val="20"/>
                <w:szCs w:val="20"/>
              </w:rPr>
            </w:pPr>
            <w:r w:rsidRPr="009F5F26">
              <w:rPr>
                <w:rFonts w:ascii="Calibri" w:hAnsi="Calibri" w:cs="Times New Roman"/>
                <w:sz w:val="20"/>
                <w:szCs w:val="20"/>
              </w:rPr>
              <w:t>Administration of test item and filtered test item caused similar effects. In doses of 4.3 and 5.7 ml/kg the test articles caused a non-significant, transient and slight increase in arterial blood pressure. At 5.7 ml/kg, the increase was preceded by a non-significant, weak and transient reduction in arterial blood pressure immediately after administration. Heart rate was increased compared to baseline by the test articles when administered in doses of 4.3 and 5.7 ml/kg</w:t>
            </w:r>
            <w:r w:rsidR="008F6736">
              <w:rPr>
                <w:rFonts w:ascii="Calibri" w:hAnsi="Calibri" w:cs="Times New Roman"/>
                <w:sz w:val="20"/>
                <w:szCs w:val="20"/>
              </w:rPr>
              <w:t>.</w:t>
            </w:r>
            <w:r w:rsidRPr="009F5F26">
              <w:rPr>
                <w:rFonts w:ascii="Calibri" w:hAnsi="Calibri" w:cs="Times New Roman"/>
                <w:sz w:val="20"/>
                <w:szCs w:val="20"/>
              </w:rPr>
              <w:t xml:space="preserve"> The increases for 5.7 ml/kg of test item and 4.3 ml/kg of filtered test article were also significant when compared to saline. No substantial effect on the PR- or QT-intervals was observed after administration of the pyruvate test articles. The test articles did not significantly modify the QTc interval (Fridericia’s and van de Water’s formulae) as compared with physiological saline. When compared with baseline, a significant lengthening was observed (Fridericia’s) at 4.3 and 5.7 ml/kg and for the test article and at 4.3 ml/kg for the filtered test article. This lengthening was mainly ascribed to the delay in the QT-interval adaptation to the sudden variation of heart rate.</w:t>
            </w:r>
          </w:p>
        </w:tc>
      </w:tr>
      <w:tr w:rsidR="009F5F26" w:rsidRPr="009F5F26" w14:paraId="30A20EAF" w14:textId="77777777" w:rsidTr="00E55B59">
        <w:trPr>
          <w:cantSplit/>
        </w:trPr>
        <w:tc>
          <w:tcPr>
            <w:tcW w:w="1607" w:type="pct"/>
          </w:tcPr>
          <w:p w14:paraId="2798292C" w14:textId="77777777" w:rsidR="009F5F26" w:rsidRPr="009F5F26" w:rsidRDefault="009F5F26" w:rsidP="00E55B59">
            <w:pPr>
              <w:keepNext/>
              <w:rPr>
                <w:rFonts w:ascii="Times New Roman" w:hAnsi="Times New Roman" w:cs="Times New Roman"/>
                <w:sz w:val="20"/>
                <w:szCs w:val="20"/>
              </w:rPr>
            </w:pPr>
            <w:r w:rsidRPr="009F5F26">
              <w:rPr>
                <w:rFonts w:ascii="Calibri" w:hAnsi="Calibri" w:cs="Times New Roman"/>
                <w:sz w:val="20"/>
                <w:szCs w:val="20"/>
              </w:rPr>
              <w:lastRenderedPageBreak/>
              <w:t>Safety pharmacology study of hemodynamic effects of a mixture of natural abundant pyruvic acid and 15 mM AH111501 dissolved in TRIS/EDTA dissolution medium after intravenous administration in the anesthetized dog.</w:t>
            </w:r>
          </w:p>
        </w:tc>
        <w:tc>
          <w:tcPr>
            <w:tcW w:w="470" w:type="pct"/>
          </w:tcPr>
          <w:p w14:paraId="1370534E" w14:textId="1F5D0869" w:rsidR="009F5F26" w:rsidRPr="009F5F26" w:rsidRDefault="009F5F26" w:rsidP="009F5F26">
            <w:pPr>
              <w:rPr>
                <w:rFonts w:ascii="Times New Roman" w:hAnsi="Times New Roman" w:cs="Times New Roman"/>
                <w:sz w:val="20"/>
                <w:szCs w:val="20"/>
              </w:rPr>
            </w:pPr>
            <w:proofErr w:type="spellStart"/>
            <w:r w:rsidRPr="009F5F26">
              <w:rPr>
                <w:rFonts w:ascii="Calibri" w:hAnsi="Calibri" w:cs="Times New Roman"/>
                <w:sz w:val="20"/>
                <w:szCs w:val="20"/>
              </w:rPr>
              <w:t>Porsolt</w:t>
            </w:r>
            <w:proofErr w:type="spellEnd"/>
            <w:r w:rsidRPr="009F5F26">
              <w:rPr>
                <w:rFonts w:ascii="Calibri" w:hAnsi="Calibri" w:cs="Times New Roman"/>
                <w:sz w:val="20"/>
                <w:szCs w:val="20"/>
              </w:rPr>
              <w:t xml:space="preserve"> 06.076/6 (B101037)</w:t>
            </w:r>
          </w:p>
        </w:tc>
        <w:tc>
          <w:tcPr>
            <w:tcW w:w="2924" w:type="pct"/>
          </w:tcPr>
          <w:p w14:paraId="57389467" w14:textId="77777777" w:rsidR="009F5F26" w:rsidRPr="009F5F26" w:rsidRDefault="009F5F26" w:rsidP="009F5F26">
            <w:pPr>
              <w:rPr>
                <w:rFonts w:ascii="Calibri" w:hAnsi="Calibri" w:cs="Times New Roman"/>
                <w:sz w:val="20"/>
                <w:szCs w:val="20"/>
              </w:rPr>
            </w:pPr>
            <w:r w:rsidRPr="009F5F26">
              <w:rPr>
                <w:rFonts w:ascii="Calibri" w:hAnsi="Calibri" w:cs="Times New Roman"/>
                <w:sz w:val="20"/>
                <w:szCs w:val="20"/>
              </w:rPr>
              <w:t xml:space="preserve">Pyruvate caused an acute dose dependent peripheral vasodilation triggering a reduction in systemic arterial blood pressure, reflex tachycardia and an increase in cardiac output. </w:t>
            </w:r>
            <w:proofErr w:type="spellStart"/>
            <w:r w:rsidRPr="009F5F26">
              <w:rPr>
                <w:rFonts w:ascii="Calibri" w:hAnsi="Calibri" w:cs="Times New Roman"/>
                <w:sz w:val="20"/>
                <w:szCs w:val="20"/>
              </w:rPr>
              <w:t>dP</w:t>
            </w:r>
            <w:proofErr w:type="spellEnd"/>
            <w:r w:rsidRPr="009F5F26">
              <w:rPr>
                <w:rFonts w:ascii="Calibri" w:hAnsi="Calibri" w:cs="Times New Roman"/>
                <w:sz w:val="20"/>
                <w:szCs w:val="20"/>
              </w:rPr>
              <w:t>/</w:t>
            </w:r>
            <w:proofErr w:type="spellStart"/>
            <w:r w:rsidRPr="009F5F26">
              <w:rPr>
                <w:rFonts w:ascii="Calibri" w:hAnsi="Calibri" w:cs="Times New Roman"/>
                <w:sz w:val="20"/>
                <w:szCs w:val="20"/>
              </w:rPr>
              <w:t>dt</w:t>
            </w:r>
            <w:r w:rsidRPr="009F5F26">
              <w:rPr>
                <w:rFonts w:ascii="Calibri" w:hAnsi="Calibri" w:cs="Times New Roman"/>
                <w:sz w:val="20"/>
                <w:szCs w:val="20"/>
                <w:vertAlign w:val="subscript"/>
              </w:rPr>
              <w:t>max</w:t>
            </w:r>
            <w:proofErr w:type="spellEnd"/>
            <w:r w:rsidRPr="009F5F26">
              <w:rPr>
                <w:rFonts w:ascii="Calibri" w:hAnsi="Calibri" w:cs="Times New Roman"/>
                <w:sz w:val="20"/>
                <w:szCs w:val="20"/>
              </w:rPr>
              <w:t xml:space="preserve"> was decreased at the same time as the arterial blood pressure was reduced. Left cardiac work was unchanged for about the first minute after dosing with test item but increased acutely after injection of filtered test item. Left-ventricular end diastolic pressure and pulmonary artery blood pressure increased. After the acute phase, systemic arterial blood pressure, </w:t>
            </w:r>
            <w:proofErr w:type="spellStart"/>
            <w:r w:rsidRPr="009F5F26">
              <w:rPr>
                <w:rFonts w:ascii="Calibri" w:hAnsi="Calibri" w:cs="Times New Roman"/>
                <w:sz w:val="20"/>
                <w:szCs w:val="20"/>
              </w:rPr>
              <w:t>dP</w:t>
            </w:r>
            <w:proofErr w:type="spellEnd"/>
            <w:r w:rsidRPr="009F5F26">
              <w:rPr>
                <w:rFonts w:ascii="Calibri" w:hAnsi="Calibri" w:cs="Times New Roman"/>
                <w:sz w:val="20"/>
                <w:szCs w:val="20"/>
              </w:rPr>
              <w:t>/</w:t>
            </w:r>
            <w:proofErr w:type="spellStart"/>
            <w:r w:rsidRPr="009F5F26">
              <w:rPr>
                <w:rFonts w:ascii="Calibri" w:hAnsi="Calibri" w:cs="Times New Roman"/>
                <w:sz w:val="20"/>
                <w:szCs w:val="20"/>
              </w:rPr>
              <w:t>dt</w:t>
            </w:r>
            <w:r w:rsidRPr="009F5F26">
              <w:rPr>
                <w:rFonts w:ascii="Calibri" w:hAnsi="Calibri" w:cs="Times New Roman"/>
                <w:sz w:val="20"/>
                <w:szCs w:val="20"/>
                <w:vertAlign w:val="subscript"/>
              </w:rPr>
              <w:t>max</w:t>
            </w:r>
            <w:proofErr w:type="spellEnd"/>
            <w:r w:rsidRPr="009F5F26">
              <w:rPr>
                <w:rFonts w:ascii="Calibri" w:hAnsi="Calibri" w:cs="Times New Roman"/>
                <w:sz w:val="20"/>
                <w:szCs w:val="20"/>
              </w:rPr>
              <w:t>, left cardiac work and stroke volume was increased. The maintained increase in cardiac output was due to the increase in myocardial contractility together with remaining tachycardia. Cerebral blood flow increased moderately. The PR interval was transiently shortened, at the same time as heart rate peaked. The QTc (van de Water’s formula) interval was transiently lengthened after administration.</w:t>
            </w:r>
          </w:p>
        </w:tc>
      </w:tr>
      <w:tr w:rsidR="009F5F26" w:rsidRPr="009F5F26" w14:paraId="344036B4" w14:textId="77777777" w:rsidTr="00E55B59">
        <w:trPr>
          <w:cantSplit/>
        </w:trPr>
        <w:tc>
          <w:tcPr>
            <w:tcW w:w="1607" w:type="pct"/>
          </w:tcPr>
          <w:p w14:paraId="541A0C31" w14:textId="77777777" w:rsidR="009F5F26" w:rsidRPr="009F5F26" w:rsidRDefault="009F5F26" w:rsidP="009F5F26">
            <w:pPr>
              <w:autoSpaceDE w:val="0"/>
              <w:autoSpaceDN w:val="0"/>
              <w:adjustRightInd w:val="0"/>
              <w:rPr>
                <w:rFonts w:ascii="Calibri" w:hAnsi="Calibri" w:cs="Times New Roman"/>
                <w:sz w:val="20"/>
                <w:szCs w:val="20"/>
              </w:rPr>
            </w:pPr>
            <w:r w:rsidRPr="009F5F26">
              <w:rPr>
                <w:rFonts w:ascii="Calibri" w:hAnsi="Calibri" w:cs="Times New Roman"/>
                <w:sz w:val="20"/>
                <w:szCs w:val="20"/>
              </w:rPr>
              <w:t>Evaluation of a mixture of natural</w:t>
            </w:r>
          </w:p>
          <w:p w14:paraId="06528B9F" w14:textId="77777777" w:rsidR="009F5F26" w:rsidRPr="009F5F26" w:rsidRDefault="009F5F26" w:rsidP="009F5F26">
            <w:pPr>
              <w:autoSpaceDE w:val="0"/>
              <w:autoSpaceDN w:val="0"/>
              <w:adjustRightInd w:val="0"/>
              <w:rPr>
                <w:rFonts w:ascii="Calibri" w:hAnsi="Calibri" w:cs="Times New Roman"/>
                <w:sz w:val="20"/>
                <w:szCs w:val="20"/>
              </w:rPr>
            </w:pPr>
            <w:r w:rsidRPr="009F5F26">
              <w:rPr>
                <w:rFonts w:ascii="Calibri" w:hAnsi="Calibri" w:cs="Times New Roman"/>
                <w:sz w:val="20"/>
                <w:szCs w:val="20"/>
              </w:rPr>
              <w:t>abundance pyruvic acid and AH111501 dissolved in TRIS/EDTA dissolution medium on EEG and behaviour in the conscious dog.</w:t>
            </w:r>
          </w:p>
          <w:p w14:paraId="27C301BE" w14:textId="77777777" w:rsidR="009F5F26" w:rsidRPr="009F5F26" w:rsidRDefault="009F5F26" w:rsidP="009F5F26">
            <w:pPr>
              <w:tabs>
                <w:tab w:val="left" w:pos="1050"/>
              </w:tabs>
              <w:rPr>
                <w:rFonts w:ascii="Times New Roman" w:hAnsi="Times New Roman" w:cs="Times New Roman"/>
                <w:sz w:val="20"/>
                <w:szCs w:val="20"/>
              </w:rPr>
            </w:pPr>
          </w:p>
        </w:tc>
        <w:tc>
          <w:tcPr>
            <w:tcW w:w="470" w:type="pct"/>
          </w:tcPr>
          <w:p w14:paraId="7F26AB97" w14:textId="23DB1304" w:rsidR="009F5F26" w:rsidRPr="009F5F26" w:rsidRDefault="009F5F26" w:rsidP="009F5F26">
            <w:pPr>
              <w:rPr>
                <w:rFonts w:ascii="Times New Roman" w:hAnsi="Times New Roman" w:cs="Times New Roman"/>
                <w:sz w:val="20"/>
                <w:szCs w:val="20"/>
              </w:rPr>
            </w:pPr>
            <w:proofErr w:type="spellStart"/>
            <w:r w:rsidRPr="009F5F26">
              <w:rPr>
                <w:rFonts w:ascii="Calibri" w:hAnsi="Calibri" w:cs="Times New Roman"/>
                <w:sz w:val="20"/>
                <w:szCs w:val="20"/>
              </w:rPr>
              <w:t>Porsolt</w:t>
            </w:r>
            <w:proofErr w:type="spellEnd"/>
            <w:r w:rsidRPr="009F5F26">
              <w:rPr>
                <w:rFonts w:ascii="Calibri" w:hAnsi="Calibri" w:cs="Times New Roman"/>
                <w:sz w:val="20"/>
                <w:szCs w:val="20"/>
              </w:rPr>
              <w:t xml:space="preserve"> 06.210/5 (B101039)</w:t>
            </w:r>
          </w:p>
        </w:tc>
        <w:tc>
          <w:tcPr>
            <w:tcW w:w="2924" w:type="pct"/>
          </w:tcPr>
          <w:p w14:paraId="0991AA55" w14:textId="77777777" w:rsidR="009F5F26" w:rsidRPr="009F5F26" w:rsidRDefault="009F5F26" w:rsidP="009F5F26">
            <w:pPr>
              <w:autoSpaceDE w:val="0"/>
              <w:autoSpaceDN w:val="0"/>
              <w:adjustRightInd w:val="0"/>
              <w:rPr>
                <w:rFonts w:ascii="Calibri" w:hAnsi="Calibri" w:cs="Times New Roman"/>
                <w:sz w:val="20"/>
                <w:szCs w:val="20"/>
              </w:rPr>
            </w:pPr>
            <w:r w:rsidRPr="009F5F26">
              <w:rPr>
                <w:rFonts w:ascii="Calibri" w:hAnsi="Calibri" w:cs="Times New Roman"/>
                <w:sz w:val="20"/>
                <w:szCs w:val="20"/>
              </w:rPr>
              <w:t>Rapid bolus injections of the test item did not provoke pathological clinical symptoms or pathological EEG activity. The occasional symptoms observed were of a non-specific nature, transient or appeared before and after substance administrations and could not be attributed to either the substance or the composition of the vehicle. Convulsions and other pathologic signs were not observed following administration of test item in any of the 3 dogs tested. However, convulsions were observed following infusion of positive control in all 3 dogs confirming the sensitivity of the model.</w:t>
            </w:r>
          </w:p>
        </w:tc>
      </w:tr>
      <w:tr w:rsidR="009F5F26" w:rsidRPr="009F5F26" w14:paraId="1DCA8FD4" w14:textId="77777777" w:rsidTr="00E55B59">
        <w:trPr>
          <w:cantSplit/>
        </w:trPr>
        <w:tc>
          <w:tcPr>
            <w:tcW w:w="1607" w:type="pct"/>
          </w:tcPr>
          <w:p w14:paraId="1E7F573B" w14:textId="77777777" w:rsidR="009F5F26" w:rsidRPr="009F5F26" w:rsidRDefault="009F5F26" w:rsidP="009F5F26">
            <w:pPr>
              <w:autoSpaceDE w:val="0"/>
              <w:autoSpaceDN w:val="0"/>
              <w:adjustRightInd w:val="0"/>
              <w:rPr>
                <w:rFonts w:ascii="Calibri" w:hAnsi="Calibri" w:cs="Times New Roman"/>
                <w:sz w:val="20"/>
                <w:szCs w:val="20"/>
              </w:rPr>
            </w:pPr>
            <w:r w:rsidRPr="009F5F26">
              <w:rPr>
                <w:rFonts w:ascii="Calibri" w:hAnsi="Calibri" w:cs="Times New Roman"/>
                <w:sz w:val="20"/>
                <w:szCs w:val="20"/>
              </w:rPr>
              <w:t xml:space="preserve">Safety pharmacology study of hemodynamic effects after intravenous administration in the anesthetized dog of a mixture of natural abundant pyruvic acid and 15 mM AH111501 dissolved in TRIS/EDTA dissolution medium with AH111501 subsequently removed by solid phase extraction </w:t>
            </w:r>
          </w:p>
          <w:p w14:paraId="164242FC" w14:textId="77777777" w:rsidR="009F5F26" w:rsidRPr="009F5F26" w:rsidRDefault="009F5F26" w:rsidP="009F5F26">
            <w:pPr>
              <w:rPr>
                <w:rFonts w:ascii="Times New Roman" w:hAnsi="Times New Roman" w:cs="Times New Roman"/>
                <w:sz w:val="20"/>
                <w:szCs w:val="20"/>
              </w:rPr>
            </w:pPr>
          </w:p>
        </w:tc>
        <w:tc>
          <w:tcPr>
            <w:tcW w:w="470" w:type="pct"/>
          </w:tcPr>
          <w:p w14:paraId="07107B24" w14:textId="5CF3B946" w:rsidR="009F5F26" w:rsidRPr="009F5F26" w:rsidRDefault="009F5F26" w:rsidP="009F5F26">
            <w:pPr>
              <w:rPr>
                <w:rFonts w:ascii="Times New Roman" w:hAnsi="Times New Roman" w:cs="Times New Roman"/>
                <w:sz w:val="20"/>
                <w:szCs w:val="20"/>
              </w:rPr>
            </w:pPr>
            <w:proofErr w:type="spellStart"/>
            <w:r w:rsidRPr="009F5F26">
              <w:rPr>
                <w:rFonts w:ascii="Calibri" w:hAnsi="Calibri" w:cs="Times New Roman"/>
                <w:sz w:val="20"/>
                <w:szCs w:val="20"/>
              </w:rPr>
              <w:t>Porsolt</w:t>
            </w:r>
            <w:proofErr w:type="spellEnd"/>
            <w:r w:rsidRPr="009F5F26">
              <w:rPr>
                <w:rFonts w:ascii="Calibri" w:hAnsi="Calibri" w:cs="Times New Roman"/>
                <w:sz w:val="20"/>
                <w:szCs w:val="20"/>
              </w:rPr>
              <w:t xml:space="preserve"> 06.434/4 (B101049)</w:t>
            </w:r>
          </w:p>
        </w:tc>
        <w:tc>
          <w:tcPr>
            <w:tcW w:w="2924" w:type="pct"/>
          </w:tcPr>
          <w:p w14:paraId="1E50D365" w14:textId="77A9AA25" w:rsidR="009F5F26" w:rsidRPr="009F5F26" w:rsidRDefault="009F5F26" w:rsidP="009F5F26">
            <w:pPr>
              <w:rPr>
                <w:rFonts w:ascii="Calibri" w:hAnsi="Calibri" w:cs="Times New Roman"/>
                <w:sz w:val="20"/>
                <w:szCs w:val="20"/>
              </w:rPr>
            </w:pPr>
            <w:r w:rsidRPr="009F5F26">
              <w:rPr>
                <w:rFonts w:ascii="Calibri" w:hAnsi="Calibri" w:cs="Times New Roman"/>
                <w:sz w:val="20"/>
                <w:szCs w:val="20"/>
              </w:rPr>
              <w:t xml:space="preserve">As seen in study 06.076/6, rapid bolus injections of the pyruvate test article caused an acute dose dependent peripheral vasodilation, triggering dose dependent acute decreases in systemic arterial blood pressure and compensatory increases in heart rate. An acute onset and prolonged increase in cardiac output was observed. Left cardiac work increased immediately after administration. The initial increase (at 30 s) for this parameter was </w:t>
            </w:r>
            <w:r w:rsidR="00AA3A6A" w:rsidRPr="009F5F26">
              <w:rPr>
                <w:rFonts w:ascii="Calibri" w:hAnsi="Calibri" w:cs="Times New Roman"/>
                <w:sz w:val="20"/>
                <w:szCs w:val="20"/>
              </w:rPr>
              <w:t>like</w:t>
            </w:r>
            <w:r w:rsidRPr="009F5F26">
              <w:rPr>
                <w:rFonts w:ascii="Calibri" w:hAnsi="Calibri" w:cs="Times New Roman"/>
                <w:sz w:val="20"/>
                <w:szCs w:val="20"/>
              </w:rPr>
              <w:t xml:space="preserve"> the increase observed for the respective saline controls. When considering the measured effects as change from baseline, peak effects compared to the appropriate saline control and AUC for the duration of the peak (where available) compared to the appropriate saline control the effect level for this study was 2.1 ml/kg </w:t>
            </w:r>
            <w:proofErr w:type="spellStart"/>
            <w:r w:rsidRPr="009F5F26">
              <w:rPr>
                <w:rFonts w:ascii="Calibri" w:hAnsi="Calibri" w:cs="Times New Roman"/>
                <w:sz w:val="20"/>
                <w:szCs w:val="20"/>
              </w:rPr>
              <w:t>bw</w:t>
            </w:r>
            <w:proofErr w:type="spellEnd"/>
            <w:r w:rsidRPr="009F5F26">
              <w:rPr>
                <w:rFonts w:ascii="Calibri" w:hAnsi="Calibri" w:cs="Times New Roman"/>
                <w:sz w:val="20"/>
                <w:szCs w:val="20"/>
              </w:rPr>
              <w:t xml:space="preserve">. The dose of 1.4 ml/kg </w:t>
            </w:r>
            <w:proofErr w:type="spellStart"/>
            <w:r w:rsidRPr="009F5F26">
              <w:rPr>
                <w:rFonts w:ascii="Calibri" w:hAnsi="Calibri" w:cs="Times New Roman"/>
                <w:sz w:val="20"/>
                <w:szCs w:val="20"/>
              </w:rPr>
              <w:t>bw</w:t>
            </w:r>
            <w:proofErr w:type="spellEnd"/>
            <w:r w:rsidRPr="009F5F26">
              <w:rPr>
                <w:rFonts w:ascii="Calibri" w:hAnsi="Calibri" w:cs="Times New Roman"/>
                <w:sz w:val="20"/>
                <w:szCs w:val="20"/>
              </w:rPr>
              <w:t xml:space="preserve"> caused only minor, though statistically significant, peak effects in systemic arterial blood pressure, left-ventricular end-diastolic pressure </w:t>
            </w:r>
            <w:proofErr w:type="spellStart"/>
            <w:r w:rsidRPr="009F5F26">
              <w:rPr>
                <w:rFonts w:ascii="Calibri" w:hAnsi="Calibri" w:cs="Times New Roman"/>
                <w:sz w:val="20"/>
                <w:szCs w:val="20"/>
              </w:rPr>
              <w:t>dP</w:t>
            </w:r>
            <w:proofErr w:type="spellEnd"/>
            <w:r w:rsidRPr="009F5F26">
              <w:rPr>
                <w:rFonts w:ascii="Calibri" w:hAnsi="Calibri" w:cs="Times New Roman"/>
                <w:sz w:val="20"/>
                <w:szCs w:val="20"/>
              </w:rPr>
              <w:t>/</w:t>
            </w:r>
            <w:proofErr w:type="spellStart"/>
            <w:r w:rsidRPr="009F5F26">
              <w:rPr>
                <w:rFonts w:ascii="Calibri" w:hAnsi="Calibri" w:cs="Times New Roman"/>
                <w:sz w:val="20"/>
                <w:szCs w:val="20"/>
              </w:rPr>
              <w:t>dt</w:t>
            </w:r>
            <w:r w:rsidRPr="009F5F26">
              <w:rPr>
                <w:rFonts w:ascii="Calibri" w:hAnsi="Calibri" w:cs="Times New Roman"/>
                <w:sz w:val="20"/>
                <w:szCs w:val="20"/>
                <w:vertAlign w:val="subscript"/>
              </w:rPr>
              <w:t>max</w:t>
            </w:r>
            <w:proofErr w:type="spellEnd"/>
            <w:r w:rsidRPr="009F5F26">
              <w:rPr>
                <w:rFonts w:ascii="Calibri" w:hAnsi="Calibri" w:cs="Times New Roman"/>
                <w:sz w:val="20"/>
                <w:szCs w:val="20"/>
              </w:rPr>
              <w:t xml:space="preserve">, heart rate and </w:t>
            </w:r>
            <w:proofErr w:type="spellStart"/>
            <w:r w:rsidRPr="009F5F26">
              <w:rPr>
                <w:rFonts w:ascii="Calibri" w:hAnsi="Calibri" w:cs="Times New Roman"/>
                <w:sz w:val="20"/>
                <w:szCs w:val="20"/>
              </w:rPr>
              <w:t>QTcV</w:t>
            </w:r>
            <w:proofErr w:type="spellEnd"/>
            <w:r w:rsidRPr="009F5F26">
              <w:rPr>
                <w:rFonts w:ascii="Calibri" w:hAnsi="Calibri" w:cs="Times New Roman"/>
                <w:sz w:val="20"/>
                <w:szCs w:val="20"/>
              </w:rPr>
              <w:t xml:space="preserve"> when compared to the saline volume control. The effects </w:t>
            </w:r>
            <w:proofErr w:type="gramStart"/>
            <w:r w:rsidRPr="009F5F26">
              <w:rPr>
                <w:rFonts w:ascii="Calibri" w:hAnsi="Calibri" w:cs="Times New Roman"/>
                <w:sz w:val="20"/>
                <w:szCs w:val="20"/>
              </w:rPr>
              <w:t>were considered to be</w:t>
            </w:r>
            <w:proofErr w:type="gramEnd"/>
            <w:r w:rsidRPr="009F5F26">
              <w:rPr>
                <w:rFonts w:ascii="Calibri" w:hAnsi="Calibri" w:cs="Times New Roman"/>
                <w:sz w:val="20"/>
                <w:szCs w:val="20"/>
              </w:rPr>
              <w:t xml:space="preserve"> within normal physiological variation and the dose was considered to be No-Observed-Adverse-Effect–Level</w:t>
            </w:r>
            <w:r w:rsidR="00C90437">
              <w:rPr>
                <w:rFonts w:ascii="Calibri" w:hAnsi="Calibri" w:cs="Times New Roman"/>
                <w:sz w:val="20"/>
                <w:szCs w:val="20"/>
              </w:rPr>
              <w:t xml:space="preserve"> (</w:t>
            </w:r>
            <w:r w:rsidR="00B76B8D">
              <w:rPr>
                <w:rFonts w:ascii="Calibri" w:hAnsi="Calibri" w:cs="Times New Roman"/>
                <w:sz w:val="20"/>
                <w:szCs w:val="20"/>
              </w:rPr>
              <w:t>NOAEL</w:t>
            </w:r>
            <w:r w:rsidR="00C90437">
              <w:rPr>
                <w:rFonts w:ascii="Calibri" w:hAnsi="Calibri" w:cs="Times New Roman"/>
                <w:sz w:val="20"/>
                <w:szCs w:val="20"/>
              </w:rPr>
              <w:t>)</w:t>
            </w:r>
            <w:r w:rsidRPr="009F5F26">
              <w:rPr>
                <w:rFonts w:ascii="Calibri" w:hAnsi="Calibri" w:cs="Times New Roman"/>
                <w:sz w:val="20"/>
                <w:szCs w:val="20"/>
              </w:rPr>
              <w:t xml:space="preserve"> for the study.</w:t>
            </w:r>
          </w:p>
        </w:tc>
      </w:tr>
      <w:tr w:rsidR="009F5F26" w:rsidRPr="009F5F26" w14:paraId="34CB9169" w14:textId="77777777" w:rsidTr="00E55B59">
        <w:trPr>
          <w:cantSplit/>
        </w:trPr>
        <w:tc>
          <w:tcPr>
            <w:tcW w:w="5000" w:type="pct"/>
            <w:gridSpan w:val="3"/>
          </w:tcPr>
          <w:p w14:paraId="7EFC6C16" w14:textId="77777777" w:rsidR="009F5F26" w:rsidRPr="009F5F26" w:rsidRDefault="009F5F26" w:rsidP="00E55B59">
            <w:pPr>
              <w:keepNext/>
              <w:autoSpaceDE w:val="0"/>
              <w:autoSpaceDN w:val="0"/>
              <w:adjustRightInd w:val="0"/>
              <w:rPr>
                <w:rFonts w:ascii="Calibri" w:hAnsi="Calibri" w:cs="Times New Roman"/>
                <w:b/>
                <w:sz w:val="20"/>
                <w:szCs w:val="20"/>
              </w:rPr>
            </w:pPr>
            <w:r w:rsidRPr="009F5F26">
              <w:rPr>
                <w:rFonts w:ascii="Calibri" w:hAnsi="Calibri" w:cs="Times New Roman"/>
                <w:b/>
                <w:sz w:val="20"/>
                <w:szCs w:val="20"/>
              </w:rPr>
              <w:lastRenderedPageBreak/>
              <w:t>Pharmacokinetic Studies</w:t>
            </w:r>
          </w:p>
        </w:tc>
      </w:tr>
      <w:tr w:rsidR="009F5F26" w:rsidRPr="009F5F26" w14:paraId="1F54BC18" w14:textId="77777777" w:rsidTr="00E55B59">
        <w:trPr>
          <w:cantSplit/>
        </w:trPr>
        <w:tc>
          <w:tcPr>
            <w:tcW w:w="1607" w:type="pct"/>
          </w:tcPr>
          <w:p w14:paraId="00964815" w14:textId="77777777" w:rsidR="009F5F26" w:rsidRPr="009F5F26" w:rsidRDefault="009F5F26" w:rsidP="00E55B59">
            <w:pPr>
              <w:keepNext/>
              <w:rPr>
                <w:rFonts w:ascii="Times New Roman" w:hAnsi="Times New Roman" w:cs="Times New Roman"/>
                <w:sz w:val="20"/>
                <w:szCs w:val="20"/>
              </w:rPr>
            </w:pPr>
            <w:r w:rsidRPr="009F5F26">
              <w:rPr>
                <w:rFonts w:ascii="Calibri" w:hAnsi="Calibri" w:cs="Times New Roman"/>
                <w:sz w:val="20"/>
                <w:szCs w:val="20"/>
              </w:rPr>
              <w:t>Study of Distribution and Excretion of [1-14</w:t>
            </w:r>
            <w:proofErr w:type="gramStart"/>
            <w:r w:rsidRPr="009F5F26">
              <w:rPr>
                <w:rFonts w:ascii="Calibri" w:hAnsi="Calibri" w:cs="Times New Roman"/>
                <w:sz w:val="20"/>
                <w:szCs w:val="20"/>
              </w:rPr>
              <w:t>C]Pyruvate</w:t>
            </w:r>
            <w:proofErr w:type="gramEnd"/>
            <w:r w:rsidRPr="009F5F26">
              <w:rPr>
                <w:rFonts w:ascii="Calibri" w:hAnsi="Calibri" w:cs="Times New Roman"/>
                <w:sz w:val="20"/>
                <w:szCs w:val="20"/>
              </w:rPr>
              <w:t xml:space="preserve"> in Male Sprague-Dawley Rat</w:t>
            </w:r>
          </w:p>
        </w:tc>
        <w:tc>
          <w:tcPr>
            <w:tcW w:w="470" w:type="pct"/>
          </w:tcPr>
          <w:p w14:paraId="2058066D" w14:textId="13F1AFFA" w:rsidR="009F5F26" w:rsidRPr="009F5F26" w:rsidRDefault="009F5F26" w:rsidP="00E55B59">
            <w:pPr>
              <w:keepNext/>
              <w:tabs>
                <w:tab w:val="left" w:pos="1125"/>
              </w:tabs>
              <w:rPr>
                <w:rFonts w:ascii="Times New Roman" w:hAnsi="Times New Roman" w:cs="Times New Roman"/>
                <w:b/>
                <w:sz w:val="20"/>
                <w:szCs w:val="20"/>
              </w:rPr>
            </w:pPr>
            <w:r w:rsidRPr="009F5F26">
              <w:rPr>
                <w:rFonts w:ascii="Calibri" w:hAnsi="Calibri" w:cs="Times New Roman"/>
                <w:sz w:val="20"/>
                <w:szCs w:val="20"/>
              </w:rPr>
              <w:t>B101003</w:t>
            </w:r>
          </w:p>
        </w:tc>
        <w:tc>
          <w:tcPr>
            <w:tcW w:w="2924" w:type="pct"/>
          </w:tcPr>
          <w:p w14:paraId="6BFB514C" w14:textId="029A28CE" w:rsidR="009F5F26" w:rsidRPr="009F5F26" w:rsidRDefault="009F5F26" w:rsidP="00E55B59">
            <w:pPr>
              <w:keepNext/>
              <w:autoSpaceDE w:val="0"/>
              <w:autoSpaceDN w:val="0"/>
              <w:adjustRightInd w:val="0"/>
              <w:rPr>
                <w:rFonts w:ascii="Calibri" w:hAnsi="Calibri" w:cs="Times New Roman"/>
                <w:sz w:val="20"/>
                <w:szCs w:val="20"/>
              </w:rPr>
            </w:pPr>
            <w:r w:rsidRPr="009F5F26">
              <w:rPr>
                <w:rFonts w:ascii="Calibri" w:hAnsi="Calibri" w:cs="Times New Roman"/>
                <w:sz w:val="20"/>
                <w:szCs w:val="20"/>
              </w:rPr>
              <w:t xml:space="preserve">After </w:t>
            </w:r>
            <w:r w:rsidR="00DA4E2B">
              <w:rPr>
                <w:rFonts w:ascii="Calibri" w:hAnsi="Calibri" w:cs="Times New Roman"/>
                <w:sz w:val="20"/>
                <w:szCs w:val="20"/>
              </w:rPr>
              <w:t>IV</w:t>
            </w:r>
            <w:r w:rsidR="00DA4E2B" w:rsidRPr="009F5F26">
              <w:rPr>
                <w:rFonts w:ascii="Calibri" w:hAnsi="Calibri" w:cs="Times New Roman"/>
                <w:sz w:val="20"/>
                <w:szCs w:val="20"/>
              </w:rPr>
              <w:t xml:space="preserve"> </w:t>
            </w:r>
            <w:r w:rsidRPr="009F5F26">
              <w:rPr>
                <w:rFonts w:ascii="Calibri" w:hAnsi="Calibri" w:cs="Times New Roman"/>
                <w:sz w:val="20"/>
                <w:szCs w:val="20"/>
              </w:rPr>
              <w:t>injection of sodium [1-</w:t>
            </w:r>
            <w:r w:rsidRPr="009F5F26">
              <w:rPr>
                <w:rFonts w:ascii="Calibri" w:hAnsi="Calibri" w:cs="Times New Roman"/>
                <w:sz w:val="20"/>
                <w:szCs w:val="20"/>
                <w:vertAlign w:val="superscript"/>
              </w:rPr>
              <w:t>14</w:t>
            </w:r>
            <w:r w:rsidRPr="009F5F26">
              <w:rPr>
                <w:rFonts w:ascii="Calibri" w:hAnsi="Calibri" w:cs="Times New Roman"/>
                <w:sz w:val="20"/>
                <w:szCs w:val="20"/>
              </w:rPr>
              <w:t>C] pyruvate, radioactivity was rapidly distributed throughout the body. A dose of 56 mg sodium pyruvate/kg (including both [1-</w:t>
            </w:r>
            <w:r w:rsidRPr="009F5F26">
              <w:rPr>
                <w:rFonts w:ascii="Calibri" w:hAnsi="Calibri" w:cs="Times New Roman"/>
                <w:sz w:val="20"/>
                <w:szCs w:val="20"/>
                <w:vertAlign w:val="superscript"/>
              </w:rPr>
              <w:t>13</w:t>
            </w:r>
            <w:r w:rsidRPr="009F5F26">
              <w:rPr>
                <w:rFonts w:ascii="Calibri" w:hAnsi="Calibri" w:cs="Times New Roman"/>
                <w:sz w:val="20"/>
                <w:szCs w:val="20"/>
              </w:rPr>
              <w:t>C] and [1-</w:t>
            </w:r>
            <w:r w:rsidRPr="009F5F26">
              <w:rPr>
                <w:rFonts w:ascii="Calibri" w:hAnsi="Calibri" w:cs="Times New Roman"/>
                <w:sz w:val="20"/>
                <w:szCs w:val="20"/>
                <w:vertAlign w:val="superscript"/>
              </w:rPr>
              <w:t>14</w:t>
            </w:r>
            <w:r w:rsidRPr="009F5F26">
              <w:rPr>
                <w:rFonts w:ascii="Calibri" w:hAnsi="Calibri" w:cs="Times New Roman"/>
                <w:sz w:val="20"/>
                <w:szCs w:val="20"/>
              </w:rPr>
              <w:t xml:space="preserve">C] pyruvate) resulted in a blood concentration of radioactivity corresponding to 8.9% id (85.5 </w:t>
            </w:r>
            <w:proofErr w:type="spellStart"/>
            <w:r w:rsidRPr="009F5F26">
              <w:rPr>
                <w:rFonts w:ascii="Calibri" w:hAnsi="Calibri" w:cs="Times New Roman"/>
                <w:sz w:val="20"/>
                <w:szCs w:val="20"/>
              </w:rPr>
              <w:t>μg</w:t>
            </w:r>
            <w:proofErr w:type="spellEnd"/>
            <w:r w:rsidRPr="009F5F26">
              <w:rPr>
                <w:rFonts w:ascii="Calibri" w:hAnsi="Calibri" w:cs="Times New Roman"/>
                <w:sz w:val="20"/>
                <w:szCs w:val="20"/>
              </w:rPr>
              <w:t xml:space="preserve"> pyruvate equivalents/g blood) at 30 s post dosing. The initial volume of distribution was estimated to 677 ml/kg, indicating distribution of pyruvate to a volume comparable to total body water.</w:t>
            </w:r>
          </w:p>
          <w:p w14:paraId="236AC3D0" w14:textId="77777777" w:rsidR="009F5F26" w:rsidRPr="009F5F26" w:rsidRDefault="009F5F26" w:rsidP="00E55B59">
            <w:pPr>
              <w:keepNext/>
              <w:autoSpaceDE w:val="0"/>
              <w:autoSpaceDN w:val="0"/>
              <w:adjustRightInd w:val="0"/>
              <w:rPr>
                <w:rFonts w:ascii="Calibri" w:hAnsi="Calibri" w:cs="Times New Roman"/>
                <w:sz w:val="20"/>
                <w:szCs w:val="20"/>
              </w:rPr>
            </w:pPr>
            <w:r w:rsidRPr="009F5F26">
              <w:rPr>
                <w:rFonts w:ascii="Calibri" w:hAnsi="Calibri" w:cs="Times New Roman"/>
                <w:sz w:val="20"/>
                <w:szCs w:val="20"/>
              </w:rPr>
              <w:t xml:space="preserve">The highest concentration of radioactivity 30 s post dosing was found in the pancreas. Relatively high concentrations were also found in the blood, liver, adrenals, heart muscle and the small and large intestine wall. The lowest concentrations of radioactivity were found in white fat, testes, brain and spinal cord. The concentration of radioactivity in the prostate at 30 s post dosing was 1.87 </w:t>
            </w:r>
            <w:proofErr w:type="spellStart"/>
            <w:r w:rsidRPr="009F5F26">
              <w:rPr>
                <w:rFonts w:ascii="Calibri" w:hAnsi="Calibri" w:cs="Times New Roman"/>
                <w:sz w:val="20"/>
                <w:szCs w:val="20"/>
              </w:rPr>
              <w:t>kBq</w:t>
            </w:r>
            <w:proofErr w:type="spellEnd"/>
            <w:r w:rsidRPr="009F5F26">
              <w:rPr>
                <w:rFonts w:ascii="Calibri" w:hAnsi="Calibri" w:cs="Times New Roman"/>
                <w:sz w:val="20"/>
                <w:szCs w:val="20"/>
              </w:rPr>
              <w:t xml:space="preserve">/g. This corresponds to a pyruvate equivalent concentration of 34.5 </w:t>
            </w:r>
            <w:proofErr w:type="spellStart"/>
            <w:r w:rsidRPr="009F5F26">
              <w:rPr>
                <w:rFonts w:ascii="Calibri" w:hAnsi="Calibri" w:cs="Times New Roman"/>
                <w:sz w:val="20"/>
                <w:szCs w:val="20"/>
              </w:rPr>
              <w:t>μg</w:t>
            </w:r>
            <w:proofErr w:type="spellEnd"/>
            <w:r w:rsidRPr="009F5F26">
              <w:rPr>
                <w:rFonts w:ascii="Calibri" w:hAnsi="Calibri" w:cs="Times New Roman"/>
                <w:sz w:val="20"/>
                <w:szCs w:val="20"/>
              </w:rPr>
              <w:t>/g. The elimination rate in prostate during the first 2 min post dosing corresponded to a half-life of 1.5 min. The highest recovery of radioactivity was found in muscle and skin tissue. At 1 min post dosing, the recovery in muscle and skin was 55% and 19% id, respectively. At 60 min post dosing, the recovery in muscle and skin was 13% and 7% id, respectively.</w:t>
            </w:r>
          </w:p>
          <w:p w14:paraId="51E6D3B6" w14:textId="77777777" w:rsidR="009F5F26" w:rsidRPr="009F5F26" w:rsidRDefault="009F5F26" w:rsidP="00E55B59">
            <w:pPr>
              <w:keepNext/>
              <w:rPr>
                <w:rFonts w:ascii="Calibri" w:hAnsi="Calibri" w:cs="Times New Roman"/>
                <w:sz w:val="20"/>
                <w:szCs w:val="20"/>
              </w:rPr>
            </w:pPr>
            <w:r w:rsidRPr="009F5F26">
              <w:rPr>
                <w:rFonts w:ascii="Calibri" w:hAnsi="Calibri" w:cs="Times New Roman"/>
                <w:sz w:val="20"/>
                <w:szCs w:val="20"/>
              </w:rPr>
              <w:t xml:space="preserve">The recovery of radioactivity in whole body cryosections was rapidly decreasing. The autoradiograms indicate some elimination of radioactivity through the kidneys, but no visible amounts of urine were collected in the </w:t>
            </w:r>
            <w:proofErr w:type="gramStart"/>
            <w:r w:rsidRPr="009F5F26">
              <w:rPr>
                <w:rFonts w:ascii="Calibri" w:hAnsi="Calibri" w:cs="Times New Roman"/>
                <w:sz w:val="20"/>
                <w:szCs w:val="20"/>
              </w:rPr>
              <w:t>time-frame</w:t>
            </w:r>
            <w:proofErr w:type="gramEnd"/>
            <w:r w:rsidRPr="009F5F26">
              <w:rPr>
                <w:rFonts w:ascii="Calibri" w:hAnsi="Calibri" w:cs="Times New Roman"/>
                <w:sz w:val="20"/>
                <w:szCs w:val="20"/>
              </w:rPr>
              <w:t xml:space="preserve"> of the study. The major elimination route was through exhaled air. At 120 min post dosing, radioactivity corresponding to 63% id was recovered in exhaled air, </w:t>
            </w:r>
            <w:r w:rsidR="00AA3A6A" w:rsidRPr="009F5F26">
              <w:rPr>
                <w:rFonts w:ascii="Calibri" w:hAnsi="Calibri" w:cs="Times New Roman"/>
                <w:sz w:val="20"/>
                <w:szCs w:val="20"/>
              </w:rPr>
              <w:t>because of</w:t>
            </w:r>
            <w:r w:rsidRPr="009F5F26">
              <w:rPr>
                <w:rFonts w:ascii="Calibri" w:hAnsi="Calibri" w:cs="Times New Roman"/>
                <w:sz w:val="20"/>
                <w:szCs w:val="20"/>
              </w:rPr>
              <w:t xml:space="preserve"> the formation of </w:t>
            </w:r>
            <w:r w:rsidRPr="009F5F26">
              <w:rPr>
                <w:rFonts w:ascii="Calibri" w:hAnsi="Calibri" w:cs="Times New Roman"/>
                <w:sz w:val="20"/>
                <w:szCs w:val="20"/>
                <w:vertAlign w:val="superscript"/>
              </w:rPr>
              <w:t>14</w:t>
            </w:r>
            <w:r w:rsidRPr="009F5F26">
              <w:rPr>
                <w:rFonts w:ascii="Calibri" w:hAnsi="Calibri" w:cs="Times New Roman"/>
                <w:sz w:val="20"/>
                <w:szCs w:val="20"/>
              </w:rPr>
              <w:t>CO</w:t>
            </w:r>
            <w:r w:rsidRPr="009F5F26">
              <w:rPr>
                <w:rFonts w:ascii="Calibri" w:hAnsi="Calibri" w:cs="Times New Roman"/>
                <w:sz w:val="20"/>
                <w:szCs w:val="20"/>
                <w:vertAlign w:val="subscript"/>
              </w:rPr>
              <w:t>2</w:t>
            </w:r>
            <w:r w:rsidRPr="009F5F26">
              <w:rPr>
                <w:rFonts w:ascii="Calibri" w:hAnsi="Calibri" w:cs="Times New Roman"/>
                <w:sz w:val="20"/>
                <w:szCs w:val="20"/>
              </w:rPr>
              <w:t>.</w:t>
            </w:r>
          </w:p>
        </w:tc>
      </w:tr>
      <w:tr w:rsidR="009F5F26" w:rsidRPr="009F5F26" w14:paraId="48E928A7" w14:textId="77777777" w:rsidTr="00E55B59">
        <w:trPr>
          <w:cantSplit/>
        </w:trPr>
        <w:tc>
          <w:tcPr>
            <w:tcW w:w="1607" w:type="pct"/>
          </w:tcPr>
          <w:p w14:paraId="10C0A96E" w14:textId="77777777" w:rsidR="009F5F26" w:rsidRPr="009F5F26" w:rsidRDefault="009F5F26" w:rsidP="009F5F26">
            <w:pPr>
              <w:autoSpaceDE w:val="0"/>
              <w:autoSpaceDN w:val="0"/>
              <w:adjustRightInd w:val="0"/>
              <w:rPr>
                <w:rFonts w:ascii="Times New Roman" w:hAnsi="Times New Roman" w:cs="Times New Roman"/>
                <w:sz w:val="20"/>
                <w:szCs w:val="20"/>
              </w:rPr>
            </w:pPr>
            <w:r w:rsidRPr="009F5F26">
              <w:rPr>
                <w:rFonts w:ascii="Calibri" w:hAnsi="Calibri" w:cs="Times New Roman"/>
                <w:sz w:val="20"/>
                <w:szCs w:val="20"/>
              </w:rPr>
              <w:lastRenderedPageBreak/>
              <w:t>Study of Distribution and Excretion of [1-14C] pyruvate in Male Sprague-Dawley Rats - follow-up of study B101003</w:t>
            </w:r>
          </w:p>
        </w:tc>
        <w:tc>
          <w:tcPr>
            <w:tcW w:w="470" w:type="pct"/>
          </w:tcPr>
          <w:p w14:paraId="4A30AA17" w14:textId="568BA3E2" w:rsidR="009F5F26" w:rsidRPr="009F5F26" w:rsidRDefault="009F5F26" w:rsidP="009F5F26">
            <w:pPr>
              <w:tabs>
                <w:tab w:val="left" w:pos="1125"/>
              </w:tabs>
              <w:rPr>
                <w:rFonts w:ascii="Times New Roman" w:hAnsi="Times New Roman" w:cs="Times New Roman"/>
                <w:sz w:val="20"/>
                <w:szCs w:val="20"/>
              </w:rPr>
            </w:pPr>
            <w:r w:rsidRPr="009F5F26">
              <w:rPr>
                <w:rFonts w:ascii="Calibri" w:hAnsi="Calibri" w:cs="Times New Roman"/>
                <w:sz w:val="20"/>
                <w:szCs w:val="20"/>
              </w:rPr>
              <w:t>B101018</w:t>
            </w:r>
          </w:p>
        </w:tc>
        <w:tc>
          <w:tcPr>
            <w:tcW w:w="2924" w:type="pct"/>
          </w:tcPr>
          <w:p w14:paraId="47FA18FC" w14:textId="77777777" w:rsidR="009F5F26" w:rsidRPr="009F5F26" w:rsidRDefault="009F5F26" w:rsidP="009F5F26">
            <w:pPr>
              <w:autoSpaceDE w:val="0"/>
              <w:autoSpaceDN w:val="0"/>
              <w:adjustRightInd w:val="0"/>
              <w:rPr>
                <w:rFonts w:ascii="Calibri" w:hAnsi="Calibri" w:cs="Times New Roman"/>
                <w:sz w:val="20"/>
                <w:szCs w:val="20"/>
              </w:rPr>
            </w:pPr>
            <w:r w:rsidRPr="009F5F26">
              <w:rPr>
                <w:rFonts w:ascii="Calibri" w:hAnsi="Calibri" w:cs="Times New Roman"/>
                <w:sz w:val="20"/>
                <w:szCs w:val="20"/>
              </w:rPr>
              <w:t xml:space="preserve">At 15 min post dosing, the highest radioactivity concentrations were found in urinary bladder contents, bone mineral tissue and pancreas, whereas relatively high concentrations were found in liver, small and large intestine wall, bone marrow and salivary glands. The lowest radioactivity concentrations were found in brain, spinal cord, white fat and testes. The radioactivity concentrations decreased with time in all organs and tissues. At 24 h post dosing, the highest concentrations were found in urinary bladder contents, bone marrow, large intestine wall and skin. The lowest concentrations were found in brain, white fat and eye. The highest recovery was found in muscle, skin and bone tissue. At both 15 min and 24 h post dosing, these tissues accounted for approximately 70% of the </w:t>
            </w:r>
            <w:r w:rsidR="00AA3A6A" w:rsidRPr="009F5F26">
              <w:rPr>
                <w:rFonts w:ascii="Calibri" w:hAnsi="Calibri" w:cs="Times New Roman"/>
                <w:sz w:val="20"/>
                <w:szCs w:val="20"/>
              </w:rPr>
              <w:t>whole-body</w:t>
            </w:r>
            <w:r w:rsidRPr="009F5F26">
              <w:rPr>
                <w:rFonts w:ascii="Calibri" w:hAnsi="Calibri" w:cs="Times New Roman"/>
                <w:sz w:val="20"/>
                <w:szCs w:val="20"/>
              </w:rPr>
              <w:t xml:space="preserve"> recovery.</w:t>
            </w:r>
          </w:p>
          <w:p w14:paraId="609D5336" w14:textId="77777777" w:rsidR="009F5F26" w:rsidRPr="009F5F26" w:rsidRDefault="009F5F26" w:rsidP="009F5F26">
            <w:pPr>
              <w:autoSpaceDE w:val="0"/>
              <w:autoSpaceDN w:val="0"/>
              <w:adjustRightInd w:val="0"/>
              <w:rPr>
                <w:rFonts w:ascii="Calibri" w:hAnsi="Calibri" w:cs="Times New Roman"/>
                <w:sz w:val="20"/>
                <w:szCs w:val="20"/>
              </w:rPr>
            </w:pPr>
            <w:r w:rsidRPr="009F5F26">
              <w:rPr>
                <w:rFonts w:ascii="Calibri" w:hAnsi="Calibri" w:cs="Times New Roman"/>
                <w:sz w:val="20"/>
                <w:szCs w:val="20"/>
              </w:rPr>
              <w:t xml:space="preserve">The total recovery determined in whole body sections decreased from 55% of the injected dose (% id) at 15 min to 7.9% id at 24 h. The major elimination route was through exhaled air. At 24 h post dosing, radioactivity corresponding to 56% id was recovered in exhaled air, </w:t>
            </w:r>
            <w:r w:rsidR="00AA3A6A" w:rsidRPr="009F5F26">
              <w:rPr>
                <w:rFonts w:ascii="Calibri" w:hAnsi="Calibri" w:cs="Times New Roman"/>
                <w:sz w:val="20"/>
                <w:szCs w:val="20"/>
              </w:rPr>
              <w:t>because of</w:t>
            </w:r>
            <w:r w:rsidRPr="009F5F26">
              <w:rPr>
                <w:rFonts w:ascii="Calibri" w:hAnsi="Calibri" w:cs="Times New Roman"/>
                <w:sz w:val="20"/>
                <w:szCs w:val="20"/>
              </w:rPr>
              <w:t xml:space="preserve"> the formation of </w:t>
            </w:r>
            <w:r w:rsidRPr="009F5F26">
              <w:rPr>
                <w:rFonts w:ascii="Calibri" w:hAnsi="Calibri" w:cs="Times New Roman"/>
                <w:sz w:val="20"/>
                <w:szCs w:val="20"/>
                <w:vertAlign w:val="superscript"/>
              </w:rPr>
              <w:t>14</w:t>
            </w:r>
            <w:r w:rsidRPr="009F5F26">
              <w:rPr>
                <w:rFonts w:ascii="Calibri" w:hAnsi="Calibri" w:cs="Times New Roman"/>
                <w:sz w:val="20"/>
                <w:szCs w:val="20"/>
              </w:rPr>
              <w:t>CO</w:t>
            </w:r>
            <w:r w:rsidRPr="009F5F26">
              <w:rPr>
                <w:rFonts w:ascii="Calibri" w:hAnsi="Calibri" w:cs="Times New Roman"/>
                <w:sz w:val="20"/>
                <w:szCs w:val="20"/>
                <w:vertAlign w:val="subscript"/>
              </w:rPr>
              <w:t>2</w:t>
            </w:r>
            <w:r w:rsidRPr="009F5F26">
              <w:rPr>
                <w:rFonts w:ascii="Calibri" w:hAnsi="Calibri" w:cs="Times New Roman"/>
                <w:sz w:val="20"/>
                <w:szCs w:val="20"/>
              </w:rPr>
              <w:t>. The elimination rate decreased biexponentially with time.</w:t>
            </w:r>
          </w:p>
          <w:p w14:paraId="0E8E2C64" w14:textId="77777777" w:rsidR="009F5F26" w:rsidRPr="009F5F26" w:rsidRDefault="009F5F26" w:rsidP="009F5F26">
            <w:pPr>
              <w:autoSpaceDE w:val="0"/>
              <w:autoSpaceDN w:val="0"/>
              <w:adjustRightInd w:val="0"/>
              <w:rPr>
                <w:rFonts w:ascii="Calibri" w:hAnsi="Calibri" w:cs="Times New Roman"/>
                <w:sz w:val="20"/>
                <w:szCs w:val="20"/>
              </w:rPr>
            </w:pPr>
            <w:r w:rsidRPr="009F5F26">
              <w:rPr>
                <w:rFonts w:ascii="Calibri" w:hAnsi="Calibri" w:cs="Times New Roman"/>
                <w:sz w:val="20"/>
                <w:szCs w:val="20"/>
              </w:rPr>
              <w:t xml:space="preserve">Only minor amounts of radioactivity were excreted in urine and faeces. 2.1% id was found in voided urine 24 h post dosing (including cage wash water). The amount of radioactivity in the urine bladder was included in the </w:t>
            </w:r>
            <w:r w:rsidR="00AA3A6A" w:rsidRPr="009F5F26">
              <w:rPr>
                <w:rFonts w:ascii="Calibri" w:hAnsi="Calibri" w:cs="Times New Roman"/>
                <w:sz w:val="20"/>
                <w:szCs w:val="20"/>
              </w:rPr>
              <w:t>whole-body</w:t>
            </w:r>
            <w:r w:rsidRPr="009F5F26">
              <w:rPr>
                <w:rFonts w:ascii="Calibri" w:hAnsi="Calibri" w:cs="Times New Roman"/>
                <w:sz w:val="20"/>
                <w:szCs w:val="20"/>
              </w:rPr>
              <w:t xml:space="preserve"> recovery calculations, assuming a residual urine volume of approximately 1 ml/</w:t>
            </w:r>
            <w:r w:rsidR="00AA3A6A" w:rsidRPr="009F5F26">
              <w:rPr>
                <w:rFonts w:ascii="Calibri" w:hAnsi="Calibri" w:cs="Times New Roman"/>
                <w:sz w:val="20"/>
                <w:szCs w:val="20"/>
              </w:rPr>
              <w:t>205-gram</w:t>
            </w:r>
            <w:r w:rsidRPr="009F5F26">
              <w:rPr>
                <w:rFonts w:ascii="Calibri" w:hAnsi="Calibri" w:cs="Times New Roman"/>
                <w:sz w:val="20"/>
                <w:szCs w:val="20"/>
              </w:rPr>
              <w:t xml:space="preserve"> body weight. The recovery in faeces was 0.26% id at 24 h post dosing.</w:t>
            </w:r>
          </w:p>
          <w:p w14:paraId="7F49AFC6" w14:textId="77777777" w:rsidR="009F5F26" w:rsidRPr="009F5F26" w:rsidRDefault="009F5F26" w:rsidP="009F5F26">
            <w:pPr>
              <w:autoSpaceDE w:val="0"/>
              <w:autoSpaceDN w:val="0"/>
              <w:adjustRightInd w:val="0"/>
              <w:rPr>
                <w:rFonts w:ascii="Calibri" w:hAnsi="Calibri" w:cs="Times New Roman"/>
                <w:sz w:val="20"/>
                <w:szCs w:val="20"/>
              </w:rPr>
            </w:pPr>
            <w:r w:rsidRPr="009F5F26">
              <w:rPr>
                <w:rFonts w:ascii="Calibri" w:hAnsi="Calibri" w:cs="Times New Roman"/>
                <w:sz w:val="20"/>
                <w:szCs w:val="20"/>
              </w:rPr>
              <w:t>The total recovery was in the range of 53 to 67% id after 24 h. Despite the relatively low total recovery, the study is considered to give a satisfactory description of the biological fate of [1-</w:t>
            </w:r>
            <w:r w:rsidRPr="009F5F26">
              <w:rPr>
                <w:rFonts w:ascii="Calibri" w:hAnsi="Calibri" w:cs="Times New Roman"/>
                <w:sz w:val="20"/>
                <w:szCs w:val="20"/>
                <w:vertAlign w:val="superscript"/>
              </w:rPr>
              <w:t>14</w:t>
            </w:r>
            <w:proofErr w:type="gramStart"/>
            <w:r w:rsidRPr="009F5F26">
              <w:rPr>
                <w:rFonts w:ascii="Calibri" w:hAnsi="Calibri" w:cs="Times New Roman"/>
                <w:sz w:val="20"/>
                <w:szCs w:val="20"/>
              </w:rPr>
              <w:t>C]pyruvate</w:t>
            </w:r>
            <w:proofErr w:type="gramEnd"/>
            <w:r w:rsidRPr="009F5F26">
              <w:rPr>
                <w:rFonts w:ascii="Calibri" w:hAnsi="Calibri" w:cs="Times New Roman"/>
                <w:sz w:val="20"/>
                <w:szCs w:val="20"/>
              </w:rPr>
              <w:t xml:space="preserve"> following intravenous injection in rats.</w:t>
            </w:r>
          </w:p>
        </w:tc>
      </w:tr>
      <w:tr w:rsidR="009F5F26" w:rsidRPr="009F5F26" w14:paraId="5270013D" w14:textId="77777777" w:rsidTr="00E55B59">
        <w:trPr>
          <w:cantSplit/>
        </w:trPr>
        <w:tc>
          <w:tcPr>
            <w:tcW w:w="5000" w:type="pct"/>
            <w:gridSpan w:val="3"/>
          </w:tcPr>
          <w:p w14:paraId="33C973E6" w14:textId="77777777" w:rsidR="009F5F26" w:rsidRPr="009F5F26" w:rsidRDefault="009F5F26" w:rsidP="009F5F26">
            <w:pPr>
              <w:autoSpaceDE w:val="0"/>
              <w:autoSpaceDN w:val="0"/>
              <w:adjustRightInd w:val="0"/>
              <w:rPr>
                <w:rFonts w:ascii="Calibri" w:hAnsi="Calibri" w:cs="Times New Roman"/>
                <w:sz w:val="20"/>
                <w:szCs w:val="20"/>
              </w:rPr>
            </w:pPr>
            <w:r w:rsidRPr="009F5F26">
              <w:rPr>
                <w:rFonts w:ascii="Calibri" w:hAnsi="Calibri" w:cs="Times New Roman"/>
                <w:b/>
                <w:sz w:val="20"/>
                <w:szCs w:val="20"/>
              </w:rPr>
              <w:t>Toxicology Studies</w:t>
            </w:r>
          </w:p>
        </w:tc>
      </w:tr>
      <w:tr w:rsidR="009F5F26" w:rsidRPr="009F5F26" w14:paraId="5743F46B" w14:textId="77777777" w:rsidTr="00E55B59">
        <w:trPr>
          <w:cantSplit/>
        </w:trPr>
        <w:tc>
          <w:tcPr>
            <w:tcW w:w="1607" w:type="pct"/>
          </w:tcPr>
          <w:p w14:paraId="2DEC7454" w14:textId="77777777" w:rsidR="009F5F26" w:rsidRPr="009F5F26" w:rsidRDefault="009F5F26" w:rsidP="009F5F26">
            <w:pPr>
              <w:rPr>
                <w:rFonts w:ascii="Times New Roman" w:hAnsi="Times New Roman" w:cs="Times New Roman"/>
                <w:sz w:val="20"/>
                <w:szCs w:val="20"/>
              </w:rPr>
            </w:pPr>
            <w:r w:rsidRPr="009F5F26">
              <w:rPr>
                <w:rFonts w:ascii="Calibri" w:hAnsi="Calibri" w:cs="Times New Roman"/>
                <w:sz w:val="20"/>
                <w:szCs w:val="20"/>
              </w:rPr>
              <w:t>An expanded acute dose toxicity study with intravenously injected AH111501 dissolved in Na-pyruvate in male and female rats</w:t>
            </w:r>
          </w:p>
        </w:tc>
        <w:tc>
          <w:tcPr>
            <w:tcW w:w="470" w:type="pct"/>
          </w:tcPr>
          <w:p w14:paraId="633774F5" w14:textId="6E770496" w:rsidR="009F5F26" w:rsidRPr="009F5F26" w:rsidRDefault="009F5F26" w:rsidP="009F5F26">
            <w:pPr>
              <w:tabs>
                <w:tab w:val="left" w:pos="1125"/>
              </w:tabs>
              <w:rPr>
                <w:rFonts w:ascii="Times New Roman" w:hAnsi="Times New Roman" w:cs="Times New Roman"/>
                <w:sz w:val="20"/>
                <w:szCs w:val="20"/>
              </w:rPr>
            </w:pPr>
            <w:r w:rsidRPr="009F5F26">
              <w:rPr>
                <w:rFonts w:ascii="Calibri" w:hAnsi="Calibri" w:cs="Times New Roman"/>
                <w:sz w:val="20"/>
                <w:szCs w:val="20"/>
              </w:rPr>
              <w:t>B101020</w:t>
            </w:r>
          </w:p>
        </w:tc>
        <w:tc>
          <w:tcPr>
            <w:tcW w:w="2924" w:type="pct"/>
          </w:tcPr>
          <w:p w14:paraId="618ECEEB" w14:textId="77777777" w:rsidR="009F5F26" w:rsidRPr="009F5F26" w:rsidRDefault="009F5F26" w:rsidP="009F5F26">
            <w:pPr>
              <w:autoSpaceDE w:val="0"/>
              <w:autoSpaceDN w:val="0"/>
              <w:adjustRightInd w:val="0"/>
              <w:rPr>
                <w:rFonts w:ascii="Calibri" w:hAnsi="Calibri" w:cs="Times New Roman"/>
                <w:sz w:val="20"/>
                <w:szCs w:val="20"/>
              </w:rPr>
            </w:pPr>
            <w:r w:rsidRPr="009F5F26">
              <w:rPr>
                <w:rFonts w:ascii="Calibri" w:hAnsi="Calibri" w:cs="Times New Roman"/>
                <w:sz w:val="20"/>
                <w:szCs w:val="20"/>
              </w:rPr>
              <w:t>There were no treatment-related adverse effects in male or female rats receiving acute intravenous injection of AH111501 in 500 mM pyruvate at 1784 mg pyruvate/kg.</w:t>
            </w:r>
          </w:p>
          <w:p w14:paraId="3EA4E723" w14:textId="77777777" w:rsidR="009F5F26" w:rsidRPr="009F5F26" w:rsidRDefault="009F5F26" w:rsidP="009F5F26">
            <w:pPr>
              <w:autoSpaceDE w:val="0"/>
              <w:autoSpaceDN w:val="0"/>
              <w:adjustRightInd w:val="0"/>
              <w:rPr>
                <w:rFonts w:ascii="Calibri" w:hAnsi="Calibri" w:cs="Times New Roman"/>
                <w:sz w:val="20"/>
                <w:szCs w:val="20"/>
              </w:rPr>
            </w:pPr>
            <w:r w:rsidRPr="009F5F26">
              <w:rPr>
                <w:rFonts w:ascii="Calibri" w:hAnsi="Calibri" w:cs="Times New Roman"/>
                <w:sz w:val="20"/>
                <w:szCs w:val="20"/>
              </w:rPr>
              <w:t>NOAEL 1784 mg/kg body weight.</w:t>
            </w:r>
          </w:p>
        </w:tc>
      </w:tr>
      <w:tr w:rsidR="009F5F26" w:rsidRPr="009F5F26" w14:paraId="50D77811" w14:textId="77777777" w:rsidTr="00E55B59">
        <w:trPr>
          <w:cantSplit/>
        </w:trPr>
        <w:tc>
          <w:tcPr>
            <w:tcW w:w="1607" w:type="pct"/>
          </w:tcPr>
          <w:p w14:paraId="65048A61" w14:textId="77777777" w:rsidR="009F5F26" w:rsidRPr="009F5F26" w:rsidRDefault="009F5F26" w:rsidP="009F5F26">
            <w:pPr>
              <w:rPr>
                <w:rFonts w:ascii="Times New Roman" w:hAnsi="Times New Roman" w:cs="Times New Roman"/>
                <w:sz w:val="20"/>
                <w:szCs w:val="20"/>
              </w:rPr>
            </w:pPr>
            <w:r w:rsidRPr="009F5F26">
              <w:rPr>
                <w:rFonts w:ascii="Calibri" w:hAnsi="Calibri" w:cs="Times New Roman"/>
                <w:sz w:val="20"/>
                <w:szCs w:val="20"/>
              </w:rPr>
              <w:t xml:space="preserve">Expanded acute dose intravenous toxicity study with AH111501 dissolved in </w:t>
            </w:r>
            <w:r w:rsidRPr="009F5F26">
              <w:rPr>
                <w:rFonts w:ascii="Calibri" w:hAnsi="Calibri" w:cs="Times New Roman"/>
                <w:sz w:val="20"/>
                <w:szCs w:val="20"/>
                <w:vertAlign w:val="superscript"/>
              </w:rPr>
              <w:t>13</w:t>
            </w:r>
            <w:r w:rsidRPr="009F5F26">
              <w:rPr>
                <w:rFonts w:ascii="Calibri" w:hAnsi="Calibri" w:cs="Times New Roman"/>
                <w:sz w:val="20"/>
                <w:szCs w:val="20"/>
              </w:rPr>
              <w:t>C-pyruvate in Beagle dogs</w:t>
            </w:r>
          </w:p>
        </w:tc>
        <w:tc>
          <w:tcPr>
            <w:tcW w:w="470" w:type="pct"/>
          </w:tcPr>
          <w:p w14:paraId="7A3D9F73" w14:textId="6F1C1B35" w:rsidR="009F5F26" w:rsidRPr="009F5F26" w:rsidRDefault="009F5F26" w:rsidP="009F5F26">
            <w:pPr>
              <w:rPr>
                <w:rFonts w:ascii="Times New Roman" w:hAnsi="Times New Roman" w:cs="Times New Roman"/>
                <w:sz w:val="20"/>
                <w:szCs w:val="20"/>
              </w:rPr>
            </w:pPr>
            <w:r w:rsidRPr="009F5F26">
              <w:rPr>
                <w:rFonts w:ascii="Calibri" w:hAnsi="Calibri" w:cs="Times New Roman"/>
                <w:sz w:val="20"/>
                <w:szCs w:val="20"/>
              </w:rPr>
              <w:t>TNO 588 (B101017)</w:t>
            </w:r>
          </w:p>
        </w:tc>
        <w:tc>
          <w:tcPr>
            <w:tcW w:w="2924" w:type="pct"/>
          </w:tcPr>
          <w:p w14:paraId="291AF46B" w14:textId="77777777" w:rsidR="009F5F26" w:rsidRPr="009F5F26" w:rsidRDefault="009F5F26" w:rsidP="009F5F26">
            <w:pPr>
              <w:autoSpaceDE w:val="0"/>
              <w:autoSpaceDN w:val="0"/>
              <w:adjustRightInd w:val="0"/>
              <w:rPr>
                <w:rFonts w:ascii="Calibri" w:hAnsi="Calibri" w:cs="Times New Roman"/>
                <w:sz w:val="20"/>
                <w:szCs w:val="20"/>
              </w:rPr>
            </w:pPr>
            <w:r w:rsidRPr="009F5F26">
              <w:rPr>
                <w:rFonts w:ascii="Calibri" w:hAnsi="Calibri" w:cs="Times New Roman"/>
                <w:sz w:val="20"/>
                <w:szCs w:val="20"/>
              </w:rPr>
              <w:t xml:space="preserve">There were no treatment-related adverse effects in male or female Beagle dogs receiving acute intravenous injections of these dose levels of AH111501 dissolved in </w:t>
            </w:r>
            <w:r w:rsidRPr="009F5F26">
              <w:rPr>
                <w:rFonts w:ascii="Calibri" w:hAnsi="Calibri" w:cs="Times New Roman"/>
                <w:sz w:val="20"/>
                <w:szCs w:val="20"/>
                <w:vertAlign w:val="superscript"/>
              </w:rPr>
              <w:t>13</w:t>
            </w:r>
            <w:r w:rsidRPr="009F5F26">
              <w:rPr>
                <w:rFonts w:ascii="Calibri" w:hAnsi="Calibri" w:cs="Times New Roman"/>
                <w:sz w:val="20"/>
                <w:szCs w:val="20"/>
              </w:rPr>
              <w:t>C-pyruvate.</w:t>
            </w:r>
          </w:p>
          <w:p w14:paraId="0A1F673E" w14:textId="77777777" w:rsidR="009F5F26" w:rsidRPr="009F5F26" w:rsidRDefault="009F5F26" w:rsidP="009F5F26">
            <w:pPr>
              <w:autoSpaceDE w:val="0"/>
              <w:autoSpaceDN w:val="0"/>
              <w:adjustRightInd w:val="0"/>
              <w:rPr>
                <w:rFonts w:ascii="Calibri" w:hAnsi="Calibri" w:cs="Times New Roman"/>
                <w:sz w:val="20"/>
                <w:szCs w:val="20"/>
              </w:rPr>
            </w:pPr>
            <w:r w:rsidRPr="009F5F26">
              <w:rPr>
                <w:rFonts w:ascii="Calibri" w:hAnsi="Calibri" w:cs="Times New Roman"/>
                <w:sz w:val="20"/>
                <w:szCs w:val="20"/>
              </w:rPr>
              <w:t>NOAEL 446 mg/kg body weight.</w:t>
            </w:r>
          </w:p>
          <w:p w14:paraId="71C87C1A" w14:textId="77777777" w:rsidR="009F5F26" w:rsidRPr="009F5F26" w:rsidRDefault="009F5F26" w:rsidP="009F5F26">
            <w:pPr>
              <w:autoSpaceDE w:val="0"/>
              <w:autoSpaceDN w:val="0"/>
              <w:adjustRightInd w:val="0"/>
              <w:rPr>
                <w:rFonts w:ascii="Calibri" w:hAnsi="Calibri" w:cs="Times New Roman"/>
                <w:sz w:val="20"/>
                <w:szCs w:val="20"/>
              </w:rPr>
            </w:pPr>
            <w:r w:rsidRPr="009F5F26">
              <w:rPr>
                <w:rFonts w:ascii="Calibri" w:hAnsi="Calibri" w:cs="Times New Roman"/>
                <w:sz w:val="20"/>
                <w:szCs w:val="20"/>
              </w:rPr>
              <w:t xml:space="preserve">Toxicokinetic analysis showed rapid transformation of </w:t>
            </w:r>
            <w:r w:rsidRPr="009F5F26">
              <w:rPr>
                <w:rFonts w:ascii="Calibri" w:hAnsi="Calibri" w:cs="Times New Roman"/>
                <w:sz w:val="20"/>
                <w:szCs w:val="20"/>
                <w:vertAlign w:val="superscript"/>
              </w:rPr>
              <w:t>13</w:t>
            </w:r>
            <w:r w:rsidRPr="009F5F26">
              <w:rPr>
                <w:rFonts w:ascii="Calibri" w:hAnsi="Calibri" w:cs="Times New Roman"/>
                <w:sz w:val="20"/>
                <w:szCs w:val="20"/>
              </w:rPr>
              <w:t xml:space="preserve">C-pyruvate to </w:t>
            </w:r>
            <w:r w:rsidRPr="009F5F26">
              <w:rPr>
                <w:rFonts w:ascii="Calibri" w:hAnsi="Calibri" w:cs="Times New Roman"/>
                <w:sz w:val="20"/>
                <w:szCs w:val="20"/>
                <w:vertAlign w:val="superscript"/>
              </w:rPr>
              <w:t>13</w:t>
            </w:r>
            <w:r w:rsidRPr="009F5F26">
              <w:rPr>
                <w:rFonts w:ascii="Calibri" w:hAnsi="Calibri" w:cs="Times New Roman"/>
                <w:sz w:val="20"/>
                <w:szCs w:val="20"/>
              </w:rPr>
              <w:t xml:space="preserve">C-lactate, with a peak concentration of </w:t>
            </w:r>
            <w:r w:rsidRPr="009F5F26">
              <w:rPr>
                <w:rFonts w:ascii="Calibri" w:hAnsi="Calibri" w:cs="Times New Roman"/>
                <w:sz w:val="20"/>
                <w:szCs w:val="20"/>
                <w:vertAlign w:val="superscript"/>
              </w:rPr>
              <w:t>13</w:t>
            </w:r>
            <w:r w:rsidRPr="009F5F26">
              <w:rPr>
                <w:rFonts w:ascii="Calibri" w:hAnsi="Calibri" w:cs="Times New Roman"/>
                <w:sz w:val="20"/>
                <w:szCs w:val="20"/>
              </w:rPr>
              <w:t>C-lactate at 3 minutes post dosing.</w:t>
            </w:r>
          </w:p>
          <w:p w14:paraId="334DF5B2" w14:textId="77777777" w:rsidR="009F5F26" w:rsidRPr="009F5F26" w:rsidRDefault="009F5F26" w:rsidP="009F5F26">
            <w:pPr>
              <w:rPr>
                <w:rFonts w:ascii="Calibri" w:hAnsi="Calibri" w:cs="Times New Roman"/>
                <w:sz w:val="20"/>
                <w:szCs w:val="20"/>
              </w:rPr>
            </w:pPr>
            <w:r w:rsidRPr="009F5F26">
              <w:rPr>
                <w:rFonts w:ascii="Calibri" w:hAnsi="Calibri" w:cs="Times New Roman"/>
                <w:sz w:val="20"/>
                <w:szCs w:val="20"/>
              </w:rPr>
              <w:t xml:space="preserve">The elimination half-life of </w:t>
            </w:r>
            <w:r w:rsidRPr="009F5F26">
              <w:rPr>
                <w:rFonts w:ascii="Calibri" w:hAnsi="Calibri" w:cs="Times New Roman"/>
                <w:sz w:val="20"/>
                <w:szCs w:val="20"/>
                <w:vertAlign w:val="superscript"/>
              </w:rPr>
              <w:t>13</w:t>
            </w:r>
            <w:r w:rsidRPr="009F5F26">
              <w:rPr>
                <w:rFonts w:ascii="Calibri" w:hAnsi="Calibri" w:cs="Times New Roman"/>
                <w:sz w:val="20"/>
                <w:szCs w:val="20"/>
              </w:rPr>
              <w:t xml:space="preserve">C-pyruvate and </w:t>
            </w:r>
            <w:r w:rsidRPr="009F5F26">
              <w:rPr>
                <w:rFonts w:ascii="Calibri" w:hAnsi="Calibri" w:cs="Times New Roman"/>
                <w:sz w:val="20"/>
                <w:szCs w:val="20"/>
                <w:vertAlign w:val="superscript"/>
              </w:rPr>
              <w:t>13</w:t>
            </w:r>
            <w:r w:rsidRPr="009F5F26">
              <w:rPr>
                <w:rFonts w:ascii="Calibri" w:hAnsi="Calibri" w:cs="Times New Roman"/>
                <w:sz w:val="20"/>
                <w:szCs w:val="20"/>
              </w:rPr>
              <w:t>C-lactate was 6.4±0.9 and 6.4±0.6 minutes, respectively. No biologically significant differences in systemic exposure between male and female animals were observed.</w:t>
            </w:r>
          </w:p>
        </w:tc>
      </w:tr>
      <w:tr w:rsidR="009F5F26" w:rsidRPr="009F5F26" w14:paraId="0311B699" w14:textId="77777777" w:rsidTr="00E55B59">
        <w:trPr>
          <w:cantSplit/>
        </w:trPr>
        <w:tc>
          <w:tcPr>
            <w:tcW w:w="1607" w:type="pct"/>
          </w:tcPr>
          <w:p w14:paraId="75260C2C" w14:textId="77777777" w:rsidR="009F5F26" w:rsidRPr="009F5F26" w:rsidRDefault="009F5F26" w:rsidP="009F5F26">
            <w:pPr>
              <w:rPr>
                <w:rFonts w:ascii="Times New Roman" w:hAnsi="Times New Roman" w:cs="Times New Roman"/>
                <w:sz w:val="20"/>
                <w:szCs w:val="20"/>
              </w:rPr>
            </w:pPr>
            <w:r w:rsidRPr="009F5F26">
              <w:rPr>
                <w:rFonts w:ascii="Calibri" w:hAnsi="Calibri" w:cs="Times New Roman"/>
                <w:sz w:val="20"/>
                <w:szCs w:val="20"/>
              </w:rPr>
              <w:lastRenderedPageBreak/>
              <w:t>An expanded acute dose toxicity study with intravenously injected AH111501 in 250 mM pyruvate dissolved in 100 mM TRIS/EDTA in Sprague Dawley rats</w:t>
            </w:r>
          </w:p>
        </w:tc>
        <w:tc>
          <w:tcPr>
            <w:tcW w:w="470" w:type="pct"/>
          </w:tcPr>
          <w:p w14:paraId="4FADF8AF" w14:textId="43DAA526" w:rsidR="009F5F26" w:rsidRPr="009F5F26" w:rsidRDefault="009F5F26" w:rsidP="009F5F26">
            <w:pPr>
              <w:rPr>
                <w:rFonts w:ascii="Times New Roman" w:hAnsi="Times New Roman" w:cs="Times New Roman"/>
                <w:sz w:val="20"/>
                <w:szCs w:val="20"/>
              </w:rPr>
            </w:pPr>
            <w:r w:rsidRPr="009F5F26">
              <w:rPr>
                <w:rFonts w:ascii="Calibri" w:hAnsi="Calibri" w:cs="Times New Roman"/>
                <w:sz w:val="20"/>
                <w:szCs w:val="20"/>
              </w:rPr>
              <w:t>B101040</w:t>
            </w:r>
          </w:p>
        </w:tc>
        <w:tc>
          <w:tcPr>
            <w:tcW w:w="2924" w:type="pct"/>
          </w:tcPr>
          <w:p w14:paraId="602A1F6C" w14:textId="77777777" w:rsidR="009F5F26" w:rsidRPr="009F5F26" w:rsidRDefault="009F5F26" w:rsidP="009F5F26">
            <w:pPr>
              <w:rPr>
                <w:rFonts w:ascii="Calibri" w:hAnsi="Calibri" w:cs="Times New Roman"/>
                <w:sz w:val="20"/>
                <w:szCs w:val="20"/>
              </w:rPr>
            </w:pPr>
            <w:r w:rsidRPr="009F5F26">
              <w:rPr>
                <w:rFonts w:ascii="Calibri" w:hAnsi="Calibri" w:cs="Times New Roman"/>
                <w:sz w:val="20"/>
                <w:szCs w:val="20"/>
              </w:rPr>
              <w:t>There were no treatment-related adverse effects in male or female rats receiving acute intravenous injection of 250 mM [1-</w:t>
            </w:r>
            <w:r w:rsidRPr="009F5F26">
              <w:rPr>
                <w:rFonts w:ascii="Calibri" w:hAnsi="Calibri" w:cs="Times New Roman"/>
                <w:sz w:val="20"/>
                <w:szCs w:val="20"/>
                <w:vertAlign w:val="superscript"/>
              </w:rPr>
              <w:t>13</w:t>
            </w:r>
            <w:proofErr w:type="gramStart"/>
            <w:r w:rsidRPr="009F5F26">
              <w:rPr>
                <w:rFonts w:ascii="Calibri" w:hAnsi="Calibri" w:cs="Times New Roman"/>
                <w:sz w:val="20"/>
                <w:szCs w:val="20"/>
              </w:rPr>
              <w:t>C]pyruvate</w:t>
            </w:r>
            <w:proofErr w:type="gramEnd"/>
            <w:r w:rsidRPr="009F5F26">
              <w:rPr>
                <w:rFonts w:ascii="Calibri" w:hAnsi="Calibri" w:cs="Times New Roman"/>
                <w:sz w:val="20"/>
                <w:szCs w:val="20"/>
              </w:rPr>
              <w:t xml:space="preserve"> and 0.43 mg/ml AH111501 in 100 mM TRIS/EDTA dissolution medium at 892 mg [1-</w:t>
            </w:r>
            <w:r w:rsidRPr="009F5F26">
              <w:rPr>
                <w:rFonts w:ascii="Calibri" w:hAnsi="Calibri" w:cs="Times New Roman"/>
                <w:sz w:val="20"/>
                <w:szCs w:val="20"/>
                <w:vertAlign w:val="superscript"/>
              </w:rPr>
              <w:t>13</w:t>
            </w:r>
            <w:r w:rsidRPr="009F5F26">
              <w:rPr>
                <w:rFonts w:ascii="Calibri" w:hAnsi="Calibri" w:cs="Times New Roman"/>
                <w:sz w:val="20"/>
                <w:szCs w:val="20"/>
              </w:rPr>
              <w:t xml:space="preserve">C]pyruvate/kg. </w:t>
            </w:r>
          </w:p>
          <w:p w14:paraId="4B0467DF" w14:textId="77777777" w:rsidR="009F5F26" w:rsidRPr="009F5F26" w:rsidRDefault="009F5F26" w:rsidP="009F5F26">
            <w:pPr>
              <w:rPr>
                <w:rFonts w:ascii="Calibri" w:hAnsi="Calibri" w:cs="Times New Roman"/>
                <w:sz w:val="20"/>
                <w:szCs w:val="20"/>
              </w:rPr>
            </w:pPr>
            <w:r w:rsidRPr="009F5F26">
              <w:rPr>
                <w:rFonts w:ascii="Calibri" w:hAnsi="Calibri" w:cs="Times New Roman"/>
                <w:sz w:val="20"/>
                <w:szCs w:val="20"/>
              </w:rPr>
              <w:t xml:space="preserve">NOAEL 892 mg/kg </w:t>
            </w:r>
            <w:proofErr w:type="spellStart"/>
            <w:r w:rsidRPr="009F5F26">
              <w:rPr>
                <w:rFonts w:ascii="Calibri" w:hAnsi="Calibri" w:cs="Times New Roman"/>
                <w:sz w:val="20"/>
                <w:szCs w:val="20"/>
              </w:rPr>
              <w:t>bw</w:t>
            </w:r>
            <w:proofErr w:type="spellEnd"/>
          </w:p>
        </w:tc>
      </w:tr>
      <w:tr w:rsidR="009F5F26" w:rsidRPr="009F5F26" w14:paraId="44705BD7" w14:textId="77777777" w:rsidTr="00E55B59">
        <w:trPr>
          <w:cantSplit/>
        </w:trPr>
        <w:tc>
          <w:tcPr>
            <w:tcW w:w="1607" w:type="pct"/>
          </w:tcPr>
          <w:p w14:paraId="5996C43A" w14:textId="1B66819C" w:rsidR="009F5F26" w:rsidRPr="009F5F26" w:rsidRDefault="009F5F26" w:rsidP="009F5F26">
            <w:pPr>
              <w:rPr>
                <w:rFonts w:ascii="Times New Roman" w:hAnsi="Times New Roman" w:cs="Times New Roman"/>
                <w:sz w:val="20"/>
                <w:szCs w:val="20"/>
              </w:rPr>
            </w:pPr>
            <w:r w:rsidRPr="009F5F26">
              <w:rPr>
                <w:rFonts w:ascii="Calibri" w:hAnsi="Calibri" w:cs="Times New Roman"/>
                <w:sz w:val="20"/>
                <w:szCs w:val="20"/>
              </w:rPr>
              <w:t xml:space="preserve">An expanded acute dose toxicity study with intravenously injected </w:t>
            </w:r>
            <w:proofErr w:type="spellStart"/>
            <w:r w:rsidR="00980B07">
              <w:rPr>
                <w:rFonts w:ascii="Calibri" w:hAnsi="Calibri" w:cs="Times New Roman"/>
                <w:sz w:val="20"/>
                <w:szCs w:val="20"/>
              </w:rPr>
              <w:t>p</w:t>
            </w:r>
            <w:r w:rsidRPr="009F5F26">
              <w:rPr>
                <w:rFonts w:ascii="Calibri" w:hAnsi="Calibri" w:cs="Times New Roman"/>
                <w:sz w:val="20"/>
                <w:szCs w:val="20"/>
              </w:rPr>
              <w:t>arapyruvate</w:t>
            </w:r>
            <w:proofErr w:type="spellEnd"/>
            <w:r w:rsidRPr="009F5F26">
              <w:rPr>
                <w:rFonts w:ascii="Calibri" w:hAnsi="Calibri" w:cs="Times New Roman"/>
                <w:sz w:val="20"/>
                <w:szCs w:val="20"/>
              </w:rPr>
              <w:t xml:space="preserve"> in male and female rats</w:t>
            </w:r>
          </w:p>
        </w:tc>
        <w:tc>
          <w:tcPr>
            <w:tcW w:w="470" w:type="pct"/>
          </w:tcPr>
          <w:p w14:paraId="07F2CB34" w14:textId="35FE6A70" w:rsidR="009F5F26" w:rsidRPr="009F5F26" w:rsidRDefault="009F5F26" w:rsidP="009F5F26">
            <w:pPr>
              <w:rPr>
                <w:rFonts w:ascii="Times New Roman" w:hAnsi="Times New Roman" w:cs="Times New Roman"/>
                <w:sz w:val="20"/>
                <w:szCs w:val="20"/>
              </w:rPr>
            </w:pPr>
            <w:r w:rsidRPr="009F5F26">
              <w:rPr>
                <w:rFonts w:ascii="Calibri" w:hAnsi="Calibri" w:cs="Times New Roman"/>
                <w:sz w:val="20"/>
                <w:szCs w:val="20"/>
              </w:rPr>
              <w:t>B101044</w:t>
            </w:r>
          </w:p>
        </w:tc>
        <w:tc>
          <w:tcPr>
            <w:tcW w:w="2924" w:type="pct"/>
          </w:tcPr>
          <w:p w14:paraId="086A441D" w14:textId="77777777" w:rsidR="009F5F26" w:rsidRPr="009F5F26" w:rsidRDefault="009F5F26" w:rsidP="009F5F26">
            <w:pPr>
              <w:autoSpaceDE w:val="0"/>
              <w:autoSpaceDN w:val="0"/>
              <w:adjustRightInd w:val="0"/>
              <w:rPr>
                <w:rFonts w:ascii="Calibri" w:hAnsi="Calibri" w:cs="Times New Roman"/>
                <w:sz w:val="20"/>
                <w:szCs w:val="20"/>
              </w:rPr>
            </w:pPr>
            <w:r w:rsidRPr="009F5F26">
              <w:rPr>
                <w:rFonts w:ascii="Calibri" w:hAnsi="Calibri" w:cs="Times New Roman"/>
                <w:sz w:val="20"/>
                <w:szCs w:val="20"/>
              </w:rPr>
              <w:t xml:space="preserve">There </w:t>
            </w:r>
            <w:proofErr w:type="gramStart"/>
            <w:r w:rsidRPr="009F5F26">
              <w:rPr>
                <w:rFonts w:ascii="Calibri" w:hAnsi="Calibri" w:cs="Times New Roman"/>
                <w:sz w:val="20"/>
                <w:szCs w:val="20"/>
              </w:rPr>
              <w:t>were</w:t>
            </w:r>
            <w:proofErr w:type="gramEnd"/>
            <w:r w:rsidRPr="009F5F26">
              <w:rPr>
                <w:rFonts w:ascii="Calibri" w:hAnsi="Calibri" w:cs="Times New Roman"/>
                <w:sz w:val="20"/>
                <w:szCs w:val="20"/>
              </w:rPr>
              <w:t xml:space="preserve"> no treatment related adverse effects in male or female rats receiving acute intravenous injection of AH112623 at 1216 mg/kg.</w:t>
            </w:r>
          </w:p>
          <w:p w14:paraId="6FC3C52E" w14:textId="77777777" w:rsidR="009F5F26" w:rsidRPr="009F5F26" w:rsidRDefault="009F5F26" w:rsidP="009F5F26">
            <w:pPr>
              <w:autoSpaceDE w:val="0"/>
              <w:autoSpaceDN w:val="0"/>
              <w:adjustRightInd w:val="0"/>
              <w:rPr>
                <w:rFonts w:ascii="Calibri" w:hAnsi="Calibri" w:cs="Times New Roman"/>
                <w:sz w:val="20"/>
                <w:szCs w:val="20"/>
              </w:rPr>
            </w:pPr>
            <w:r w:rsidRPr="009F5F26">
              <w:rPr>
                <w:rFonts w:ascii="Calibri" w:hAnsi="Calibri" w:cs="Times New Roman"/>
                <w:sz w:val="20"/>
                <w:szCs w:val="20"/>
              </w:rPr>
              <w:t>NOAEL 1216 mg/kg body weight.</w:t>
            </w:r>
          </w:p>
        </w:tc>
      </w:tr>
      <w:tr w:rsidR="009F5F26" w:rsidRPr="009F5F26" w14:paraId="7ABADA90" w14:textId="77777777" w:rsidTr="00E55B59">
        <w:trPr>
          <w:cantSplit/>
        </w:trPr>
        <w:tc>
          <w:tcPr>
            <w:tcW w:w="1607" w:type="pct"/>
          </w:tcPr>
          <w:p w14:paraId="258010C3" w14:textId="77777777" w:rsidR="009F5F26" w:rsidRPr="009F5F26" w:rsidRDefault="009F5F26" w:rsidP="009F5F26">
            <w:pPr>
              <w:rPr>
                <w:rFonts w:ascii="Times New Roman" w:hAnsi="Times New Roman" w:cs="Times New Roman"/>
                <w:sz w:val="20"/>
                <w:szCs w:val="20"/>
              </w:rPr>
            </w:pPr>
            <w:r w:rsidRPr="009F5F26">
              <w:rPr>
                <w:rFonts w:ascii="Calibri" w:hAnsi="Calibri" w:cs="Times New Roman"/>
                <w:sz w:val="20"/>
                <w:szCs w:val="20"/>
              </w:rPr>
              <w:t>An expanded acute dose toxicity study with Intravenously injected AH112615 (PA-TRIS) in male and female rats</w:t>
            </w:r>
          </w:p>
        </w:tc>
        <w:tc>
          <w:tcPr>
            <w:tcW w:w="470" w:type="pct"/>
          </w:tcPr>
          <w:p w14:paraId="3D0FD185" w14:textId="7C461709" w:rsidR="009F5F26" w:rsidRPr="009F5F26" w:rsidRDefault="009F5F26" w:rsidP="009F5F26">
            <w:pPr>
              <w:rPr>
                <w:rFonts w:ascii="Times New Roman" w:hAnsi="Times New Roman" w:cs="Times New Roman"/>
                <w:sz w:val="20"/>
                <w:szCs w:val="20"/>
              </w:rPr>
            </w:pPr>
            <w:r w:rsidRPr="009F5F26">
              <w:rPr>
                <w:rFonts w:ascii="Calibri" w:hAnsi="Calibri" w:cs="Times New Roman"/>
                <w:sz w:val="20"/>
                <w:szCs w:val="20"/>
              </w:rPr>
              <w:t>B101046</w:t>
            </w:r>
          </w:p>
        </w:tc>
        <w:tc>
          <w:tcPr>
            <w:tcW w:w="2924" w:type="pct"/>
          </w:tcPr>
          <w:p w14:paraId="22E5BC80" w14:textId="77777777" w:rsidR="009F5F26" w:rsidRPr="009F5F26" w:rsidRDefault="009F5F26" w:rsidP="009F5F26">
            <w:pPr>
              <w:autoSpaceDE w:val="0"/>
              <w:autoSpaceDN w:val="0"/>
              <w:adjustRightInd w:val="0"/>
              <w:rPr>
                <w:rFonts w:ascii="Calibri" w:hAnsi="Calibri" w:cs="Times New Roman"/>
                <w:sz w:val="20"/>
                <w:szCs w:val="20"/>
              </w:rPr>
            </w:pPr>
            <w:r w:rsidRPr="009F5F26">
              <w:rPr>
                <w:rFonts w:ascii="Calibri" w:hAnsi="Calibri" w:cs="Times New Roman"/>
                <w:sz w:val="20"/>
                <w:szCs w:val="20"/>
              </w:rPr>
              <w:t xml:space="preserve">There </w:t>
            </w:r>
            <w:proofErr w:type="gramStart"/>
            <w:r w:rsidRPr="009F5F26">
              <w:rPr>
                <w:rFonts w:ascii="Calibri" w:hAnsi="Calibri" w:cs="Times New Roman"/>
                <w:sz w:val="20"/>
                <w:szCs w:val="20"/>
              </w:rPr>
              <w:t>were</w:t>
            </w:r>
            <w:proofErr w:type="gramEnd"/>
            <w:r w:rsidRPr="009F5F26">
              <w:rPr>
                <w:rFonts w:ascii="Calibri" w:hAnsi="Calibri" w:cs="Times New Roman"/>
                <w:sz w:val="20"/>
                <w:szCs w:val="20"/>
              </w:rPr>
              <w:t xml:space="preserve"> no treatment related adverse effects in male or female rats receiving acute intravenous injection of AH112615 at 1400 mg/kg.</w:t>
            </w:r>
          </w:p>
          <w:p w14:paraId="627D4487" w14:textId="77777777" w:rsidR="009F5F26" w:rsidRPr="009F5F26" w:rsidRDefault="009F5F26" w:rsidP="009F5F26">
            <w:pPr>
              <w:autoSpaceDE w:val="0"/>
              <w:autoSpaceDN w:val="0"/>
              <w:adjustRightInd w:val="0"/>
              <w:rPr>
                <w:rFonts w:ascii="Calibri" w:hAnsi="Calibri" w:cs="Times New Roman"/>
                <w:sz w:val="20"/>
                <w:szCs w:val="20"/>
              </w:rPr>
            </w:pPr>
            <w:r w:rsidRPr="009F5F26">
              <w:rPr>
                <w:rFonts w:ascii="Calibri" w:hAnsi="Calibri" w:cs="Times New Roman"/>
                <w:sz w:val="20"/>
                <w:szCs w:val="20"/>
              </w:rPr>
              <w:t>NOAEL 1400 mg/kg body weight</w:t>
            </w:r>
          </w:p>
        </w:tc>
      </w:tr>
      <w:tr w:rsidR="009F5F26" w:rsidRPr="009F5F26" w14:paraId="468E9E73" w14:textId="77777777" w:rsidTr="00E55B59">
        <w:trPr>
          <w:cantSplit/>
        </w:trPr>
        <w:tc>
          <w:tcPr>
            <w:tcW w:w="1607" w:type="pct"/>
          </w:tcPr>
          <w:p w14:paraId="6D5FB940" w14:textId="77777777" w:rsidR="009F5F26" w:rsidRPr="009F5F26" w:rsidRDefault="009F5F26" w:rsidP="009F5F26">
            <w:pPr>
              <w:rPr>
                <w:rFonts w:ascii="Times New Roman" w:hAnsi="Times New Roman" w:cs="Times New Roman"/>
                <w:sz w:val="20"/>
                <w:szCs w:val="20"/>
              </w:rPr>
            </w:pPr>
            <w:proofErr w:type="spellStart"/>
            <w:r w:rsidRPr="009F5F26">
              <w:rPr>
                <w:rFonts w:ascii="Calibri" w:hAnsi="Calibri" w:cs="Times New Roman"/>
                <w:sz w:val="20"/>
                <w:szCs w:val="20"/>
              </w:rPr>
              <w:t>Parapyruvate</w:t>
            </w:r>
            <w:proofErr w:type="spellEnd"/>
            <w:r w:rsidRPr="009F5F26">
              <w:rPr>
                <w:rFonts w:ascii="Calibri" w:hAnsi="Calibri" w:cs="Times New Roman"/>
                <w:sz w:val="20"/>
                <w:szCs w:val="20"/>
              </w:rPr>
              <w:t>/Lactone in TRIS Solution: Expanded Acute Dose Toxicity Study in the rat</w:t>
            </w:r>
          </w:p>
        </w:tc>
        <w:tc>
          <w:tcPr>
            <w:tcW w:w="470" w:type="pct"/>
          </w:tcPr>
          <w:p w14:paraId="0C52BEAB" w14:textId="27EEB7FF" w:rsidR="009F5F26" w:rsidRPr="009F5F26" w:rsidRDefault="009F5F26" w:rsidP="009F5F26">
            <w:pPr>
              <w:rPr>
                <w:rFonts w:ascii="Times New Roman" w:hAnsi="Times New Roman" w:cs="Times New Roman"/>
                <w:sz w:val="20"/>
                <w:szCs w:val="20"/>
              </w:rPr>
            </w:pPr>
            <w:r w:rsidRPr="009F5F26">
              <w:rPr>
                <w:rFonts w:ascii="Calibri" w:hAnsi="Calibri" w:cs="Times New Roman"/>
                <w:sz w:val="20"/>
                <w:szCs w:val="20"/>
              </w:rPr>
              <w:t>B101065</w:t>
            </w:r>
          </w:p>
        </w:tc>
        <w:tc>
          <w:tcPr>
            <w:tcW w:w="2924" w:type="pct"/>
          </w:tcPr>
          <w:p w14:paraId="5D6967AF" w14:textId="77777777" w:rsidR="009F5F26" w:rsidRPr="009F5F26" w:rsidRDefault="009F5F26" w:rsidP="009F5F26">
            <w:pPr>
              <w:autoSpaceDE w:val="0"/>
              <w:autoSpaceDN w:val="0"/>
              <w:adjustRightInd w:val="0"/>
              <w:rPr>
                <w:rFonts w:ascii="Calibri" w:hAnsi="Calibri" w:cs="Times New Roman"/>
                <w:sz w:val="20"/>
                <w:szCs w:val="20"/>
              </w:rPr>
            </w:pPr>
            <w:r w:rsidRPr="009F5F26">
              <w:rPr>
                <w:rFonts w:ascii="Calibri" w:hAnsi="Calibri" w:cs="Times New Roman"/>
                <w:sz w:val="20"/>
                <w:szCs w:val="20"/>
              </w:rPr>
              <w:t xml:space="preserve">There </w:t>
            </w:r>
            <w:proofErr w:type="gramStart"/>
            <w:r w:rsidRPr="009F5F26">
              <w:rPr>
                <w:rFonts w:ascii="Calibri" w:hAnsi="Calibri" w:cs="Times New Roman"/>
                <w:sz w:val="20"/>
                <w:szCs w:val="20"/>
              </w:rPr>
              <w:t>were</w:t>
            </w:r>
            <w:proofErr w:type="gramEnd"/>
            <w:r w:rsidRPr="009F5F26">
              <w:rPr>
                <w:rFonts w:ascii="Calibri" w:hAnsi="Calibri" w:cs="Times New Roman"/>
                <w:sz w:val="20"/>
                <w:szCs w:val="20"/>
              </w:rPr>
              <w:t xml:space="preserve"> no treatment related adverse effects in male or female rats receiving single intravenous injection of AH112623/AH113462 at 100 or 200 mg/kg.</w:t>
            </w:r>
          </w:p>
          <w:p w14:paraId="2FBB7BF1" w14:textId="77777777" w:rsidR="009F5F26" w:rsidRPr="009F5F26" w:rsidRDefault="009F5F26" w:rsidP="009F5F26">
            <w:pPr>
              <w:autoSpaceDE w:val="0"/>
              <w:autoSpaceDN w:val="0"/>
              <w:adjustRightInd w:val="0"/>
              <w:rPr>
                <w:rFonts w:ascii="Calibri" w:hAnsi="Calibri" w:cs="Times New Roman"/>
                <w:sz w:val="20"/>
                <w:szCs w:val="20"/>
              </w:rPr>
            </w:pPr>
            <w:r w:rsidRPr="009F5F26">
              <w:rPr>
                <w:rFonts w:ascii="Calibri" w:hAnsi="Calibri" w:cs="Times New Roman"/>
                <w:sz w:val="20"/>
                <w:szCs w:val="20"/>
              </w:rPr>
              <w:t>NOAEL was 200 mg/kg body weight.</w:t>
            </w:r>
          </w:p>
        </w:tc>
      </w:tr>
      <w:tr w:rsidR="009F5F26" w:rsidRPr="009F5F26" w14:paraId="28EFD59B" w14:textId="77777777" w:rsidTr="00E55B59">
        <w:trPr>
          <w:cantSplit/>
        </w:trPr>
        <w:tc>
          <w:tcPr>
            <w:tcW w:w="1607" w:type="pct"/>
          </w:tcPr>
          <w:p w14:paraId="7C212CFA" w14:textId="2E83EABE" w:rsidR="009F5F26" w:rsidRPr="009F5F26" w:rsidRDefault="009F5F26" w:rsidP="00980B07">
            <w:pPr>
              <w:keepNext/>
              <w:autoSpaceDE w:val="0"/>
              <w:autoSpaceDN w:val="0"/>
              <w:adjustRightInd w:val="0"/>
              <w:rPr>
                <w:rFonts w:ascii="Times New Roman" w:hAnsi="Times New Roman" w:cs="Times New Roman"/>
                <w:sz w:val="20"/>
                <w:szCs w:val="20"/>
              </w:rPr>
            </w:pPr>
            <w:r w:rsidRPr="009F5F26">
              <w:rPr>
                <w:rFonts w:ascii="Calibri" w:hAnsi="Calibri" w:cs="Times New Roman"/>
                <w:sz w:val="20"/>
                <w:szCs w:val="20"/>
              </w:rPr>
              <w:t xml:space="preserve">Local tolerance study with AH111501 dissolved in </w:t>
            </w:r>
            <w:r w:rsidRPr="009F5F26">
              <w:rPr>
                <w:rFonts w:ascii="Calibri" w:hAnsi="Calibri" w:cs="Times New Roman"/>
                <w:sz w:val="20"/>
                <w:szCs w:val="20"/>
                <w:vertAlign w:val="superscript"/>
              </w:rPr>
              <w:t>12</w:t>
            </w:r>
            <w:r w:rsidRPr="009F5F26">
              <w:rPr>
                <w:rFonts w:ascii="Calibri" w:hAnsi="Calibri" w:cs="Times New Roman"/>
                <w:sz w:val="20"/>
                <w:szCs w:val="20"/>
              </w:rPr>
              <w:t>C-pyruvate in Rabbits</w:t>
            </w:r>
          </w:p>
        </w:tc>
        <w:tc>
          <w:tcPr>
            <w:tcW w:w="470" w:type="pct"/>
          </w:tcPr>
          <w:p w14:paraId="1FC76610" w14:textId="57F4A3CC" w:rsidR="009F5F26" w:rsidRPr="009F5F26" w:rsidRDefault="009F5F26" w:rsidP="00E55B59">
            <w:pPr>
              <w:keepNext/>
              <w:rPr>
                <w:rFonts w:ascii="Times New Roman" w:hAnsi="Times New Roman" w:cs="Times New Roman"/>
                <w:sz w:val="20"/>
                <w:szCs w:val="20"/>
              </w:rPr>
            </w:pPr>
            <w:r w:rsidRPr="009F5F26">
              <w:rPr>
                <w:rFonts w:ascii="Calibri" w:hAnsi="Calibri" w:cs="Times New Roman"/>
                <w:sz w:val="20"/>
                <w:szCs w:val="20"/>
              </w:rPr>
              <w:t>TNO 5612/08 (B101013)</w:t>
            </w:r>
          </w:p>
        </w:tc>
        <w:tc>
          <w:tcPr>
            <w:tcW w:w="2924" w:type="pct"/>
          </w:tcPr>
          <w:p w14:paraId="3FA33560" w14:textId="77777777" w:rsidR="009F5F26" w:rsidRPr="009F5F26" w:rsidRDefault="009F5F26" w:rsidP="00E55B59">
            <w:pPr>
              <w:keepNext/>
              <w:autoSpaceDE w:val="0"/>
              <w:autoSpaceDN w:val="0"/>
              <w:adjustRightInd w:val="0"/>
              <w:rPr>
                <w:rFonts w:ascii="Calibri" w:hAnsi="Calibri" w:cs="Times New Roman"/>
                <w:sz w:val="20"/>
                <w:szCs w:val="20"/>
              </w:rPr>
            </w:pPr>
            <w:r w:rsidRPr="009F5F26">
              <w:rPr>
                <w:rFonts w:ascii="Calibri" w:hAnsi="Calibri" w:cs="Times New Roman"/>
                <w:b/>
                <w:sz w:val="20"/>
                <w:szCs w:val="20"/>
              </w:rPr>
              <w:t>Intra-arterial:</w:t>
            </w:r>
            <w:r w:rsidRPr="009F5F26">
              <w:rPr>
                <w:rFonts w:ascii="Calibri" w:hAnsi="Calibri" w:cs="Times New Roman"/>
                <w:sz w:val="20"/>
                <w:szCs w:val="20"/>
              </w:rPr>
              <w:t xml:space="preserve"> No signs of intolerance were observed at the injection site in any of the rabbits during the 14-days observation period.</w:t>
            </w:r>
          </w:p>
          <w:p w14:paraId="73437B3D" w14:textId="77777777" w:rsidR="009F5F26" w:rsidRPr="009F5F26" w:rsidRDefault="009F5F26" w:rsidP="00E55B59">
            <w:pPr>
              <w:keepNext/>
              <w:autoSpaceDE w:val="0"/>
              <w:autoSpaceDN w:val="0"/>
              <w:adjustRightInd w:val="0"/>
              <w:rPr>
                <w:rFonts w:ascii="Calibri" w:hAnsi="Calibri" w:cs="Times New Roman"/>
                <w:sz w:val="20"/>
                <w:szCs w:val="20"/>
              </w:rPr>
            </w:pPr>
            <w:r w:rsidRPr="009F5F26">
              <w:rPr>
                <w:rFonts w:ascii="Calibri" w:hAnsi="Calibri" w:cs="Times New Roman"/>
                <w:b/>
                <w:sz w:val="20"/>
                <w:szCs w:val="20"/>
              </w:rPr>
              <w:t>Subcutaneous</w:t>
            </w:r>
            <w:r w:rsidRPr="009F5F26">
              <w:rPr>
                <w:rFonts w:ascii="Calibri" w:hAnsi="Calibri" w:cs="Times New Roman"/>
                <w:sz w:val="20"/>
                <w:szCs w:val="20"/>
              </w:rPr>
              <w:t>: Injection in the subcutis induced a minimal local inflammatory response in one out of four cases, consisting of scattered single cell necrosis and infiltration with granulocytes, macrophages and monocytes.</w:t>
            </w:r>
          </w:p>
          <w:p w14:paraId="7EDBCB6B" w14:textId="77777777" w:rsidR="009F5F26" w:rsidRPr="009F5F26" w:rsidRDefault="009F5F26" w:rsidP="00E55B59">
            <w:pPr>
              <w:keepNext/>
              <w:autoSpaceDE w:val="0"/>
              <w:autoSpaceDN w:val="0"/>
              <w:adjustRightInd w:val="0"/>
              <w:rPr>
                <w:rFonts w:ascii="Calibri" w:hAnsi="Calibri" w:cs="Times New Roman"/>
                <w:sz w:val="20"/>
                <w:szCs w:val="20"/>
              </w:rPr>
            </w:pPr>
            <w:proofErr w:type="spellStart"/>
            <w:r w:rsidRPr="009F5F26">
              <w:rPr>
                <w:rFonts w:ascii="Calibri" w:hAnsi="Calibri" w:cs="Times New Roman"/>
                <w:b/>
                <w:sz w:val="20"/>
                <w:szCs w:val="20"/>
              </w:rPr>
              <w:t>Paravenous</w:t>
            </w:r>
            <w:proofErr w:type="spellEnd"/>
            <w:r w:rsidRPr="009F5F26">
              <w:rPr>
                <w:rFonts w:ascii="Calibri" w:hAnsi="Calibri" w:cs="Times New Roman"/>
                <w:sz w:val="20"/>
                <w:szCs w:val="20"/>
              </w:rPr>
              <w:t xml:space="preserve">: Injection in the </w:t>
            </w:r>
            <w:proofErr w:type="spellStart"/>
            <w:r w:rsidRPr="009F5F26">
              <w:rPr>
                <w:rFonts w:ascii="Calibri" w:hAnsi="Calibri" w:cs="Times New Roman"/>
                <w:sz w:val="20"/>
                <w:szCs w:val="20"/>
              </w:rPr>
              <w:t>paravenous</w:t>
            </w:r>
            <w:proofErr w:type="spellEnd"/>
            <w:r w:rsidRPr="009F5F26">
              <w:rPr>
                <w:rFonts w:ascii="Calibri" w:hAnsi="Calibri" w:cs="Times New Roman"/>
                <w:sz w:val="20"/>
                <w:szCs w:val="20"/>
              </w:rPr>
              <w:t xml:space="preserve"> area induced a moderate local inflammatory response in two out of four cases, generally consisting of hemorrhages, scattered single cell necrosis and infiltration with granulocytes, macrophages and monocytes.</w:t>
            </w:r>
          </w:p>
          <w:p w14:paraId="5117B63D" w14:textId="77777777" w:rsidR="009F5F26" w:rsidRPr="009F5F26" w:rsidRDefault="009F5F26" w:rsidP="00E55B59">
            <w:pPr>
              <w:keepNext/>
              <w:autoSpaceDE w:val="0"/>
              <w:autoSpaceDN w:val="0"/>
              <w:adjustRightInd w:val="0"/>
              <w:rPr>
                <w:rFonts w:ascii="Calibri" w:hAnsi="Calibri" w:cs="Times New Roman"/>
                <w:sz w:val="20"/>
                <w:szCs w:val="20"/>
              </w:rPr>
            </w:pPr>
            <w:r w:rsidRPr="009F5F26">
              <w:rPr>
                <w:rFonts w:ascii="Calibri" w:hAnsi="Calibri" w:cs="Times New Roman"/>
                <w:sz w:val="20"/>
                <w:szCs w:val="20"/>
              </w:rPr>
              <w:t>Intra-muscular: No signs of test item-related local adverse effects</w:t>
            </w:r>
          </w:p>
          <w:p w14:paraId="15B7316E" w14:textId="77777777" w:rsidR="009F5F26" w:rsidRPr="009F5F26" w:rsidRDefault="009F5F26" w:rsidP="00E55B59">
            <w:pPr>
              <w:keepNext/>
              <w:autoSpaceDE w:val="0"/>
              <w:autoSpaceDN w:val="0"/>
              <w:adjustRightInd w:val="0"/>
              <w:rPr>
                <w:rFonts w:ascii="Calibri" w:hAnsi="Calibri" w:cs="Times New Roman"/>
                <w:sz w:val="20"/>
                <w:szCs w:val="20"/>
              </w:rPr>
            </w:pPr>
            <w:r w:rsidRPr="009F5F26">
              <w:rPr>
                <w:rFonts w:ascii="Calibri" w:hAnsi="Calibri" w:cs="Times New Roman"/>
                <w:b/>
                <w:sz w:val="20"/>
                <w:szCs w:val="20"/>
              </w:rPr>
              <w:t>Ocular</w:t>
            </w:r>
            <w:r w:rsidRPr="009F5F26">
              <w:rPr>
                <w:rFonts w:ascii="Calibri" w:hAnsi="Calibri" w:cs="Times New Roman"/>
                <w:sz w:val="20"/>
                <w:szCs w:val="20"/>
              </w:rPr>
              <w:t>: No signs of eye irritation were observed.</w:t>
            </w:r>
          </w:p>
          <w:p w14:paraId="2FF018B0" w14:textId="77777777" w:rsidR="009F5F26" w:rsidRPr="009F5F26" w:rsidRDefault="009F5F26" w:rsidP="00E55B59">
            <w:pPr>
              <w:keepNext/>
              <w:autoSpaceDE w:val="0"/>
              <w:autoSpaceDN w:val="0"/>
              <w:adjustRightInd w:val="0"/>
              <w:rPr>
                <w:rFonts w:ascii="Calibri" w:hAnsi="Calibri" w:cs="Times New Roman"/>
                <w:sz w:val="20"/>
                <w:szCs w:val="20"/>
              </w:rPr>
            </w:pPr>
            <w:r w:rsidRPr="009F5F26">
              <w:rPr>
                <w:rFonts w:ascii="Calibri" w:hAnsi="Calibri" w:cs="Times New Roman"/>
                <w:b/>
                <w:sz w:val="20"/>
                <w:szCs w:val="20"/>
              </w:rPr>
              <w:t>Dermal application</w:t>
            </w:r>
            <w:r w:rsidRPr="009F5F26">
              <w:rPr>
                <w:rFonts w:ascii="Calibri" w:hAnsi="Calibri" w:cs="Times New Roman"/>
                <w:sz w:val="20"/>
                <w:szCs w:val="20"/>
              </w:rPr>
              <w:t>: No signs of skin irritation</w:t>
            </w:r>
          </w:p>
        </w:tc>
      </w:tr>
      <w:tr w:rsidR="009F5F26" w:rsidRPr="009F5F26" w14:paraId="1EA3706C" w14:textId="77777777" w:rsidTr="00E55B59">
        <w:trPr>
          <w:cantSplit/>
        </w:trPr>
        <w:tc>
          <w:tcPr>
            <w:tcW w:w="1607" w:type="pct"/>
          </w:tcPr>
          <w:p w14:paraId="13E26198" w14:textId="77777777" w:rsidR="009F5F26" w:rsidRPr="009F5F26" w:rsidRDefault="009F5F26" w:rsidP="009F5F26">
            <w:pPr>
              <w:autoSpaceDE w:val="0"/>
              <w:autoSpaceDN w:val="0"/>
              <w:adjustRightInd w:val="0"/>
              <w:rPr>
                <w:rFonts w:ascii="Times New Roman" w:hAnsi="Times New Roman" w:cs="Times New Roman"/>
                <w:sz w:val="20"/>
                <w:szCs w:val="20"/>
              </w:rPr>
            </w:pPr>
            <w:r w:rsidRPr="009F5F26">
              <w:rPr>
                <w:rFonts w:ascii="Calibri" w:hAnsi="Calibri" w:cs="Times New Roman"/>
                <w:sz w:val="20"/>
                <w:szCs w:val="20"/>
              </w:rPr>
              <w:t xml:space="preserve">Micronucleus test in bone marrow cells of rats treated intravenously with AH111501 dissolved in </w:t>
            </w:r>
            <w:r w:rsidRPr="009F5F26">
              <w:rPr>
                <w:rFonts w:ascii="Calibri" w:hAnsi="Calibri" w:cs="Times New Roman"/>
                <w:sz w:val="20"/>
                <w:szCs w:val="20"/>
                <w:vertAlign w:val="superscript"/>
              </w:rPr>
              <w:t>13</w:t>
            </w:r>
            <w:r w:rsidRPr="009F5F26">
              <w:rPr>
                <w:rFonts w:ascii="Calibri" w:hAnsi="Calibri" w:cs="Times New Roman"/>
                <w:sz w:val="20"/>
                <w:szCs w:val="20"/>
              </w:rPr>
              <w:t>C pyruvate</w:t>
            </w:r>
          </w:p>
        </w:tc>
        <w:tc>
          <w:tcPr>
            <w:tcW w:w="470" w:type="pct"/>
          </w:tcPr>
          <w:p w14:paraId="6EC6C63A" w14:textId="6F696A06" w:rsidR="009F5F26" w:rsidRPr="009F5F26" w:rsidRDefault="009F5F26" w:rsidP="009F5F26">
            <w:pPr>
              <w:rPr>
                <w:rFonts w:ascii="Times New Roman" w:hAnsi="Times New Roman" w:cs="Times New Roman"/>
                <w:sz w:val="20"/>
                <w:szCs w:val="20"/>
              </w:rPr>
            </w:pPr>
            <w:r w:rsidRPr="009F5F26">
              <w:rPr>
                <w:rFonts w:ascii="Calibri" w:hAnsi="Calibri" w:cs="Times New Roman"/>
                <w:sz w:val="20"/>
                <w:szCs w:val="20"/>
              </w:rPr>
              <w:t>TNO 5604/04 (B101016)</w:t>
            </w:r>
          </w:p>
        </w:tc>
        <w:tc>
          <w:tcPr>
            <w:tcW w:w="2924" w:type="pct"/>
          </w:tcPr>
          <w:p w14:paraId="5AAFA03F" w14:textId="77777777" w:rsidR="009F5F26" w:rsidRPr="009F5F26" w:rsidRDefault="009F5F26" w:rsidP="009F5F26">
            <w:pPr>
              <w:rPr>
                <w:rFonts w:ascii="Calibri" w:hAnsi="Calibri" w:cs="Times New Roman"/>
                <w:sz w:val="20"/>
                <w:szCs w:val="20"/>
              </w:rPr>
            </w:pPr>
            <w:r w:rsidRPr="009F5F26">
              <w:rPr>
                <w:rFonts w:ascii="Calibri" w:hAnsi="Calibri" w:cs="Times New Roman"/>
                <w:sz w:val="20"/>
                <w:szCs w:val="20"/>
              </w:rPr>
              <w:t>500 mM [1-</w:t>
            </w:r>
            <w:r w:rsidRPr="009F5F26">
              <w:rPr>
                <w:rFonts w:ascii="Calibri" w:hAnsi="Calibri" w:cs="Times New Roman"/>
                <w:sz w:val="20"/>
                <w:szCs w:val="20"/>
                <w:vertAlign w:val="superscript"/>
              </w:rPr>
              <w:t>13</w:t>
            </w:r>
            <w:r w:rsidRPr="009F5F26">
              <w:rPr>
                <w:rFonts w:ascii="Calibri" w:hAnsi="Calibri" w:cs="Times New Roman"/>
                <w:sz w:val="20"/>
                <w:szCs w:val="20"/>
              </w:rPr>
              <w:t>C] pyruvate and 0.85 mg/ml AH111501 in 200 mM TRIS/EDTA dissolution medium did not produce chromosomal damage or damage to the mitotic spindle apparatus in the bone marrow indicator cells in male rats.</w:t>
            </w:r>
          </w:p>
        </w:tc>
      </w:tr>
      <w:tr w:rsidR="009F5F26" w:rsidRPr="009F5F26" w14:paraId="7FB21676" w14:textId="77777777" w:rsidTr="00E55B59">
        <w:trPr>
          <w:cantSplit/>
        </w:trPr>
        <w:tc>
          <w:tcPr>
            <w:tcW w:w="1607" w:type="pct"/>
          </w:tcPr>
          <w:p w14:paraId="7F1CA969" w14:textId="77777777" w:rsidR="009F5F26" w:rsidRPr="009F5F26" w:rsidRDefault="009F5F26" w:rsidP="009F5F26">
            <w:pPr>
              <w:rPr>
                <w:rFonts w:ascii="Times New Roman" w:hAnsi="Times New Roman" w:cs="Times New Roman"/>
                <w:sz w:val="20"/>
                <w:szCs w:val="20"/>
              </w:rPr>
            </w:pPr>
            <w:r w:rsidRPr="009F5F26">
              <w:rPr>
                <w:rFonts w:ascii="Calibri" w:hAnsi="Calibri" w:cs="Times New Roman"/>
                <w:sz w:val="20"/>
                <w:szCs w:val="20"/>
              </w:rPr>
              <w:t>Mixture of 500 mM [1-</w:t>
            </w:r>
            <w:r w:rsidRPr="009F5F26">
              <w:rPr>
                <w:rFonts w:ascii="Calibri" w:hAnsi="Calibri" w:cs="Times New Roman"/>
                <w:sz w:val="20"/>
                <w:szCs w:val="20"/>
                <w:vertAlign w:val="superscript"/>
              </w:rPr>
              <w:t>13</w:t>
            </w:r>
            <w:r w:rsidRPr="009F5F26">
              <w:rPr>
                <w:rFonts w:ascii="Calibri" w:hAnsi="Calibri" w:cs="Times New Roman"/>
                <w:sz w:val="20"/>
                <w:szCs w:val="20"/>
              </w:rPr>
              <w:t>C] pyruvic acid and AH111501 sodium salt dissolved in TRIS/EDTA dissolution medium: Detection of DNA damage in the blood of treated rats using the Comet assay</w:t>
            </w:r>
          </w:p>
        </w:tc>
        <w:tc>
          <w:tcPr>
            <w:tcW w:w="470" w:type="pct"/>
          </w:tcPr>
          <w:p w14:paraId="099C1A9B" w14:textId="055177E7" w:rsidR="009F5F26" w:rsidRPr="009F5F26" w:rsidRDefault="009F5F26" w:rsidP="009F5F26">
            <w:pPr>
              <w:rPr>
                <w:rFonts w:ascii="Times New Roman" w:hAnsi="Times New Roman" w:cs="Times New Roman"/>
                <w:sz w:val="20"/>
                <w:szCs w:val="20"/>
              </w:rPr>
            </w:pPr>
            <w:r w:rsidRPr="009F5F26">
              <w:rPr>
                <w:rFonts w:ascii="Calibri" w:hAnsi="Calibri" w:cs="Times New Roman"/>
                <w:sz w:val="20"/>
                <w:szCs w:val="20"/>
              </w:rPr>
              <w:t>Covance 2789/6 (B101057)</w:t>
            </w:r>
          </w:p>
        </w:tc>
        <w:tc>
          <w:tcPr>
            <w:tcW w:w="2924" w:type="pct"/>
          </w:tcPr>
          <w:p w14:paraId="44B570B8" w14:textId="77777777" w:rsidR="009F5F26" w:rsidRPr="009F5F26" w:rsidRDefault="009F5F26" w:rsidP="009F5F26">
            <w:pPr>
              <w:rPr>
                <w:rFonts w:ascii="Calibri" w:hAnsi="Calibri" w:cs="Times New Roman"/>
                <w:sz w:val="20"/>
                <w:szCs w:val="20"/>
              </w:rPr>
            </w:pPr>
            <w:r w:rsidRPr="009F5F26">
              <w:rPr>
                <w:rFonts w:ascii="Calibri" w:hAnsi="Calibri" w:cs="Times New Roman"/>
                <w:sz w:val="20"/>
                <w:szCs w:val="20"/>
              </w:rPr>
              <w:t>500 mM [1-</w:t>
            </w:r>
            <w:r w:rsidRPr="009F5F26">
              <w:rPr>
                <w:rFonts w:ascii="Calibri" w:hAnsi="Calibri" w:cs="Times New Roman"/>
                <w:sz w:val="20"/>
                <w:szCs w:val="20"/>
                <w:vertAlign w:val="superscript"/>
              </w:rPr>
              <w:t>13</w:t>
            </w:r>
            <w:r w:rsidRPr="009F5F26">
              <w:rPr>
                <w:rFonts w:ascii="Calibri" w:hAnsi="Calibri" w:cs="Times New Roman"/>
                <w:sz w:val="20"/>
                <w:szCs w:val="20"/>
              </w:rPr>
              <w:t>C] pyruvate and 0.85 mg/ml AH111501 in 200 mM TRIS/EDTA dissolution medium did not induce DNA damage in the blood of rats treated with up to 1784 mg pyruvate/kg/day on two consecutive days, when analysed 3 h after the last dose administration.</w:t>
            </w:r>
          </w:p>
        </w:tc>
      </w:tr>
      <w:tr w:rsidR="009F5F26" w:rsidRPr="009F5F26" w14:paraId="27CB98B5" w14:textId="77777777" w:rsidTr="00E55B59">
        <w:trPr>
          <w:cantSplit/>
        </w:trPr>
        <w:tc>
          <w:tcPr>
            <w:tcW w:w="1607" w:type="pct"/>
          </w:tcPr>
          <w:p w14:paraId="6E14A1FA" w14:textId="77777777" w:rsidR="009F5F26" w:rsidRPr="009F5F26" w:rsidRDefault="009F5F26" w:rsidP="009F5F26">
            <w:pPr>
              <w:rPr>
                <w:rFonts w:ascii="Times New Roman" w:hAnsi="Times New Roman" w:cs="Times New Roman"/>
                <w:sz w:val="20"/>
                <w:szCs w:val="20"/>
              </w:rPr>
            </w:pPr>
            <w:proofErr w:type="spellStart"/>
            <w:r w:rsidRPr="009F5F26">
              <w:rPr>
                <w:rFonts w:ascii="Calibri" w:hAnsi="Calibri" w:cs="Times New Roman"/>
                <w:sz w:val="20"/>
                <w:szCs w:val="20"/>
              </w:rPr>
              <w:lastRenderedPageBreak/>
              <w:t>Parapyruvate</w:t>
            </w:r>
            <w:proofErr w:type="spellEnd"/>
            <w:r w:rsidRPr="009F5F26">
              <w:rPr>
                <w:rFonts w:ascii="Calibri" w:hAnsi="Calibri" w:cs="Times New Roman"/>
                <w:sz w:val="20"/>
                <w:szCs w:val="20"/>
              </w:rPr>
              <w:t>/ lactone in TRIS solution: induction of micronuclei in the bone marrow of treated rats (GLP)</w:t>
            </w:r>
          </w:p>
        </w:tc>
        <w:tc>
          <w:tcPr>
            <w:tcW w:w="470" w:type="pct"/>
          </w:tcPr>
          <w:p w14:paraId="2896F06E" w14:textId="6E7DEB3E" w:rsidR="009F5F26" w:rsidRPr="009F5F26" w:rsidRDefault="009F5F26" w:rsidP="009F5F26">
            <w:pPr>
              <w:rPr>
                <w:rFonts w:ascii="Times New Roman" w:hAnsi="Times New Roman" w:cs="Times New Roman"/>
                <w:sz w:val="20"/>
                <w:szCs w:val="20"/>
              </w:rPr>
            </w:pPr>
            <w:r w:rsidRPr="009F5F26">
              <w:rPr>
                <w:rFonts w:ascii="Calibri" w:hAnsi="Calibri" w:cs="Times New Roman"/>
                <w:sz w:val="20"/>
                <w:szCs w:val="20"/>
              </w:rPr>
              <w:t>Covance 2789/10/(B101064)</w:t>
            </w:r>
          </w:p>
        </w:tc>
        <w:tc>
          <w:tcPr>
            <w:tcW w:w="2924" w:type="pct"/>
          </w:tcPr>
          <w:p w14:paraId="41926222" w14:textId="77777777" w:rsidR="009F5F26" w:rsidRPr="009F5F26" w:rsidRDefault="009F5F26" w:rsidP="009F5F26">
            <w:pPr>
              <w:rPr>
                <w:rFonts w:ascii="Calibri" w:hAnsi="Calibri" w:cs="Times New Roman"/>
                <w:sz w:val="20"/>
                <w:szCs w:val="20"/>
              </w:rPr>
            </w:pPr>
            <w:proofErr w:type="spellStart"/>
            <w:r w:rsidRPr="009F5F26">
              <w:rPr>
                <w:rFonts w:ascii="Calibri" w:hAnsi="Calibri" w:cs="Times New Roman"/>
                <w:sz w:val="20"/>
                <w:szCs w:val="20"/>
              </w:rPr>
              <w:t>Parapyruvate</w:t>
            </w:r>
            <w:proofErr w:type="spellEnd"/>
            <w:r w:rsidRPr="009F5F26">
              <w:rPr>
                <w:rFonts w:ascii="Calibri" w:hAnsi="Calibri" w:cs="Times New Roman"/>
                <w:sz w:val="20"/>
                <w:szCs w:val="20"/>
              </w:rPr>
              <w:t xml:space="preserve">/lactone in TRIS solution did not induce micronuclei in the polychromatic erythrocytes of the bone marrow of male rats treated up to the dose of 200 mg/kg (the maximum practicable dose) following both 24 and </w:t>
            </w:r>
            <w:r w:rsidR="008871CD" w:rsidRPr="009F5F26">
              <w:rPr>
                <w:rFonts w:ascii="Calibri" w:hAnsi="Calibri" w:cs="Times New Roman"/>
                <w:sz w:val="20"/>
                <w:szCs w:val="20"/>
              </w:rPr>
              <w:t>48-hour</w:t>
            </w:r>
            <w:r w:rsidRPr="009F5F26">
              <w:rPr>
                <w:rFonts w:ascii="Calibri" w:hAnsi="Calibri" w:cs="Times New Roman"/>
                <w:sz w:val="20"/>
                <w:szCs w:val="20"/>
              </w:rPr>
              <w:t xml:space="preserve"> sampling.</w:t>
            </w:r>
          </w:p>
        </w:tc>
      </w:tr>
      <w:tr w:rsidR="009F5F26" w:rsidRPr="009F5F26" w14:paraId="0C75F854" w14:textId="77777777" w:rsidTr="00E55B59">
        <w:trPr>
          <w:cantSplit/>
        </w:trPr>
        <w:tc>
          <w:tcPr>
            <w:tcW w:w="1607" w:type="pct"/>
          </w:tcPr>
          <w:p w14:paraId="48AE0FE0" w14:textId="77777777" w:rsidR="009F5F26" w:rsidRPr="009F5F26" w:rsidRDefault="009F5F26" w:rsidP="009F5F26">
            <w:pPr>
              <w:rPr>
                <w:rFonts w:ascii="Times New Roman" w:hAnsi="Times New Roman" w:cs="Times New Roman"/>
                <w:sz w:val="20"/>
                <w:szCs w:val="20"/>
              </w:rPr>
            </w:pPr>
            <w:r w:rsidRPr="009F5F26">
              <w:rPr>
                <w:rFonts w:ascii="Calibri" w:hAnsi="Calibri" w:cs="Times New Roman"/>
                <w:sz w:val="20"/>
                <w:szCs w:val="20"/>
              </w:rPr>
              <w:t xml:space="preserve">Formulation containing 557 </w:t>
            </w:r>
            <w:proofErr w:type="spellStart"/>
            <w:r w:rsidRPr="009F5F26">
              <w:rPr>
                <w:rFonts w:ascii="Calibri" w:hAnsi="Calibri" w:cs="Times New Roman"/>
                <w:sz w:val="20"/>
                <w:szCs w:val="20"/>
              </w:rPr>
              <w:t>μM</w:t>
            </w:r>
            <w:proofErr w:type="spellEnd"/>
            <w:r w:rsidRPr="009F5F26">
              <w:rPr>
                <w:rFonts w:ascii="Calibri" w:hAnsi="Calibri" w:cs="Times New Roman"/>
                <w:sz w:val="20"/>
                <w:szCs w:val="20"/>
              </w:rPr>
              <w:t xml:space="preserve"> AH111501 and 500 mM </w:t>
            </w:r>
            <w:r w:rsidRPr="009F5F26">
              <w:rPr>
                <w:rFonts w:ascii="Calibri" w:hAnsi="Calibri" w:cs="Times New Roman"/>
                <w:sz w:val="20"/>
                <w:szCs w:val="20"/>
                <w:vertAlign w:val="superscript"/>
              </w:rPr>
              <w:t>13</w:t>
            </w:r>
            <w:r w:rsidRPr="009F5F26">
              <w:rPr>
                <w:rFonts w:ascii="Calibri" w:hAnsi="Calibri" w:cs="Times New Roman"/>
                <w:sz w:val="20"/>
                <w:szCs w:val="20"/>
              </w:rPr>
              <w:t xml:space="preserve">C Pyruvate (AH110896) in 200 mM TRIS: Reverse Mutation in five Histidine requiring strains of </w:t>
            </w:r>
            <w:r w:rsidRPr="009F5F26">
              <w:rPr>
                <w:rFonts w:ascii="Calibri" w:hAnsi="Calibri" w:cs="Times New Roman"/>
                <w:i/>
                <w:iCs/>
                <w:sz w:val="20"/>
                <w:szCs w:val="20"/>
              </w:rPr>
              <w:t>Salmonella</w:t>
            </w:r>
            <w:r w:rsidRPr="009F5F26">
              <w:rPr>
                <w:rFonts w:ascii="Calibri" w:hAnsi="Calibri" w:cs="Times New Roman"/>
                <w:sz w:val="20"/>
                <w:szCs w:val="20"/>
              </w:rPr>
              <w:t xml:space="preserve"> </w:t>
            </w:r>
            <w:r w:rsidRPr="009F5F26">
              <w:rPr>
                <w:rFonts w:ascii="Calibri" w:hAnsi="Calibri" w:cs="Times New Roman"/>
                <w:i/>
                <w:iCs/>
                <w:sz w:val="20"/>
                <w:szCs w:val="20"/>
              </w:rPr>
              <w:t>typhimurium</w:t>
            </w:r>
          </w:p>
        </w:tc>
        <w:tc>
          <w:tcPr>
            <w:tcW w:w="470" w:type="pct"/>
          </w:tcPr>
          <w:p w14:paraId="58A3E016" w14:textId="12C6587D" w:rsidR="009F5F26" w:rsidRPr="009F5F26" w:rsidRDefault="009F5F26" w:rsidP="009F5F26">
            <w:pPr>
              <w:rPr>
                <w:rFonts w:ascii="Times New Roman" w:hAnsi="Times New Roman" w:cs="Times New Roman"/>
                <w:sz w:val="20"/>
                <w:szCs w:val="20"/>
              </w:rPr>
            </w:pPr>
            <w:r w:rsidRPr="009F5F26">
              <w:rPr>
                <w:rFonts w:ascii="Calibri" w:hAnsi="Calibri" w:cs="Times New Roman"/>
                <w:sz w:val="20"/>
                <w:szCs w:val="20"/>
              </w:rPr>
              <w:t>Covance 2570/03 (B101043)</w:t>
            </w:r>
          </w:p>
        </w:tc>
        <w:tc>
          <w:tcPr>
            <w:tcW w:w="2924" w:type="pct"/>
          </w:tcPr>
          <w:p w14:paraId="21D8926C" w14:textId="77777777" w:rsidR="009F5F26" w:rsidRPr="009F5F26" w:rsidRDefault="009F5F26" w:rsidP="009F5F26">
            <w:pPr>
              <w:rPr>
                <w:rFonts w:ascii="Calibri" w:hAnsi="Calibri" w:cs="Times New Roman"/>
                <w:sz w:val="20"/>
                <w:szCs w:val="20"/>
              </w:rPr>
            </w:pPr>
            <w:r w:rsidRPr="009F5F26">
              <w:rPr>
                <w:rFonts w:ascii="Calibri" w:hAnsi="Calibri" w:cs="Times New Roman"/>
                <w:sz w:val="20"/>
                <w:szCs w:val="20"/>
              </w:rPr>
              <w:t>500 mM [1-</w:t>
            </w:r>
            <w:r w:rsidRPr="009F5F26">
              <w:rPr>
                <w:rFonts w:ascii="Calibri" w:hAnsi="Calibri" w:cs="Times New Roman"/>
                <w:sz w:val="20"/>
                <w:szCs w:val="20"/>
                <w:vertAlign w:val="superscript"/>
              </w:rPr>
              <w:t>13</w:t>
            </w:r>
            <w:r w:rsidRPr="009F5F26">
              <w:rPr>
                <w:rFonts w:ascii="Calibri" w:hAnsi="Calibri" w:cs="Times New Roman"/>
                <w:sz w:val="20"/>
                <w:szCs w:val="20"/>
              </w:rPr>
              <w:t xml:space="preserve">C] pyruvate and 0.85 mg/ml AH111501 in 200 mM TRIS/EDTA dissolution medium did not induce mutation in five histidine requiring strains (TA98, TA100, TA1535, TA1537 and TA102) of </w:t>
            </w:r>
            <w:r w:rsidRPr="009F5F26">
              <w:rPr>
                <w:rFonts w:ascii="Calibri" w:hAnsi="Calibri" w:cs="Times New Roman"/>
                <w:i/>
                <w:sz w:val="20"/>
                <w:szCs w:val="20"/>
              </w:rPr>
              <w:t>Salmonella typhimurium</w:t>
            </w:r>
            <w:r w:rsidRPr="009F5F26">
              <w:rPr>
                <w:rFonts w:ascii="Calibri" w:hAnsi="Calibri" w:cs="Times New Roman"/>
                <w:sz w:val="20"/>
                <w:szCs w:val="20"/>
              </w:rPr>
              <w:t xml:space="preserve"> when tested under the conditions of this study. These conditions included treatments at amounts up to 5352 </w:t>
            </w:r>
            <w:proofErr w:type="spellStart"/>
            <w:r w:rsidRPr="009F5F26">
              <w:rPr>
                <w:rFonts w:ascii="Calibri" w:hAnsi="Calibri" w:cs="Times New Roman"/>
                <w:sz w:val="20"/>
                <w:szCs w:val="20"/>
              </w:rPr>
              <w:t>μg</w:t>
            </w:r>
            <w:proofErr w:type="spellEnd"/>
            <w:r w:rsidRPr="009F5F26">
              <w:rPr>
                <w:rFonts w:ascii="Calibri" w:hAnsi="Calibri" w:cs="Times New Roman"/>
                <w:sz w:val="20"/>
                <w:szCs w:val="20"/>
              </w:rPr>
              <w:t>/plate, in the absence and in the presence of a rat liver metabolic activation system (S- 9).</w:t>
            </w:r>
          </w:p>
        </w:tc>
      </w:tr>
      <w:tr w:rsidR="009F5F26" w:rsidRPr="009F5F26" w14:paraId="3BC95DF6" w14:textId="77777777" w:rsidTr="00E55B59">
        <w:trPr>
          <w:cantSplit/>
        </w:trPr>
        <w:tc>
          <w:tcPr>
            <w:tcW w:w="1607" w:type="pct"/>
          </w:tcPr>
          <w:p w14:paraId="24C45FBF" w14:textId="77777777" w:rsidR="009F5F26" w:rsidRPr="009F5F26" w:rsidRDefault="009F5F26" w:rsidP="009F5F26">
            <w:pPr>
              <w:autoSpaceDE w:val="0"/>
              <w:autoSpaceDN w:val="0"/>
              <w:adjustRightInd w:val="0"/>
              <w:rPr>
                <w:rFonts w:ascii="Calibri" w:hAnsi="Calibri" w:cs="Times New Roman"/>
                <w:sz w:val="20"/>
                <w:szCs w:val="20"/>
              </w:rPr>
            </w:pPr>
            <w:r w:rsidRPr="009F5F26">
              <w:rPr>
                <w:rFonts w:ascii="Calibri" w:hAnsi="Calibri" w:cs="Times New Roman"/>
                <w:sz w:val="20"/>
                <w:szCs w:val="20"/>
              </w:rPr>
              <w:t>Formulation containing 557μM</w:t>
            </w:r>
          </w:p>
          <w:p w14:paraId="1C99E2D4" w14:textId="77777777" w:rsidR="009F5F26" w:rsidRPr="009F5F26" w:rsidRDefault="009F5F26" w:rsidP="009F5F26">
            <w:pPr>
              <w:autoSpaceDE w:val="0"/>
              <w:autoSpaceDN w:val="0"/>
              <w:adjustRightInd w:val="0"/>
              <w:rPr>
                <w:rFonts w:ascii="Calibri" w:hAnsi="Calibri" w:cs="Times New Roman"/>
                <w:sz w:val="20"/>
                <w:szCs w:val="20"/>
              </w:rPr>
            </w:pPr>
            <w:r w:rsidRPr="009F5F26">
              <w:rPr>
                <w:rFonts w:ascii="Calibri" w:hAnsi="Calibri" w:cs="Times New Roman"/>
                <w:sz w:val="20"/>
                <w:szCs w:val="20"/>
              </w:rPr>
              <w:t xml:space="preserve">AH111501 and 500 </w:t>
            </w:r>
            <w:proofErr w:type="spellStart"/>
            <w:r w:rsidRPr="009F5F26">
              <w:rPr>
                <w:rFonts w:ascii="Calibri" w:hAnsi="Calibri" w:cs="Times New Roman"/>
                <w:sz w:val="20"/>
                <w:szCs w:val="20"/>
              </w:rPr>
              <w:t>mμ</w:t>
            </w:r>
            <w:proofErr w:type="spellEnd"/>
            <w:r w:rsidRPr="009F5F26">
              <w:rPr>
                <w:rFonts w:ascii="Calibri" w:hAnsi="Calibri" w:cs="Times New Roman"/>
                <w:sz w:val="20"/>
                <w:szCs w:val="20"/>
              </w:rPr>
              <w:t xml:space="preserve"> </w:t>
            </w:r>
            <w:r w:rsidRPr="009F5F26">
              <w:rPr>
                <w:rFonts w:ascii="Calibri" w:hAnsi="Calibri" w:cs="Times New Roman"/>
                <w:sz w:val="20"/>
                <w:szCs w:val="20"/>
                <w:vertAlign w:val="superscript"/>
              </w:rPr>
              <w:t>13</w:t>
            </w:r>
            <w:r w:rsidRPr="009F5F26">
              <w:rPr>
                <w:rFonts w:ascii="Calibri" w:hAnsi="Calibri" w:cs="Times New Roman"/>
                <w:sz w:val="20"/>
                <w:szCs w:val="20"/>
              </w:rPr>
              <w:t>C Pyruvate (AH110896 in 200 mM TRIS): Mutation at the Thymidine Kinase (</w:t>
            </w:r>
            <w:proofErr w:type="spellStart"/>
            <w:r w:rsidRPr="009F5F26">
              <w:rPr>
                <w:rFonts w:ascii="Calibri" w:hAnsi="Calibri" w:cs="Times New Roman"/>
                <w:i/>
                <w:iCs/>
                <w:sz w:val="20"/>
                <w:szCs w:val="20"/>
              </w:rPr>
              <w:t>tk</w:t>
            </w:r>
            <w:proofErr w:type="spellEnd"/>
            <w:r w:rsidRPr="009F5F26">
              <w:rPr>
                <w:rFonts w:ascii="Calibri" w:hAnsi="Calibri" w:cs="Times New Roman"/>
                <w:sz w:val="20"/>
                <w:szCs w:val="20"/>
              </w:rPr>
              <w:t>) Locus of Mouse</w:t>
            </w:r>
          </w:p>
          <w:p w14:paraId="569F9A95" w14:textId="77777777" w:rsidR="009F5F26" w:rsidRPr="009F5F26" w:rsidRDefault="009F5F26" w:rsidP="009F5F26">
            <w:pPr>
              <w:autoSpaceDE w:val="0"/>
              <w:autoSpaceDN w:val="0"/>
              <w:adjustRightInd w:val="0"/>
              <w:rPr>
                <w:rFonts w:ascii="Times New Roman" w:hAnsi="Times New Roman" w:cs="Times New Roman"/>
                <w:sz w:val="20"/>
                <w:szCs w:val="20"/>
              </w:rPr>
            </w:pPr>
            <w:r w:rsidRPr="009F5F26">
              <w:rPr>
                <w:rFonts w:ascii="Calibri" w:hAnsi="Calibri" w:cs="Times New Roman"/>
                <w:sz w:val="20"/>
                <w:szCs w:val="20"/>
              </w:rPr>
              <w:t xml:space="preserve">Lymphoma L5178Y Cells (MLA) using the </w:t>
            </w:r>
            <w:proofErr w:type="spellStart"/>
            <w:r w:rsidRPr="009F5F26">
              <w:rPr>
                <w:rFonts w:ascii="Calibri" w:hAnsi="Calibri" w:cs="Times New Roman"/>
                <w:sz w:val="20"/>
                <w:szCs w:val="20"/>
              </w:rPr>
              <w:t>Microtitre</w:t>
            </w:r>
            <w:r w:rsidRPr="009F5F26">
              <w:rPr>
                <w:rFonts w:ascii="Calibri" w:hAnsi="Calibri" w:cs="Times New Roman"/>
                <w:sz w:val="20"/>
                <w:szCs w:val="20"/>
                <w:vertAlign w:val="superscript"/>
              </w:rPr>
              <w:t>R</w:t>
            </w:r>
            <w:proofErr w:type="spellEnd"/>
            <w:r w:rsidRPr="009F5F26">
              <w:rPr>
                <w:rFonts w:ascii="Calibri" w:hAnsi="Calibri" w:cs="Times New Roman"/>
                <w:sz w:val="20"/>
                <w:szCs w:val="20"/>
              </w:rPr>
              <w:t xml:space="preserve"> Fluctuation Technique</w:t>
            </w:r>
          </w:p>
        </w:tc>
        <w:tc>
          <w:tcPr>
            <w:tcW w:w="470" w:type="pct"/>
          </w:tcPr>
          <w:p w14:paraId="43FA2F7A" w14:textId="56CB16EC" w:rsidR="009F5F26" w:rsidRPr="009F5F26" w:rsidRDefault="009F5F26" w:rsidP="009F5F26">
            <w:pPr>
              <w:rPr>
                <w:rFonts w:ascii="Times New Roman" w:hAnsi="Times New Roman" w:cs="Times New Roman"/>
                <w:sz w:val="20"/>
                <w:szCs w:val="20"/>
              </w:rPr>
            </w:pPr>
            <w:r w:rsidRPr="009F5F26">
              <w:rPr>
                <w:rFonts w:ascii="Calibri" w:hAnsi="Calibri" w:cs="Times New Roman"/>
                <w:sz w:val="20"/>
                <w:szCs w:val="20"/>
              </w:rPr>
              <w:t>Covance 2570/04 (B101045)</w:t>
            </w:r>
          </w:p>
        </w:tc>
        <w:tc>
          <w:tcPr>
            <w:tcW w:w="2924" w:type="pct"/>
          </w:tcPr>
          <w:p w14:paraId="6FFC43FE" w14:textId="77777777" w:rsidR="009F5F26" w:rsidRPr="009F5F26" w:rsidRDefault="009F5F26" w:rsidP="009F5F26">
            <w:pPr>
              <w:rPr>
                <w:rFonts w:ascii="Calibri" w:hAnsi="Calibri" w:cs="Times New Roman"/>
                <w:sz w:val="20"/>
                <w:szCs w:val="20"/>
              </w:rPr>
            </w:pPr>
            <w:r w:rsidRPr="009F5F26">
              <w:rPr>
                <w:rFonts w:ascii="Calibri" w:hAnsi="Calibri" w:cs="Times New Roman"/>
                <w:sz w:val="20"/>
                <w:szCs w:val="20"/>
              </w:rPr>
              <w:t xml:space="preserve"> 500 mM [1-</w:t>
            </w:r>
            <w:r w:rsidRPr="009F5F26">
              <w:rPr>
                <w:rFonts w:ascii="Calibri" w:hAnsi="Calibri" w:cs="Times New Roman"/>
                <w:sz w:val="20"/>
                <w:szCs w:val="20"/>
                <w:vertAlign w:val="superscript"/>
              </w:rPr>
              <w:t>13</w:t>
            </w:r>
            <w:r w:rsidRPr="009F5F26">
              <w:rPr>
                <w:rFonts w:ascii="Calibri" w:hAnsi="Calibri" w:cs="Times New Roman"/>
                <w:sz w:val="20"/>
                <w:szCs w:val="20"/>
              </w:rPr>
              <w:t xml:space="preserve">C] pyruvate and 0.85 mg/ml AH111501 in 200 mM TRIS/EDTA dissolution medium induced mutation at the </w:t>
            </w:r>
            <w:proofErr w:type="spellStart"/>
            <w:r w:rsidRPr="009F5F26">
              <w:rPr>
                <w:rFonts w:ascii="Calibri" w:hAnsi="Calibri" w:cs="Times New Roman"/>
                <w:sz w:val="20"/>
                <w:szCs w:val="20"/>
              </w:rPr>
              <w:t>tk</w:t>
            </w:r>
            <w:proofErr w:type="spellEnd"/>
            <w:r w:rsidRPr="009F5F26">
              <w:rPr>
                <w:rFonts w:ascii="Calibri" w:hAnsi="Calibri" w:cs="Times New Roman"/>
                <w:sz w:val="20"/>
                <w:szCs w:val="20"/>
              </w:rPr>
              <w:t xml:space="preserve"> locus of L5178Y mouse lymphoma cells when tested under the conditions employed in this study. These conditions included treatments up to toxic concentrations for 24 h in the absence of a rat liver metabolic activation system (S-9) and up to approximately 5000 </w:t>
            </w:r>
            <w:proofErr w:type="spellStart"/>
            <w:r w:rsidRPr="009F5F26">
              <w:rPr>
                <w:rFonts w:ascii="Calibri" w:hAnsi="Calibri" w:cs="Times New Roman"/>
                <w:sz w:val="20"/>
                <w:szCs w:val="20"/>
              </w:rPr>
              <w:t>μg</w:t>
            </w:r>
            <w:proofErr w:type="spellEnd"/>
            <w:r w:rsidRPr="009F5F26">
              <w:rPr>
                <w:rFonts w:ascii="Calibri" w:hAnsi="Calibri" w:cs="Times New Roman"/>
                <w:sz w:val="20"/>
                <w:szCs w:val="20"/>
              </w:rPr>
              <w:t xml:space="preserve">/ml for 3 h in the absence and presence of S-9. The mutagenic activity following </w:t>
            </w:r>
            <w:r w:rsidR="00DA13E4" w:rsidRPr="009F5F26">
              <w:rPr>
                <w:rFonts w:ascii="Calibri" w:hAnsi="Calibri" w:cs="Times New Roman"/>
                <w:sz w:val="20"/>
                <w:szCs w:val="20"/>
              </w:rPr>
              <w:t>3-hour</w:t>
            </w:r>
            <w:r w:rsidRPr="009F5F26">
              <w:rPr>
                <w:rFonts w:ascii="Calibri" w:hAnsi="Calibri" w:cs="Times New Roman"/>
                <w:sz w:val="20"/>
                <w:szCs w:val="20"/>
              </w:rPr>
              <w:t xml:space="preserve"> treatments in the absence and presence of S-9 was observed at concentrations at which marked increases in osmolality were also seen.</w:t>
            </w:r>
          </w:p>
        </w:tc>
      </w:tr>
      <w:tr w:rsidR="009F5F26" w:rsidRPr="009F5F26" w14:paraId="11A7EF8C" w14:textId="77777777" w:rsidTr="00E55B59">
        <w:trPr>
          <w:cantSplit/>
        </w:trPr>
        <w:tc>
          <w:tcPr>
            <w:tcW w:w="1607" w:type="pct"/>
          </w:tcPr>
          <w:p w14:paraId="5973558C" w14:textId="244CBF30" w:rsidR="009F5F26" w:rsidRPr="009F5F26" w:rsidRDefault="009F5F26" w:rsidP="008E6BDC">
            <w:pPr>
              <w:keepNext/>
              <w:autoSpaceDE w:val="0"/>
              <w:autoSpaceDN w:val="0"/>
              <w:adjustRightInd w:val="0"/>
              <w:rPr>
                <w:rFonts w:ascii="Times New Roman" w:hAnsi="Times New Roman" w:cs="Times New Roman"/>
                <w:sz w:val="20"/>
                <w:szCs w:val="20"/>
              </w:rPr>
            </w:pPr>
            <w:proofErr w:type="spellStart"/>
            <w:r w:rsidRPr="009F5F26">
              <w:rPr>
                <w:rFonts w:ascii="Calibri" w:hAnsi="Calibri" w:cs="Times New Roman"/>
                <w:sz w:val="20"/>
                <w:szCs w:val="20"/>
              </w:rPr>
              <w:t>Parapyruvate</w:t>
            </w:r>
            <w:proofErr w:type="spellEnd"/>
            <w:r w:rsidRPr="009F5F26">
              <w:rPr>
                <w:rFonts w:ascii="Calibri" w:hAnsi="Calibri" w:cs="Times New Roman"/>
                <w:sz w:val="20"/>
                <w:szCs w:val="20"/>
              </w:rPr>
              <w:t xml:space="preserve">: Reverse mutation in five histidine requiring strains of </w:t>
            </w:r>
            <w:r w:rsidRPr="009F5F26">
              <w:rPr>
                <w:rFonts w:ascii="Calibri" w:hAnsi="Calibri" w:cs="Times New Roman"/>
                <w:i/>
                <w:iCs/>
                <w:sz w:val="20"/>
                <w:szCs w:val="20"/>
              </w:rPr>
              <w:t>Salmonella</w:t>
            </w:r>
            <w:r w:rsidRPr="009F5F26">
              <w:rPr>
                <w:rFonts w:ascii="Calibri" w:hAnsi="Calibri" w:cs="Times New Roman"/>
                <w:sz w:val="20"/>
                <w:szCs w:val="20"/>
              </w:rPr>
              <w:t xml:space="preserve"> </w:t>
            </w:r>
            <w:r w:rsidRPr="009F5F26">
              <w:rPr>
                <w:rFonts w:ascii="Calibri" w:hAnsi="Calibri" w:cs="Times New Roman"/>
                <w:i/>
                <w:iCs/>
                <w:sz w:val="20"/>
                <w:szCs w:val="20"/>
              </w:rPr>
              <w:t>typhimurium</w:t>
            </w:r>
          </w:p>
        </w:tc>
        <w:tc>
          <w:tcPr>
            <w:tcW w:w="470" w:type="pct"/>
          </w:tcPr>
          <w:p w14:paraId="38A5C73B" w14:textId="77777777" w:rsidR="009F5F26" w:rsidRPr="009F5F26" w:rsidRDefault="009F5F26" w:rsidP="00E55B59">
            <w:pPr>
              <w:keepNext/>
              <w:rPr>
                <w:rFonts w:ascii="Calibri" w:hAnsi="Calibri" w:cs="Times New Roman"/>
                <w:sz w:val="20"/>
                <w:szCs w:val="20"/>
              </w:rPr>
            </w:pPr>
            <w:r w:rsidRPr="009F5F26">
              <w:rPr>
                <w:rFonts w:ascii="Calibri" w:hAnsi="Calibri" w:cs="Times New Roman"/>
                <w:sz w:val="20"/>
                <w:szCs w:val="20"/>
              </w:rPr>
              <w:t>Covance</w:t>
            </w:r>
          </w:p>
          <w:p w14:paraId="4AD90770" w14:textId="37272BFD" w:rsidR="009F5F26" w:rsidRPr="009F5F26" w:rsidRDefault="009F5F26" w:rsidP="00E55B59">
            <w:pPr>
              <w:keepNext/>
              <w:rPr>
                <w:rFonts w:ascii="Times New Roman" w:hAnsi="Times New Roman" w:cs="Times New Roman"/>
                <w:sz w:val="20"/>
                <w:szCs w:val="20"/>
              </w:rPr>
            </w:pPr>
            <w:r w:rsidRPr="009F5F26">
              <w:rPr>
                <w:rFonts w:ascii="Calibri" w:hAnsi="Calibri" w:cs="Times New Roman"/>
                <w:sz w:val="20"/>
                <w:szCs w:val="20"/>
              </w:rPr>
              <w:t>2570/05 (B101042)</w:t>
            </w:r>
          </w:p>
        </w:tc>
        <w:tc>
          <w:tcPr>
            <w:tcW w:w="2924" w:type="pct"/>
          </w:tcPr>
          <w:p w14:paraId="02FF27D6" w14:textId="77777777" w:rsidR="009F5F26" w:rsidRPr="009F5F26" w:rsidRDefault="009F5F26" w:rsidP="00E55B59">
            <w:pPr>
              <w:keepNext/>
              <w:autoSpaceDE w:val="0"/>
              <w:autoSpaceDN w:val="0"/>
              <w:adjustRightInd w:val="0"/>
              <w:rPr>
                <w:rFonts w:ascii="Calibri" w:hAnsi="Calibri" w:cs="Times New Roman"/>
                <w:sz w:val="20"/>
                <w:szCs w:val="20"/>
              </w:rPr>
            </w:pPr>
            <w:r w:rsidRPr="009F5F26">
              <w:rPr>
                <w:rFonts w:ascii="Calibri" w:hAnsi="Calibri" w:cs="Times New Roman"/>
                <w:sz w:val="20"/>
                <w:szCs w:val="20"/>
              </w:rPr>
              <w:t xml:space="preserve"> AH112623 did not induce mutation in five histidine-requiring strains (TA98, TA100, TA1535, TA1537 and TA102) of </w:t>
            </w:r>
            <w:r w:rsidRPr="009F5F26">
              <w:rPr>
                <w:rFonts w:ascii="Calibri" w:hAnsi="Calibri" w:cs="Times New Roman"/>
                <w:i/>
                <w:sz w:val="20"/>
                <w:szCs w:val="20"/>
              </w:rPr>
              <w:t>Salmonella typhimurium</w:t>
            </w:r>
            <w:r w:rsidRPr="009F5F26">
              <w:rPr>
                <w:rFonts w:ascii="Calibri" w:hAnsi="Calibri" w:cs="Times New Roman"/>
                <w:sz w:val="20"/>
                <w:szCs w:val="20"/>
              </w:rPr>
              <w:t xml:space="preserve"> when tested under the conditions of this study. These conditions included treatments at amounts up to 5000 </w:t>
            </w:r>
            <w:proofErr w:type="spellStart"/>
            <w:r w:rsidRPr="009F5F26">
              <w:rPr>
                <w:rFonts w:ascii="Calibri" w:hAnsi="Calibri" w:cs="Times New Roman"/>
                <w:sz w:val="20"/>
                <w:szCs w:val="20"/>
              </w:rPr>
              <w:t>μg</w:t>
            </w:r>
            <w:proofErr w:type="spellEnd"/>
            <w:r w:rsidRPr="009F5F26">
              <w:rPr>
                <w:rFonts w:ascii="Calibri" w:hAnsi="Calibri" w:cs="Times New Roman"/>
                <w:sz w:val="20"/>
                <w:szCs w:val="20"/>
              </w:rPr>
              <w:t xml:space="preserve">/plate, in the absence and in the presence of a rat liver metabolic activation system (S-9). </w:t>
            </w:r>
          </w:p>
        </w:tc>
      </w:tr>
      <w:tr w:rsidR="009F5F26" w:rsidRPr="009F5F26" w14:paraId="01E23E67" w14:textId="77777777" w:rsidTr="00E55B59">
        <w:trPr>
          <w:cantSplit/>
        </w:trPr>
        <w:tc>
          <w:tcPr>
            <w:tcW w:w="1607" w:type="pct"/>
          </w:tcPr>
          <w:p w14:paraId="729D872E" w14:textId="77777777" w:rsidR="009F5F26" w:rsidRPr="009F5F26" w:rsidRDefault="009F5F26" w:rsidP="009F5F26">
            <w:pPr>
              <w:autoSpaceDE w:val="0"/>
              <w:autoSpaceDN w:val="0"/>
              <w:adjustRightInd w:val="0"/>
              <w:rPr>
                <w:rFonts w:ascii="Times New Roman" w:hAnsi="Times New Roman" w:cs="Times New Roman"/>
                <w:sz w:val="20"/>
                <w:szCs w:val="20"/>
              </w:rPr>
            </w:pPr>
            <w:proofErr w:type="spellStart"/>
            <w:r w:rsidRPr="009F5F26">
              <w:rPr>
                <w:rFonts w:ascii="Calibri" w:hAnsi="Calibri" w:cs="Times New Roman"/>
                <w:sz w:val="20"/>
                <w:szCs w:val="20"/>
              </w:rPr>
              <w:t>Parapyruvate</w:t>
            </w:r>
            <w:proofErr w:type="spellEnd"/>
            <w:r w:rsidRPr="009F5F26">
              <w:rPr>
                <w:rFonts w:ascii="Calibri" w:hAnsi="Calibri" w:cs="Times New Roman"/>
                <w:sz w:val="20"/>
                <w:szCs w:val="20"/>
              </w:rPr>
              <w:t>: Mutation at the Thymidine Kinase (</w:t>
            </w:r>
            <w:proofErr w:type="spellStart"/>
            <w:r w:rsidRPr="009F5F26">
              <w:rPr>
                <w:rFonts w:ascii="Calibri" w:hAnsi="Calibri" w:cs="Times New Roman"/>
                <w:i/>
                <w:iCs/>
                <w:sz w:val="20"/>
                <w:szCs w:val="20"/>
              </w:rPr>
              <w:t>tk</w:t>
            </w:r>
            <w:proofErr w:type="spellEnd"/>
            <w:r w:rsidRPr="009F5F26">
              <w:rPr>
                <w:rFonts w:ascii="Calibri" w:hAnsi="Calibri" w:cs="Times New Roman"/>
                <w:sz w:val="20"/>
                <w:szCs w:val="20"/>
              </w:rPr>
              <w:t xml:space="preserve">) Locus of Mouse Lymphoma L5178Y Cells (MLA) using the </w:t>
            </w:r>
            <w:proofErr w:type="spellStart"/>
            <w:r w:rsidRPr="009F5F26">
              <w:rPr>
                <w:rFonts w:ascii="Calibri" w:hAnsi="Calibri" w:cs="Times New Roman"/>
                <w:sz w:val="20"/>
                <w:szCs w:val="20"/>
              </w:rPr>
              <w:t>Microtitre</w:t>
            </w:r>
            <w:r w:rsidRPr="009F5F26">
              <w:rPr>
                <w:rFonts w:ascii="Calibri" w:hAnsi="Calibri" w:cs="Times New Roman"/>
                <w:sz w:val="20"/>
                <w:szCs w:val="20"/>
                <w:vertAlign w:val="superscript"/>
              </w:rPr>
              <w:t>R</w:t>
            </w:r>
            <w:proofErr w:type="spellEnd"/>
            <w:r w:rsidRPr="009F5F26">
              <w:rPr>
                <w:rFonts w:ascii="Calibri" w:hAnsi="Calibri" w:cs="Times New Roman"/>
                <w:sz w:val="20"/>
                <w:szCs w:val="20"/>
              </w:rPr>
              <w:t xml:space="preserve"> Fluctuation Technique</w:t>
            </w:r>
          </w:p>
        </w:tc>
        <w:tc>
          <w:tcPr>
            <w:tcW w:w="470" w:type="pct"/>
          </w:tcPr>
          <w:p w14:paraId="2057DED5" w14:textId="3BCD6A17" w:rsidR="009F5F26" w:rsidRPr="009F5F26" w:rsidRDefault="009F5F26" w:rsidP="009F5F26">
            <w:pPr>
              <w:rPr>
                <w:rFonts w:ascii="Times New Roman" w:hAnsi="Times New Roman" w:cs="Times New Roman"/>
                <w:sz w:val="20"/>
                <w:szCs w:val="20"/>
              </w:rPr>
            </w:pPr>
            <w:r w:rsidRPr="009F5F26">
              <w:rPr>
                <w:rFonts w:ascii="Calibri" w:hAnsi="Calibri" w:cs="Times New Roman"/>
                <w:sz w:val="20"/>
                <w:szCs w:val="20"/>
              </w:rPr>
              <w:t>Covance 2570/06 (B101041)</w:t>
            </w:r>
          </w:p>
        </w:tc>
        <w:tc>
          <w:tcPr>
            <w:tcW w:w="2924" w:type="pct"/>
          </w:tcPr>
          <w:p w14:paraId="660C533D" w14:textId="77777777" w:rsidR="009F5F26" w:rsidRPr="009F5F26" w:rsidRDefault="009F5F26" w:rsidP="009F5F26">
            <w:pPr>
              <w:autoSpaceDE w:val="0"/>
              <w:autoSpaceDN w:val="0"/>
              <w:adjustRightInd w:val="0"/>
              <w:rPr>
                <w:rFonts w:ascii="Calibri" w:hAnsi="Calibri" w:cs="Times New Roman"/>
                <w:sz w:val="20"/>
                <w:szCs w:val="20"/>
              </w:rPr>
            </w:pPr>
            <w:r w:rsidRPr="009F5F26">
              <w:rPr>
                <w:rFonts w:ascii="Calibri" w:hAnsi="Calibri" w:cs="Times New Roman"/>
                <w:sz w:val="20"/>
                <w:szCs w:val="20"/>
              </w:rPr>
              <w:t xml:space="preserve"> AH112623 did not induce mutation at the </w:t>
            </w:r>
            <w:proofErr w:type="spellStart"/>
            <w:r w:rsidRPr="009F5F26">
              <w:rPr>
                <w:rFonts w:ascii="Calibri" w:hAnsi="Calibri" w:cs="Times New Roman"/>
                <w:i/>
                <w:iCs/>
                <w:sz w:val="20"/>
                <w:szCs w:val="20"/>
              </w:rPr>
              <w:t>tk</w:t>
            </w:r>
            <w:proofErr w:type="spellEnd"/>
            <w:r w:rsidRPr="009F5F26">
              <w:rPr>
                <w:rFonts w:ascii="Calibri" w:hAnsi="Calibri" w:cs="Times New Roman"/>
                <w:i/>
                <w:iCs/>
                <w:sz w:val="20"/>
                <w:szCs w:val="20"/>
              </w:rPr>
              <w:t xml:space="preserve"> </w:t>
            </w:r>
            <w:r w:rsidRPr="009F5F26">
              <w:rPr>
                <w:rFonts w:ascii="Calibri" w:hAnsi="Calibri" w:cs="Times New Roman"/>
                <w:sz w:val="20"/>
                <w:szCs w:val="20"/>
              </w:rPr>
              <w:t xml:space="preserve">locus of L5178Y mouse lymphoma cells when tested under the </w:t>
            </w:r>
            <w:r w:rsidR="00DA13E4" w:rsidRPr="009F5F26">
              <w:rPr>
                <w:rFonts w:ascii="Calibri" w:hAnsi="Calibri" w:cs="Times New Roman"/>
                <w:sz w:val="20"/>
                <w:szCs w:val="20"/>
              </w:rPr>
              <w:t>3-hour</w:t>
            </w:r>
            <w:r w:rsidRPr="009F5F26">
              <w:rPr>
                <w:rFonts w:ascii="Calibri" w:hAnsi="Calibri" w:cs="Times New Roman"/>
                <w:sz w:val="20"/>
                <w:szCs w:val="20"/>
              </w:rPr>
              <w:t xml:space="preserve"> treatment conditions employed in this study. These conditions included treatments up to 5000 </w:t>
            </w:r>
            <w:proofErr w:type="spellStart"/>
            <w:r w:rsidRPr="009F5F26">
              <w:rPr>
                <w:rFonts w:ascii="Calibri" w:hAnsi="Calibri" w:cs="Times New Roman"/>
                <w:sz w:val="20"/>
                <w:szCs w:val="20"/>
              </w:rPr>
              <w:t>μg</w:t>
            </w:r>
            <w:proofErr w:type="spellEnd"/>
            <w:r w:rsidRPr="009F5F26">
              <w:rPr>
                <w:rFonts w:ascii="Calibri" w:hAnsi="Calibri" w:cs="Times New Roman"/>
                <w:sz w:val="20"/>
                <w:szCs w:val="20"/>
              </w:rPr>
              <w:t xml:space="preserve">/mL in two independent experiments, in the absence and presence of a rat liver metabolic activation system (S-9).  </w:t>
            </w:r>
            <w:proofErr w:type="spellStart"/>
            <w:r w:rsidRPr="009F5F26">
              <w:rPr>
                <w:rFonts w:ascii="Calibri" w:hAnsi="Calibri" w:cs="Times New Roman"/>
                <w:sz w:val="20"/>
                <w:szCs w:val="20"/>
              </w:rPr>
              <w:t>Parapyruvate</w:t>
            </w:r>
            <w:proofErr w:type="spellEnd"/>
            <w:r w:rsidRPr="009F5F26">
              <w:rPr>
                <w:rFonts w:ascii="Calibri" w:hAnsi="Calibri" w:cs="Times New Roman"/>
                <w:sz w:val="20"/>
                <w:szCs w:val="20"/>
              </w:rPr>
              <w:t xml:space="preserve"> may induce mutation at the </w:t>
            </w:r>
            <w:proofErr w:type="spellStart"/>
            <w:r w:rsidRPr="009F5F26">
              <w:rPr>
                <w:rFonts w:ascii="Calibri" w:hAnsi="Calibri" w:cs="Times New Roman"/>
                <w:i/>
                <w:iCs/>
                <w:sz w:val="20"/>
                <w:szCs w:val="20"/>
              </w:rPr>
              <w:t>tk</w:t>
            </w:r>
            <w:proofErr w:type="spellEnd"/>
            <w:r w:rsidRPr="009F5F26">
              <w:rPr>
                <w:rFonts w:ascii="Calibri" w:hAnsi="Calibri" w:cs="Times New Roman"/>
                <w:i/>
                <w:iCs/>
                <w:sz w:val="20"/>
                <w:szCs w:val="20"/>
              </w:rPr>
              <w:t xml:space="preserve"> </w:t>
            </w:r>
            <w:r w:rsidRPr="009F5F26">
              <w:rPr>
                <w:rFonts w:ascii="Calibri" w:hAnsi="Calibri" w:cs="Times New Roman"/>
                <w:sz w:val="20"/>
                <w:szCs w:val="20"/>
              </w:rPr>
              <w:t xml:space="preserve">locus of L5178Y mouse lymphoma cells when tested under </w:t>
            </w:r>
            <w:r w:rsidR="00DA13E4" w:rsidRPr="009F5F26">
              <w:rPr>
                <w:rFonts w:ascii="Calibri" w:hAnsi="Calibri" w:cs="Times New Roman"/>
                <w:sz w:val="20"/>
                <w:szCs w:val="20"/>
              </w:rPr>
              <w:t>24-hour</w:t>
            </w:r>
            <w:r w:rsidRPr="009F5F26">
              <w:rPr>
                <w:rFonts w:ascii="Calibri" w:hAnsi="Calibri" w:cs="Times New Roman"/>
                <w:sz w:val="20"/>
                <w:szCs w:val="20"/>
              </w:rPr>
              <w:t xml:space="preserve"> treatment conditions in the absence of S-9 up to toxic concentrations. However, as increases in mutant frequency were only noted </w:t>
            </w:r>
            <w:r w:rsidR="006D1028">
              <w:rPr>
                <w:rFonts w:ascii="Calibri" w:hAnsi="Calibri" w:cs="Times New Roman"/>
                <w:sz w:val="20"/>
                <w:szCs w:val="20"/>
              </w:rPr>
              <w:t xml:space="preserve">at </w:t>
            </w:r>
            <w:r w:rsidR="00DA13E4" w:rsidRPr="009F5F26">
              <w:rPr>
                <w:rFonts w:ascii="Calibri" w:hAnsi="Calibri" w:cs="Times New Roman"/>
                <w:sz w:val="20"/>
                <w:szCs w:val="20"/>
              </w:rPr>
              <w:t>a concentration</w:t>
            </w:r>
            <w:r w:rsidRPr="009F5F26">
              <w:rPr>
                <w:rFonts w:ascii="Calibri" w:hAnsi="Calibri" w:cs="Times New Roman"/>
                <w:sz w:val="20"/>
                <w:szCs w:val="20"/>
              </w:rPr>
              <w:t xml:space="preserve"> where marked changes in osmolality occurred, it cannot be determined from this study data whether these results are due to true mutation induction or physiological effects of increases in osmolality.</w:t>
            </w:r>
          </w:p>
        </w:tc>
      </w:tr>
      <w:tr w:rsidR="009F5F26" w:rsidRPr="009F5F26" w14:paraId="72BFCBB8" w14:textId="77777777" w:rsidTr="00E55B59">
        <w:trPr>
          <w:cantSplit/>
        </w:trPr>
        <w:tc>
          <w:tcPr>
            <w:tcW w:w="1607" w:type="pct"/>
          </w:tcPr>
          <w:p w14:paraId="67F2D2CF" w14:textId="2F4F5374" w:rsidR="009F5F26" w:rsidRPr="009F5F26" w:rsidRDefault="009F5F26" w:rsidP="008F5213">
            <w:pPr>
              <w:keepNext/>
              <w:autoSpaceDE w:val="0"/>
              <w:autoSpaceDN w:val="0"/>
              <w:adjustRightInd w:val="0"/>
              <w:rPr>
                <w:rFonts w:ascii="Times New Roman" w:hAnsi="Times New Roman" w:cs="Times New Roman"/>
                <w:sz w:val="20"/>
                <w:szCs w:val="20"/>
              </w:rPr>
            </w:pPr>
            <w:r w:rsidRPr="009F5F26">
              <w:rPr>
                <w:rFonts w:ascii="Calibri" w:hAnsi="Calibri" w:cs="Times New Roman"/>
                <w:sz w:val="20"/>
                <w:szCs w:val="20"/>
              </w:rPr>
              <w:lastRenderedPageBreak/>
              <w:t xml:space="preserve">AH112615: Reverse mutation in five histidine requiring strains of </w:t>
            </w:r>
            <w:r w:rsidRPr="009F5F26">
              <w:rPr>
                <w:rFonts w:ascii="Calibri" w:hAnsi="Calibri" w:cs="Times New Roman"/>
                <w:i/>
                <w:iCs/>
                <w:sz w:val="20"/>
                <w:szCs w:val="20"/>
              </w:rPr>
              <w:t>Salmonella</w:t>
            </w:r>
            <w:r w:rsidRPr="009F5F26">
              <w:rPr>
                <w:rFonts w:ascii="Calibri" w:hAnsi="Calibri" w:cs="Times New Roman"/>
                <w:sz w:val="20"/>
                <w:szCs w:val="20"/>
              </w:rPr>
              <w:t xml:space="preserve"> </w:t>
            </w:r>
            <w:r w:rsidRPr="009F5F26">
              <w:rPr>
                <w:rFonts w:ascii="Calibri" w:hAnsi="Calibri" w:cs="Times New Roman"/>
                <w:i/>
                <w:iCs/>
                <w:sz w:val="20"/>
                <w:szCs w:val="20"/>
              </w:rPr>
              <w:t>typhimurium</w:t>
            </w:r>
          </w:p>
        </w:tc>
        <w:tc>
          <w:tcPr>
            <w:tcW w:w="470" w:type="pct"/>
          </w:tcPr>
          <w:p w14:paraId="698E4057" w14:textId="2CA31FF3" w:rsidR="009F5F26" w:rsidRPr="009F5F26" w:rsidRDefault="009F5F26" w:rsidP="009F5F26">
            <w:pPr>
              <w:rPr>
                <w:rFonts w:ascii="Times New Roman" w:hAnsi="Times New Roman" w:cs="Times New Roman"/>
                <w:sz w:val="20"/>
                <w:szCs w:val="20"/>
              </w:rPr>
            </w:pPr>
            <w:r w:rsidRPr="009F5F26">
              <w:rPr>
                <w:rFonts w:ascii="Calibri" w:hAnsi="Calibri" w:cs="Times New Roman"/>
                <w:sz w:val="20"/>
                <w:szCs w:val="20"/>
              </w:rPr>
              <w:t>Covance 2570/07 (B101047)</w:t>
            </w:r>
          </w:p>
        </w:tc>
        <w:tc>
          <w:tcPr>
            <w:tcW w:w="2924" w:type="pct"/>
          </w:tcPr>
          <w:p w14:paraId="11472E16" w14:textId="77777777" w:rsidR="009F5F26" w:rsidRPr="009F5F26" w:rsidRDefault="009F5F26" w:rsidP="009F5F26">
            <w:pPr>
              <w:autoSpaceDE w:val="0"/>
              <w:autoSpaceDN w:val="0"/>
              <w:adjustRightInd w:val="0"/>
              <w:rPr>
                <w:rFonts w:ascii="Calibri" w:hAnsi="Calibri" w:cs="Times New Roman"/>
                <w:sz w:val="20"/>
                <w:szCs w:val="20"/>
              </w:rPr>
            </w:pPr>
            <w:r w:rsidRPr="009F5F26">
              <w:rPr>
                <w:rFonts w:ascii="Calibri" w:hAnsi="Calibri" w:cs="Times New Roman"/>
                <w:sz w:val="20"/>
                <w:szCs w:val="20"/>
              </w:rPr>
              <w:t xml:space="preserve"> AH112615 did not induce mutation in five histidine-requiring strains (TA98, TA100, TA1535, TA1537 and TA102) of </w:t>
            </w:r>
            <w:r w:rsidRPr="009F5F26">
              <w:rPr>
                <w:rFonts w:ascii="Calibri" w:hAnsi="Calibri" w:cs="Times New Roman"/>
                <w:i/>
                <w:sz w:val="20"/>
                <w:szCs w:val="20"/>
              </w:rPr>
              <w:t>Salmonella typhimurium</w:t>
            </w:r>
            <w:r w:rsidRPr="009F5F26">
              <w:rPr>
                <w:rFonts w:ascii="Calibri" w:hAnsi="Calibri" w:cs="Times New Roman"/>
                <w:sz w:val="20"/>
                <w:szCs w:val="20"/>
              </w:rPr>
              <w:t xml:space="preserve"> when tested under the conditions of this study. These conditions included treatments at amounts up to 5000 </w:t>
            </w:r>
            <w:proofErr w:type="spellStart"/>
            <w:r w:rsidRPr="009F5F26">
              <w:rPr>
                <w:rFonts w:ascii="Calibri" w:hAnsi="Calibri" w:cs="Times New Roman"/>
                <w:sz w:val="20"/>
                <w:szCs w:val="20"/>
              </w:rPr>
              <w:t>μg</w:t>
            </w:r>
            <w:proofErr w:type="spellEnd"/>
            <w:r w:rsidRPr="009F5F26">
              <w:rPr>
                <w:rFonts w:ascii="Calibri" w:hAnsi="Calibri" w:cs="Times New Roman"/>
                <w:sz w:val="20"/>
                <w:szCs w:val="20"/>
              </w:rPr>
              <w:t>/plate, in the absence and in the presence of a rat liver metabolic activation system (S-9).</w:t>
            </w:r>
          </w:p>
        </w:tc>
      </w:tr>
      <w:tr w:rsidR="009F5F26" w:rsidRPr="009F5F26" w14:paraId="339B0484" w14:textId="77777777" w:rsidTr="00E55B59">
        <w:trPr>
          <w:cantSplit/>
        </w:trPr>
        <w:tc>
          <w:tcPr>
            <w:tcW w:w="1607" w:type="pct"/>
          </w:tcPr>
          <w:p w14:paraId="238C79B2" w14:textId="114159C4" w:rsidR="009F5F26" w:rsidRPr="009F5F26" w:rsidRDefault="009F5F26" w:rsidP="00EC3692">
            <w:pPr>
              <w:autoSpaceDE w:val="0"/>
              <w:autoSpaceDN w:val="0"/>
              <w:adjustRightInd w:val="0"/>
              <w:rPr>
                <w:rFonts w:ascii="Times New Roman" w:hAnsi="Times New Roman" w:cs="Times New Roman"/>
                <w:sz w:val="20"/>
                <w:szCs w:val="20"/>
              </w:rPr>
            </w:pPr>
            <w:r w:rsidRPr="009F5F26">
              <w:rPr>
                <w:rFonts w:ascii="Calibri" w:hAnsi="Calibri" w:cs="Times New Roman"/>
                <w:sz w:val="20"/>
                <w:szCs w:val="20"/>
              </w:rPr>
              <w:t>AH112615: Mutation at the Thymidine Kinase (</w:t>
            </w:r>
            <w:proofErr w:type="spellStart"/>
            <w:r w:rsidRPr="009F5F26">
              <w:rPr>
                <w:rFonts w:ascii="Calibri" w:hAnsi="Calibri" w:cs="Times New Roman"/>
                <w:i/>
                <w:iCs/>
                <w:sz w:val="20"/>
                <w:szCs w:val="20"/>
              </w:rPr>
              <w:t>tk</w:t>
            </w:r>
            <w:proofErr w:type="spellEnd"/>
            <w:r w:rsidRPr="009F5F26">
              <w:rPr>
                <w:rFonts w:ascii="Calibri" w:hAnsi="Calibri" w:cs="Times New Roman"/>
                <w:sz w:val="20"/>
                <w:szCs w:val="20"/>
              </w:rPr>
              <w:t xml:space="preserve">) Locus of Mouse Lymphoma L5178Y Cells (MLA) using the </w:t>
            </w:r>
            <w:proofErr w:type="spellStart"/>
            <w:r w:rsidRPr="009F5F26">
              <w:rPr>
                <w:rFonts w:ascii="Calibri" w:hAnsi="Calibri" w:cs="Times New Roman"/>
                <w:sz w:val="20"/>
                <w:szCs w:val="20"/>
              </w:rPr>
              <w:t>Microtitre</w:t>
            </w:r>
            <w:r w:rsidRPr="009F5F26">
              <w:rPr>
                <w:rFonts w:ascii="Calibri" w:hAnsi="Calibri" w:cs="Times New Roman"/>
                <w:sz w:val="20"/>
                <w:szCs w:val="20"/>
                <w:vertAlign w:val="superscript"/>
              </w:rPr>
              <w:t>R</w:t>
            </w:r>
            <w:proofErr w:type="spellEnd"/>
            <w:r w:rsidRPr="009F5F26">
              <w:rPr>
                <w:rFonts w:ascii="Calibri" w:hAnsi="Calibri" w:cs="Times New Roman"/>
                <w:sz w:val="20"/>
                <w:szCs w:val="20"/>
              </w:rPr>
              <w:t xml:space="preserve"> Fluctuation Technique</w:t>
            </w:r>
          </w:p>
        </w:tc>
        <w:tc>
          <w:tcPr>
            <w:tcW w:w="470" w:type="pct"/>
          </w:tcPr>
          <w:p w14:paraId="5F257309" w14:textId="70DDD510" w:rsidR="009F5F26" w:rsidRPr="009F5F26" w:rsidRDefault="009F5F26" w:rsidP="009F5F26">
            <w:pPr>
              <w:rPr>
                <w:rFonts w:ascii="Times New Roman" w:hAnsi="Times New Roman" w:cs="Times New Roman"/>
                <w:sz w:val="20"/>
                <w:szCs w:val="20"/>
                <w:highlight w:val="yellow"/>
              </w:rPr>
            </w:pPr>
            <w:r w:rsidRPr="009F5F26">
              <w:rPr>
                <w:rFonts w:ascii="Calibri" w:hAnsi="Calibri" w:cs="Times New Roman"/>
                <w:sz w:val="20"/>
                <w:szCs w:val="20"/>
              </w:rPr>
              <w:t>Covance 2570/08 (B101048)</w:t>
            </w:r>
          </w:p>
        </w:tc>
        <w:tc>
          <w:tcPr>
            <w:tcW w:w="2924" w:type="pct"/>
          </w:tcPr>
          <w:p w14:paraId="3ABB0426" w14:textId="77777777" w:rsidR="009F5F26" w:rsidRPr="009F5F26" w:rsidRDefault="009F5F26" w:rsidP="009F5F26">
            <w:pPr>
              <w:rPr>
                <w:rFonts w:ascii="Calibri" w:hAnsi="Calibri" w:cs="Times New Roman"/>
                <w:sz w:val="20"/>
                <w:szCs w:val="20"/>
              </w:rPr>
            </w:pPr>
            <w:r w:rsidRPr="009F5F26">
              <w:rPr>
                <w:rFonts w:ascii="Calibri" w:hAnsi="Calibri" w:cs="Times New Roman"/>
                <w:sz w:val="20"/>
                <w:szCs w:val="20"/>
              </w:rPr>
              <w:t xml:space="preserve"> AH112615 did not induce mutation at the </w:t>
            </w:r>
            <w:proofErr w:type="spellStart"/>
            <w:r w:rsidRPr="009F5F26">
              <w:rPr>
                <w:rFonts w:ascii="Calibri" w:hAnsi="Calibri" w:cs="Times New Roman"/>
                <w:sz w:val="20"/>
                <w:szCs w:val="20"/>
              </w:rPr>
              <w:t>tk</w:t>
            </w:r>
            <w:proofErr w:type="spellEnd"/>
            <w:r w:rsidRPr="009F5F26">
              <w:rPr>
                <w:rFonts w:ascii="Calibri" w:hAnsi="Calibri" w:cs="Times New Roman"/>
                <w:sz w:val="20"/>
                <w:szCs w:val="20"/>
              </w:rPr>
              <w:t xml:space="preserve"> locus of L5178Y mouse lymphoma cells when tested under the conditions employed in this study. These conditions included treatments up to 5000 </w:t>
            </w:r>
            <w:proofErr w:type="spellStart"/>
            <w:r w:rsidRPr="009F5F26">
              <w:rPr>
                <w:rFonts w:ascii="Calibri" w:hAnsi="Calibri" w:cs="Times New Roman"/>
                <w:sz w:val="20"/>
                <w:szCs w:val="20"/>
              </w:rPr>
              <w:t>μg</w:t>
            </w:r>
            <w:proofErr w:type="spellEnd"/>
            <w:r w:rsidRPr="009F5F26">
              <w:rPr>
                <w:rFonts w:ascii="Calibri" w:hAnsi="Calibri" w:cs="Times New Roman"/>
                <w:sz w:val="20"/>
                <w:szCs w:val="20"/>
              </w:rPr>
              <w:t>/ml in two independent experiments in the absence and presence of a rat liver metabolic activation system (S-9).</w:t>
            </w:r>
          </w:p>
        </w:tc>
      </w:tr>
      <w:tr w:rsidR="009F5F26" w:rsidRPr="009F5F26" w14:paraId="0CB11665" w14:textId="77777777" w:rsidTr="00E55B59">
        <w:trPr>
          <w:cantSplit/>
        </w:trPr>
        <w:tc>
          <w:tcPr>
            <w:tcW w:w="1607" w:type="pct"/>
          </w:tcPr>
          <w:p w14:paraId="5D090635" w14:textId="77777777" w:rsidR="009F5F26" w:rsidRPr="009F5F26" w:rsidRDefault="009F5F26" w:rsidP="009F5F26">
            <w:pPr>
              <w:autoSpaceDE w:val="0"/>
              <w:autoSpaceDN w:val="0"/>
              <w:adjustRightInd w:val="0"/>
              <w:rPr>
                <w:rFonts w:ascii="Times New Roman" w:hAnsi="Times New Roman" w:cs="Times New Roman"/>
                <w:sz w:val="20"/>
                <w:szCs w:val="20"/>
              </w:rPr>
            </w:pPr>
            <w:r w:rsidRPr="009F5F26">
              <w:rPr>
                <w:rFonts w:ascii="Calibri" w:hAnsi="Calibri" w:cs="Times New Roman"/>
                <w:sz w:val="20"/>
                <w:szCs w:val="20"/>
              </w:rPr>
              <w:t xml:space="preserve">AH111501: Reverse mutation in five histidine requiring strains of </w:t>
            </w:r>
            <w:r w:rsidRPr="009F5F26">
              <w:rPr>
                <w:rFonts w:ascii="Calibri" w:hAnsi="Calibri" w:cs="Times New Roman"/>
                <w:i/>
                <w:iCs/>
                <w:sz w:val="20"/>
                <w:szCs w:val="20"/>
              </w:rPr>
              <w:t>Salmonella</w:t>
            </w:r>
            <w:r w:rsidRPr="009F5F26">
              <w:rPr>
                <w:rFonts w:ascii="Calibri" w:hAnsi="Calibri" w:cs="Times New Roman"/>
                <w:sz w:val="20"/>
                <w:szCs w:val="20"/>
              </w:rPr>
              <w:t xml:space="preserve"> </w:t>
            </w:r>
            <w:r w:rsidRPr="009F5F26">
              <w:rPr>
                <w:rFonts w:ascii="Calibri" w:hAnsi="Calibri" w:cs="Times New Roman"/>
                <w:i/>
                <w:iCs/>
                <w:sz w:val="20"/>
                <w:szCs w:val="20"/>
              </w:rPr>
              <w:t>typhimurium</w:t>
            </w:r>
          </w:p>
        </w:tc>
        <w:tc>
          <w:tcPr>
            <w:tcW w:w="470" w:type="pct"/>
          </w:tcPr>
          <w:p w14:paraId="3E3FF951" w14:textId="7BE6D848" w:rsidR="009F5F26" w:rsidRPr="009F5F26" w:rsidRDefault="009F5F26" w:rsidP="009F5F26">
            <w:pPr>
              <w:rPr>
                <w:rFonts w:ascii="Times New Roman" w:hAnsi="Times New Roman" w:cs="Times New Roman"/>
                <w:sz w:val="20"/>
                <w:szCs w:val="20"/>
              </w:rPr>
            </w:pPr>
            <w:r w:rsidRPr="009F5F26">
              <w:rPr>
                <w:rFonts w:ascii="Calibri" w:hAnsi="Calibri" w:cs="Times New Roman"/>
                <w:sz w:val="20"/>
                <w:szCs w:val="20"/>
              </w:rPr>
              <w:t>Covance 2570/10 (B101055)</w:t>
            </w:r>
          </w:p>
        </w:tc>
        <w:tc>
          <w:tcPr>
            <w:tcW w:w="2924" w:type="pct"/>
          </w:tcPr>
          <w:p w14:paraId="374C7F01" w14:textId="77777777" w:rsidR="009F5F26" w:rsidRPr="009F5F26" w:rsidRDefault="009F5F26" w:rsidP="009F5F26">
            <w:pPr>
              <w:autoSpaceDE w:val="0"/>
              <w:autoSpaceDN w:val="0"/>
              <w:adjustRightInd w:val="0"/>
              <w:rPr>
                <w:rFonts w:ascii="Calibri" w:hAnsi="Calibri" w:cs="Times New Roman"/>
                <w:sz w:val="20"/>
                <w:szCs w:val="20"/>
              </w:rPr>
            </w:pPr>
            <w:r w:rsidRPr="009F5F26">
              <w:rPr>
                <w:rFonts w:ascii="Calibri" w:hAnsi="Calibri" w:cs="Times New Roman"/>
                <w:sz w:val="20"/>
                <w:szCs w:val="20"/>
              </w:rPr>
              <w:t xml:space="preserve"> AH111501 did not induce mutation in five histidine-requiring strains (TA98, TA100, TA1535, TA1537 and TA102) of </w:t>
            </w:r>
            <w:r w:rsidRPr="009F5F26">
              <w:rPr>
                <w:rFonts w:ascii="Calibri" w:hAnsi="Calibri" w:cs="Times New Roman"/>
                <w:i/>
                <w:iCs/>
                <w:sz w:val="20"/>
                <w:szCs w:val="20"/>
              </w:rPr>
              <w:t xml:space="preserve">Salmonella typhimurium </w:t>
            </w:r>
            <w:r w:rsidRPr="009F5F26">
              <w:rPr>
                <w:rFonts w:ascii="Calibri" w:hAnsi="Calibri" w:cs="Times New Roman"/>
                <w:sz w:val="20"/>
                <w:szCs w:val="20"/>
              </w:rPr>
              <w:t xml:space="preserve">when tested under the conditions of this study. These conditions included treatment at amounts up to 5000 </w:t>
            </w:r>
            <w:proofErr w:type="spellStart"/>
            <w:r w:rsidRPr="009F5F26">
              <w:rPr>
                <w:rFonts w:ascii="Calibri" w:hAnsi="Calibri" w:cs="Times New Roman"/>
                <w:sz w:val="20"/>
                <w:szCs w:val="20"/>
              </w:rPr>
              <w:t>μg</w:t>
            </w:r>
            <w:proofErr w:type="spellEnd"/>
            <w:r w:rsidRPr="009F5F26">
              <w:rPr>
                <w:rFonts w:ascii="Calibri" w:hAnsi="Calibri" w:cs="Times New Roman"/>
                <w:sz w:val="20"/>
                <w:szCs w:val="20"/>
              </w:rPr>
              <w:t>/plate in the absence and in the presence of a rat liver metabolic activation system (S-9).</w:t>
            </w:r>
          </w:p>
        </w:tc>
      </w:tr>
      <w:tr w:rsidR="009F5F26" w:rsidRPr="009F5F26" w14:paraId="352C278E" w14:textId="77777777" w:rsidTr="00E55B59">
        <w:trPr>
          <w:cantSplit/>
        </w:trPr>
        <w:tc>
          <w:tcPr>
            <w:tcW w:w="1607" w:type="pct"/>
          </w:tcPr>
          <w:p w14:paraId="00B4C9AE" w14:textId="77777777" w:rsidR="009F5F26" w:rsidRPr="009F5F26" w:rsidRDefault="009F5F26" w:rsidP="009F5F26">
            <w:pPr>
              <w:autoSpaceDE w:val="0"/>
              <w:autoSpaceDN w:val="0"/>
              <w:adjustRightInd w:val="0"/>
              <w:rPr>
                <w:rFonts w:ascii="Times New Roman" w:hAnsi="Times New Roman" w:cs="Times New Roman"/>
                <w:sz w:val="20"/>
                <w:szCs w:val="20"/>
              </w:rPr>
            </w:pPr>
            <w:r w:rsidRPr="009F5F26">
              <w:rPr>
                <w:rFonts w:ascii="Calibri" w:hAnsi="Calibri" w:cs="Times New Roman"/>
                <w:sz w:val="20"/>
                <w:szCs w:val="20"/>
              </w:rPr>
              <w:t>AH111501: Mutation at the Thymidine Kinase (</w:t>
            </w:r>
            <w:proofErr w:type="spellStart"/>
            <w:r w:rsidRPr="009F5F26">
              <w:rPr>
                <w:rFonts w:ascii="Calibri" w:hAnsi="Calibri" w:cs="Times New Roman"/>
                <w:i/>
                <w:iCs/>
                <w:sz w:val="20"/>
                <w:szCs w:val="20"/>
              </w:rPr>
              <w:t>tk</w:t>
            </w:r>
            <w:proofErr w:type="spellEnd"/>
            <w:r w:rsidRPr="009F5F26">
              <w:rPr>
                <w:rFonts w:ascii="Calibri" w:hAnsi="Calibri" w:cs="Times New Roman"/>
                <w:sz w:val="20"/>
                <w:szCs w:val="20"/>
              </w:rPr>
              <w:t xml:space="preserve">) Locus of Mouse Lymphoma L5178Y Cells (MLA) using the </w:t>
            </w:r>
            <w:proofErr w:type="spellStart"/>
            <w:r w:rsidRPr="009F5F26">
              <w:rPr>
                <w:rFonts w:ascii="Calibri" w:hAnsi="Calibri" w:cs="Times New Roman"/>
                <w:sz w:val="20"/>
                <w:szCs w:val="20"/>
              </w:rPr>
              <w:t>Microtitre</w:t>
            </w:r>
            <w:r w:rsidRPr="009F5F26">
              <w:rPr>
                <w:rFonts w:ascii="Calibri" w:hAnsi="Calibri" w:cs="Times New Roman"/>
                <w:sz w:val="20"/>
                <w:szCs w:val="20"/>
                <w:vertAlign w:val="superscript"/>
              </w:rPr>
              <w:t>R</w:t>
            </w:r>
            <w:proofErr w:type="spellEnd"/>
            <w:r w:rsidRPr="009F5F26">
              <w:rPr>
                <w:rFonts w:ascii="Calibri" w:hAnsi="Calibri" w:cs="Times New Roman"/>
                <w:sz w:val="20"/>
                <w:szCs w:val="20"/>
              </w:rPr>
              <w:t xml:space="preserve"> Fluctuation Technique</w:t>
            </w:r>
          </w:p>
        </w:tc>
        <w:tc>
          <w:tcPr>
            <w:tcW w:w="470" w:type="pct"/>
          </w:tcPr>
          <w:p w14:paraId="32A9D966" w14:textId="0733AD61" w:rsidR="009F5F26" w:rsidRPr="009F5F26" w:rsidRDefault="009F5F26" w:rsidP="009F5F26">
            <w:pPr>
              <w:rPr>
                <w:rFonts w:ascii="Times New Roman" w:hAnsi="Times New Roman" w:cs="Times New Roman"/>
                <w:sz w:val="20"/>
                <w:szCs w:val="20"/>
              </w:rPr>
            </w:pPr>
            <w:r w:rsidRPr="009F5F26">
              <w:rPr>
                <w:rFonts w:ascii="Calibri" w:hAnsi="Calibri" w:cs="Times New Roman"/>
                <w:sz w:val="20"/>
                <w:szCs w:val="20"/>
              </w:rPr>
              <w:t>Covance 2570/11 (B101056)</w:t>
            </w:r>
          </w:p>
        </w:tc>
        <w:tc>
          <w:tcPr>
            <w:tcW w:w="2924" w:type="pct"/>
          </w:tcPr>
          <w:p w14:paraId="3905F8F2" w14:textId="77777777" w:rsidR="009F5F26" w:rsidRPr="009F5F26" w:rsidRDefault="009F5F26" w:rsidP="009F5F26">
            <w:pPr>
              <w:autoSpaceDE w:val="0"/>
              <w:autoSpaceDN w:val="0"/>
              <w:adjustRightInd w:val="0"/>
              <w:rPr>
                <w:rFonts w:ascii="Calibri" w:hAnsi="Calibri" w:cs="Times New Roman"/>
                <w:sz w:val="20"/>
                <w:szCs w:val="20"/>
              </w:rPr>
            </w:pPr>
            <w:r w:rsidRPr="009F5F26">
              <w:rPr>
                <w:rFonts w:ascii="Calibri" w:hAnsi="Calibri" w:cs="Times New Roman"/>
                <w:sz w:val="20"/>
                <w:szCs w:val="20"/>
              </w:rPr>
              <w:t xml:space="preserve"> AH111501 did not induce mutation at the </w:t>
            </w:r>
            <w:proofErr w:type="spellStart"/>
            <w:r w:rsidRPr="009F5F26">
              <w:rPr>
                <w:rFonts w:ascii="Calibri" w:hAnsi="Calibri" w:cs="Times New Roman"/>
                <w:sz w:val="20"/>
                <w:szCs w:val="20"/>
              </w:rPr>
              <w:t>tk</w:t>
            </w:r>
            <w:proofErr w:type="spellEnd"/>
            <w:r w:rsidRPr="009F5F26">
              <w:rPr>
                <w:rFonts w:ascii="Calibri" w:hAnsi="Calibri" w:cs="Times New Roman"/>
                <w:sz w:val="20"/>
                <w:szCs w:val="20"/>
              </w:rPr>
              <w:t xml:space="preserve"> locus of L5178Y mouse lymphoma cells when tested under the </w:t>
            </w:r>
            <w:r w:rsidR="006D1028" w:rsidRPr="009F5F26">
              <w:rPr>
                <w:rFonts w:ascii="Calibri" w:hAnsi="Calibri" w:cs="Times New Roman"/>
                <w:sz w:val="20"/>
                <w:szCs w:val="20"/>
              </w:rPr>
              <w:t>3-hour</w:t>
            </w:r>
            <w:r w:rsidRPr="009F5F26">
              <w:rPr>
                <w:rFonts w:ascii="Calibri" w:hAnsi="Calibri" w:cs="Times New Roman"/>
                <w:sz w:val="20"/>
                <w:szCs w:val="20"/>
              </w:rPr>
              <w:t xml:space="preserve"> treatment conditions employed in this study. These conditions included treatments up to 5000 </w:t>
            </w:r>
            <w:proofErr w:type="spellStart"/>
            <w:r w:rsidRPr="009F5F26">
              <w:rPr>
                <w:rFonts w:ascii="Calibri" w:hAnsi="Calibri" w:cs="Times New Roman"/>
                <w:sz w:val="20"/>
                <w:szCs w:val="20"/>
              </w:rPr>
              <w:t>μg</w:t>
            </w:r>
            <w:proofErr w:type="spellEnd"/>
            <w:r w:rsidRPr="009F5F26">
              <w:rPr>
                <w:rFonts w:ascii="Calibri" w:hAnsi="Calibri" w:cs="Times New Roman"/>
                <w:sz w:val="20"/>
                <w:szCs w:val="20"/>
              </w:rPr>
              <w:t xml:space="preserve">/ml in two independent experiments, in the absence and presence of a rat liver metabolic activation system (S-9).  AH111501 induce mutation at the </w:t>
            </w:r>
            <w:proofErr w:type="spellStart"/>
            <w:r w:rsidRPr="009F5F26">
              <w:rPr>
                <w:rFonts w:ascii="Calibri" w:hAnsi="Calibri" w:cs="Times New Roman"/>
                <w:sz w:val="20"/>
                <w:szCs w:val="20"/>
              </w:rPr>
              <w:t>tk</w:t>
            </w:r>
            <w:proofErr w:type="spellEnd"/>
            <w:r w:rsidRPr="009F5F26">
              <w:rPr>
                <w:rFonts w:ascii="Calibri" w:hAnsi="Calibri" w:cs="Times New Roman"/>
                <w:sz w:val="20"/>
                <w:szCs w:val="20"/>
              </w:rPr>
              <w:t xml:space="preserve"> locus of L5178Y mouse lymphoma cells when tested under </w:t>
            </w:r>
            <w:r w:rsidR="006D1028" w:rsidRPr="009F5F26">
              <w:rPr>
                <w:rFonts w:ascii="Calibri" w:hAnsi="Calibri" w:cs="Times New Roman"/>
                <w:sz w:val="20"/>
                <w:szCs w:val="20"/>
              </w:rPr>
              <w:t>24-hour</w:t>
            </w:r>
            <w:r w:rsidRPr="009F5F26">
              <w:rPr>
                <w:rFonts w:ascii="Calibri" w:hAnsi="Calibri" w:cs="Times New Roman"/>
                <w:sz w:val="20"/>
                <w:szCs w:val="20"/>
              </w:rPr>
              <w:t xml:space="preserve"> treatment conditions in the absence of S-9, up to toxic concentrations. The effect was found to be very weak.</w:t>
            </w:r>
          </w:p>
        </w:tc>
      </w:tr>
      <w:tr w:rsidR="009F5F26" w:rsidRPr="009F5F26" w14:paraId="59FA23AF" w14:textId="77777777" w:rsidTr="00E55B59">
        <w:trPr>
          <w:cantSplit/>
        </w:trPr>
        <w:tc>
          <w:tcPr>
            <w:tcW w:w="1607" w:type="pct"/>
          </w:tcPr>
          <w:p w14:paraId="79F64740" w14:textId="77777777" w:rsidR="009F5F26" w:rsidRPr="009F5F26" w:rsidRDefault="009F5F26" w:rsidP="009F5F26">
            <w:pPr>
              <w:autoSpaceDE w:val="0"/>
              <w:autoSpaceDN w:val="0"/>
              <w:adjustRightInd w:val="0"/>
              <w:rPr>
                <w:rFonts w:ascii="Times New Roman" w:hAnsi="Times New Roman" w:cs="Times New Roman"/>
                <w:sz w:val="20"/>
                <w:szCs w:val="20"/>
              </w:rPr>
            </w:pPr>
            <w:proofErr w:type="spellStart"/>
            <w:r w:rsidRPr="009F5F26">
              <w:rPr>
                <w:rFonts w:ascii="Calibri" w:hAnsi="Calibri" w:cs="Times New Roman"/>
                <w:sz w:val="20"/>
                <w:szCs w:val="20"/>
              </w:rPr>
              <w:t>Parapyruvate</w:t>
            </w:r>
            <w:proofErr w:type="spellEnd"/>
            <w:r w:rsidRPr="009F5F26">
              <w:rPr>
                <w:rFonts w:ascii="Calibri" w:hAnsi="Calibri" w:cs="Times New Roman"/>
                <w:sz w:val="20"/>
                <w:szCs w:val="20"/>
              </w:rPr>
              <w:t xml:space="preserve">/ lactone in HCl solution: Reverse mutation in five histidine requiring strains of </w:t>
            </w:r>
            <w:r w:rsidRPr="009F5F26">
              <w:rPr>
                <w:rFonts w:ascii="Calibri" w:hAnsi="Calibri" w:cs="Times New Roman"/>
                <w:i/>
                <w:sz w:val="20"/>
                <w:szCs w:val="20"/>
              </w:rPr>
              <w:t>Salmonella typhimurium</w:t>
            </w:r>
          </w:p>
        </w:tc>
        <w:tc>
          <w:tcPr>
            <w:tcW w:w="470" w:type="pct"/>
          </w:tcPr>
          <w:p w14:paraId="78186C31" w14:textId="0FEBB9B7" w:rsidR="009F5F26" w:rsidRPr="009F5F26" w:rsidRDefault="009F5F26" w:rsidP="009F5F26">
            <w:pPr>
              <w:rPr>
                <w:rFonts w:ascii="Times New Roman" w:hAnsi="Times New Roman" w:cs="Times New Roman"/>
                <w:sz w:val="20"/>
                <w:szCs w:val="20"/>
              </w:rPr>
            </w:pPr>
            <w:r w:rsidRPr="009F5F26">
              <w:rPr>
                <w:rFonts w:ascii="Calibri" w:hAnsi="Calibri" w:cs="Times New Roman"/>
                <w:sz w:val="20"/>
                <w:szCs w:val="20"/>
              </w:rPr>
              <w:t>Covance 2789/8 (B101062)</w:t>
            </w:r>
          </w:p>
        </w:tc>
        <w:tc>
          <w:tcPr>
            <w:tcW w:w="2924" w:type="pct"/>
          </w:tcPr>
          <w:p w14:paraId="5BFB7D13" w14:textId="77777777" w:rsidR="009F5F26" w:rsidRPr="009F5F26" w:rsidRDefault="009F5F26" w:rsidP="009F5F26">
            <w:pPr>
              <w:autoSpaceDE w:val="0"/>
              <w:autoSpaceDN w:val="0"/>
              <w:adjustRightInd w:val="0"/>
              <w:rPr>
                <w:rFonts w:ascii="Calibri" w:hAnsi="Calibri" w:cs="Times New Roman"/>
                <w:sz w:val="20"/>
                <w:szCs w:val="20"/>
              </w:rPr>
            </w:pPr>
            <w:r w:rsidRPr="009F5F26">
              <w:rPr>
                <w:rFonts w:ascii="Calibri" w:hAnsi="Calibri" w:cs="Times New Roman"/>
                <w:sz w:val="20"/>
                <w:szCs w:val="20"/>
              </w:rPr>
              <w:t xml:space="preserve"> </w:t>
            </w:r>
            <w:proofErr w:type="spellStart"/>
            <w:r w:rsidRPr="009F5F26">
              <w:rPr>
                <w:rFonts w:ascii="Calibri" w:hAnsi="Calibri" w:cs="Times New Roman"/>
                <w:sz w:val="20"/>
                <w:szCs w:val="20"/>
              </w:rPr>
              <w:t>Parapyruvate</w:t>
            </w:r>
            <w:proofErr w:type="spellEnd"/>
            <w:r w:rsidRPr="009F5F26">
              <w:rPr>
                <w:rFonts w:ascii="Calibri" w:hAnsi="Calibri" w:cs="Times New Roman"/>
                <w:sz w:val="20"/>
                <w:szCs w:val="20"/>
              </w:rPr>
              <w:t xml:space="preserve">/lactone in HCl solution did not induce mutation in five histidine-requiring strains (TA98, TA100, TA1535, TA1537 and TA102) of </w:t>
            </w:r>
            <w:r w:rsidRPr="009F5F26">
              <w:rPr>
                <w:rFonts w:ascii="Calibri" w:hAnsi="Calibri" w:cs="Times New Roman"/>
                <w:i/>
                <w:iCs/>
                <w:sz w:val="20"/>
                <w:szCs w:val="20"/>
              </w:rPr>
              <w:t>Salmonella</w:t>
            </w:r>
            <w:r w:rsidRPr="009F5F26">
              <w:rPr>
                <w:rFonts w:ascii="Calibri" w:hAnsi="Calibri" w:cs="Times New Roman"/>
                <w:sz w:val="20"/>
                <w:szCs w:val="20"/>
              </w:rPr>
              <w:t xml:space="preserve"> </w:t>
            </w:r>
            <w:r w:rsidRPr="009F5F26">
              <w:rPr>
                <w:rFonts w:ascii="Calibri" w:hAnsi="Calibri" w:cs="Times New Roman"/>
                <w:i/>
                <w:iCs/>
                <w:sz w:val="20"/>
                <w:szCs w:val="20"/>
              </w:rPr>
              <w:t xml:space="preserve">typhimurium </w:t>
            </w:r>
            <w:r w:rsidRPr="009F5F26">
              <w:rPr>
                <w:rFonts w:ascii="Calibri" w:hAnsi="Calibri" w:cs="Times New Roman"/>
                <w:sz w:val="20"/>
                <w:szCs w:val="20"/>
              </w:rPr>
              <w:t xml:space="preserve">when tested under the conditions of this study. These conditions included treatments at concentrations up to 5000 </w:t>
            </w:r>
            <w:proofErr w:type="spellStart"/>
            <w:r w:rsidRPr="009F5F26">
              <w:rPr>
                <w:rFonts w:ascii="Calibri" w:hAnsi="Calibri" w:cs="Times New Roman"/>
                <w:sz w:val="20"/>
                <w:szCs w:val="20"/>
              </w:rPr>
              <w:t>μg</w:t>
            </w:r>
            <w:proofErr w:type="spellEnd"/>
            <w:r w:rsidRPr="009F5F26">
              <w:rPr>
                <w:rFonts w:ascii="Calibri" w:hAnsi="Calibri" w:cs="Times New Roman"/>
                <w:sz w:val="20"/>
                <w:szCs w:val="20"/>
              </w:rPr>
              <w:t>/plate, in the absence and in the presence of a rat liver metabolic activation system (S-9).</w:t>
            </w:r>
          </w:p>
        </w:tc>
      </w:tr>
      <w:tr w:rsidR="009F5F26" w:rsidRPr="009F5F26" w14:paraId="580949E0" w14:textId="77777777" w:rsidTr="00E55B59">
        <w:trPr>
          <w:cantSplit/>
        </w:trPr>
        <w:tc>
          <w:tcPr>
            <w:tcW w:w="1607" w:type="pct"/>
          </w:tcPr>
          <w:p w14:paraId="33997377" w14:textId="131D78C4" w:rsidR="009F5F26" w:rsidRPr="009F5F26" w:rsidRDefault="009F5F26" w:rsidP="008F5213">
            <w:pPr>
              <w:keepNext/>
              <w:autoSpaceDE w:val="0"/>
              <w:autoSpaceDN w:val="0"/>
              <w:adjustRightInd w:val="0"/>
              <w:rPr>
                <w:rFonts w:ascii="Times New Roman" w:hAnsi="Times New Roman" w:cs="Times New Roman"/>
                <w:sz w:val="20"/>
                <w:szCs w:val="20"/>
              </w:rPr>
            </w:pPr>
            <w:proofErr w:type="spellStart"/>
            <w:r w:rsidRPr="009F5F26">
              <w:rPr>
                <w:rFonts w:ascii="Calibri" w:hAnsi="Calibri" w:cs="Times New Roman"/>
                <w:sz w:val="20"/>
                <w:szCs w:val="20"/>
              </w:rPr>
              <w:lastRenderedPageBreak/>
              <w:t>Parapyruvate</w:t>
            </w:r>
            <w:proofErr w:type="spellEnd"/>
            <w:r w:rsidRPr="009F5F26">
              <w:rPr>
                <w:rFonts w:ascii="Calibri" w:hAnsi="Calibri" w:cs="Times New Roman"/>
                <w:sz w:val="20"/>
                <w:szCs w:val="20"/>
              </w:rPr>
              <w:t>/ lactone in HCl solution: Mutation at the thymidine kinase (</w:t>
            </w:r>
            <w:proofErr w:type="spellStart"/>
            <w:r w:rsidRPr="009F5F26">
              <w:rPr>
                <w:rFonts w:ascii="Calibri" w:hAnsi="Calibri" w:cs="Times New Roman"/>
                <w:i/>
                <w:iCs/>
                <w:sz w:val="20"/>
                <w:szCs w:val="20"/>
              </w:rPr>
              <w:t>tk</w:t>
            </w:r>
            <w:proofErr w:type="spellEnd"/>
            <w:r w:rsidRPr="009F5F26">
              <w:rPr>
                <w:rFonts w:ascii="Calibri" w:hAnsi="Calibri" w:cs="Times New Roman"/>
                <w:sz w:val="20"/>
                <w:szCs w:val="20"/>
              </w:rPr>
              <w:t xml:space="preserve">) locus of mouse lymphoma L5178Y cells (MLA) using the </w:t>
            </w:r>
            <w:proofErr w:type="spellStart"/>
            <w:r w:rsidRPr="009F5F26">
              <w:rPr>
                <w:rFonts w:ascii="Calibri" w:hAnsi="Calibri" w:cs="Times New Roman"/>
                <w:sz w:val="20"/>
                <w:szCs w:val="20"/>
              </w:rPr>
              <w:t>Microtitre</w:t>
            </w:r>
            <w:proofErr w:type="spellEnd"/>
            <w:r w:rsidRPr="009F5F26">
              <w:rPr>
                <w:rFonts w:ascii="Calibri" w:hAnsi="Calibri" w:cs="Times New Roman"/>
                <w:sz w:val="20"/>
                <w:szCs w:val="20"/>
              </w:rPr>
              <w:t xml:space="preserve"> Fluctuation Technique</w:t>
            </w:r>
          </w:p>
        </w:tc>
        <w:tc>
          <w:tcPr>
            <w:tcW w:w="470" w:type="pct"/>
          </w:tcPr>
          <w:p w14:paraId="20EF6BE2" w14:textId="6CAEB265" w:rsidR="009F5F26" w:rsidRPr="009F5F26" w:rsidRDefault="009F5F26" w:rsidP="00E55B59">
            <w:pPr>
              <w:keepNext/>
              <w:rPr>
                <w:rFonts w:ascii="Times New Roman" w:hAnsi="Times New Roman" w:cs="Times New Roman"/>
                <w:sz w:val="20"/>
                <w:szCs w:val="20"/>
              </w:rPr>
            </w:pPr>
            <w:r w:rsidRPr="009F5F26">
              <w:rPr>
                <w:rFonts w:ascii="Calibri" w:hAnsi="Calibri" w:cs="Times New Roman"/>
                <w:sz w:val="20"/>
                <w:szCs w:val="20"/>
              </w:rPr>
              <w:t>Covance 2789/9 (B101063)</w:t>
            </w:r>
          </w:p>
        </w:tc>
        <w:tc>
          <w:tcPr>
            <w:tcW w:w="2924" w:type="pct"/>
          </w:tcPr>
          <w:p w14:paraId="1C0A73CD" w14:textId="140FA5C2" w:rsidR="009F5F26" w:rsidRPr="00A600F7" w:rsidRDefault="009F5F26" w:rsidP="00E55B59">
            <w:pPr>
              <w:keepNext/>
              <w:autoSpaceDE w:val="0"/>
              <w:autoSpaceDN w:val="0"/>
              <w:adjustRightInd w:val="0"/>
              <w:rPr>
                <w:rFonts w:ascii="Calibri" w:hAnsi="Calibri" w:cs="Times New Roman"/>
                <w:sz w:val="20"/>
                <w:szCs w:val="20"/>
              </w:rPr>
            </w:pPr>
            <w:proofErr w:type="spellStart"/>
            <w:r w:rsidRPr="009949F7">
              <w:rPr>
                <w:rFonts w:ascii="Calibri" w:hAnsi="Calibri" w:cs="Times New Roman"/>
                <w:sz w:val="20"/>
                <w:szCs w:val="20"/>
              </w:rPr>
              <w:t>Parapyruvate</w:t>
            </w:r>
            <w:proofErr w:type="spellEnd"/>
            <w:r w:rsidRPr="009949F7">
              <w:rPr>
                <w:rFonts w:ascii="Calibri" w:hAnsi="Calibri" w:cs="Times New Roman"/>
                <w:sz w:val="20"/>
                <w:szCs w:val="20"/>
              </w:rPr>
              <w:t>/lactone in HCl solution showed evidence of mutagenic activity when tested in the absence of S-9 in this test system. However, following 3-hour treatment, the increase was associated only with extreme toxicity (&lt;10% RTG</w:t>
            </w:r>
            <w:r w:rsidR="00B76B8D" w:rsidRPr="009949F7">
              <w:rPr>
                <w:rFonts w:ascii="Calibri" w:hAnsi="Calibri" w:cs="Times New Roman"/>
                <w:sz w:val="20"/>
                <w:szCs w:val="20"/>
              </w:rPr>
              <w:t xml:space="preserve"> </w:t>
            </w:r>
            <w:r w:rsidR="00A600F7" w:rsidRPr="009949F7">
              <w:rPr>
                <w:rFonts w:ascii="Calibri" w:hAnsi="Calibri" w:cs="Times New Roman"/>
                <w:sz w:val="20"/>
                <w:szCs w:val="20"/>
              </w:rPr>
              <w:t>R</w:t>
            </w:r>
            <w:r w:rsidR="00A600F7" w:rsidRPr="00BF0009">
              <w:rPr>
                <w:sz w:val="20"/>
                <w:szCs w:val="20"/>
                <w:lang w:eastAsia="ja-JP"/>
              </w:rPr>
              <w:t>elative T</w:t>
            </w:r>
            <w:r w:rsidR="00A600F7" w:rsidRPr="008F5213">
              <w:rPr>
                <w:sz w:val="20"/>
                <w:szCs w:val="20"/>
                <w:lang w:eastAsia="ja-JP"/>
              </w:rPr>
              <w:t xml:space="preserve">otal </w:t>
            </w:r>
            <w:r w:rsidR="00A600F7" w:rsidRPr="00EE024A">
              <w:rPr>
                <w:sz w:val="20"/>
                <w:szCs w:val="20"/>
                <w:lang w:eastAsia="ja-JP"/>
              </w:rPr>
              <w:t>G</w:t>
            </w:r>
            <w:r w:rsidR="00A600F7" w:rsidRPr="00874C4F">
              <w:rPr>
                <w:sz w:val="20"/>
                <w:szCs w:val="20"/>
                <w:lang w:eastAsia="ja-JP"/>
              </w:rPr>
              <w:t>rowth</w:t>
            </w:r>
            <w:r w:rsidRPr="00A600F7">
              <w:rPr>
                <w:rFonts w:ascii="Calibri" w:hAnsi="Calibri" w:cs="Times New Roman"/>
                <w:sz w:val="20"/>
                <w:szCs w:val="20"/>
              </w:rPr>
              <w:t xml:space="preserve">), a decrease in pH of &gt;1 unit and an increase in osmolality of &gt;50 </w:t>
            </w:r>
            <w:proofErr w:type="spellStart"/>
            <w:r w:rsidRPr="00A600F7">
              <w:rPr>
                <w:rFonts w:ascii="Calibri" w:hAnsi="Calibri" w:cs="Times New Roman"/>
                <w:sz w:val="20"/>
                <w:szCs w:val="20"/>
              </w:rPr>
              <w:t>mOsm</w:t>
            </w:r>
            <w:proofErr w:type="spellEnd"/>
            <w:r w:rsidRPr="00A600F7">
              <w:rPr>
                <w:rFonts w:ascii="Calibri" w:hAnsi="Calibri" w:cs="Times New Roman"/>
                <w:sz w:val="20"/>
                <w:szCs w:val="20"/>
              </w:rPr>
              <w:t xml:space="preserve">/kg. Furthermore, following </w:t>
            </w:r>
            <w:r w:rsidR="006D1028" w:rsidRPr="00A600F7">
              <w:rPr>
                <w:rFonts w:ascii="Calibri" w:hAnsi="Calibri" w:cs="Times New Roman"/>
                <w:sz w:val="20"/>
                <w:szCs w:val="20"/>
              </w:rPr>
              <w:t>24-hour</w:t>
            </w:r>
            <w:r w:rsidRPr="00A600F7">
              <w:rPr>
                <w:rFonts w:ascii="Calibri" w:hAnsi="Calibri" w:cs="Times New Roman"/>
                <w:sz w:val="20"/>
                <w:szCs w:val="20"/>
              </w:rPr>
              <w:t xml:space="preserve"> treatments in the absence of S-9, no marked increases in mutant frequency (exceeding the GEF</w:t>
            </w:r>
            <w:r w:rsidR="00B76B8D" w:rsidRPr="00A600F7">
              <w:rPr>
                <w:rFonts w:ascii="Calibri" w:hAnsi="Calibri" w:cs="Times New Roman"/>
                <w:sz w:val="20"/>
                <w:szCs w:val="20"/>
              </w:rPr>
              <w:t xml:space="preserve"> </w:t>
            </w:r>
            <w:r w:rsidR="00A600F7" w:rsidRPr="00A600F7">
              <w:rPr>
                <w:sz w:val="20"/>
                <w:szCs w:val="20"/>
                <w:lang w:eastAsia="ja-JP"/>
              </w:rPr>
              <w:t>Global Evaluation Factor</w:t>
            </w:r>
            <w:r w:rsidRPr="00A600F7">
              <w:rPr>
                <w:rFonts w:ascii="Calibri" w:hAnsi="Calibri" w:cs="Times New Roman"/>
                <w:sz w:val="20"/>
                <w:szCs w:val="20"/>
              </w:rPr>
              <w:t xml:space="preserve">) were observed at any concentration analysed, although there was a statistically significant linear trend. Overall, these observations were considered of highly questionable biological relevance. In the presence of S-9, </w:t>
            </w:r>
            <w:proofErr w:type="spellStart"/>
            <w:r w:rsidRPr="00A600F7">
              <w:rPr>
                <w:rFonts w:ascii="Calibri" w:hAnsi="Calibri" w:cs="Times New Roman"/>
                <w:sz w:val="20"/>
                <w:szCs w:val="20"/>
              </w:rPr>
              <w:t>Parapyruvate</w:t>
            </w:r>
            <w:proofErr w:type="spellEnd"/>
            <w:r w:rsidRPr="00A600F7">
              <w:rPr>
                <w:rFonts w:ascii="Calibri" w:hAnsi="Calibri" w:cs="Times New Roman"/>
                <w:sz w:val="20"/>
                <w:szCs w:val="20"/>
              </w:rPr>
              <w:t>/lactone in HCl solution did not show reproducible evidence of mutagenic activity when tested up to highly toxic concentrations.</w:t>
            </w:r>
          </w:p>
        </w:tc>
      </w:tr>
      <w:tr w:rsidR="009F5F26" w:rsidRPr="009F5F26" w14:paraId="3F7AFADE" w14:textId="77777777" w:rsidTr="00E55B59">
        <w:trPr>
          <w:cantSplit/>
        </w:trPr>
        <w:tc>
          <w:tcPr>
            <w:tcW w:w="1607" w:type="pct"/>
          </w:tcPr>
          <w:p w14:paraId="7763FE5F" w14:textId="77777777" w:rsidR="009F5F26" w:rsidRPr="009F5F26" w:rsidRDefault="009F5F26" w:rsidP="009F5F26">
            <w:pPr>
              <w:keepNext/>
              <w:autoSpaceDE w:val="0"/>
              <w:autoSpaceDN w:val="0"/>
              <w:adjustRightInd w:val="0"/>
              <w:rPr>
                <w:rFonts w:ascii="Times New Roman" w:hAnsi="Times New Roman" w:cs="Times New Roman"/>
                <w:sz w:val="20"/>
                <w:szCs w:val="20"/>
              </w:rPr>
            </w:pPr>
            <w:r w:rsidRPr="009F5F26">
              <w:rPr>
                <w:rFonts w:ascii="Calibri" w:hAnsi="Calibri" w:cs="Times New Roman"/>
                <w:sz w:val="20"/>
                <w:szCs w:val="20"/>
              </w:rPr>
              <w:t xml:space="preserve">Bacterial reverse mutation test with AH111501 dissolved in </w:t>
            </w:r>
            <w:r w:rsidRPr="009F5F26">
              <w:rPr>
                <w:rFonts w:ascii="Calibri" w:hAnsi="Calibri" w:cs="Times New Roman"/>
                <w:sz w:val="20"/>
                <w:szCs w:val="20"/>
                <w:vertAlign w:val="superscript"/>
              </w:rPr>
              <w:t>13</w:t>
            </w:r>
            <w:r w:rsidRPr="009F5F26">
              <w:rPr>
                <w:rFonts w:ascii="Calibri" w:hAnsi="Calibri" w:cs="Times New Roman"/>
                <w:sz w:val="20"/>
                <w:szCs w:val="20"/>
              </w:rPr>
              <w:t>C pyruvate</w:t>
            </w:r>
          </w:p>
        </w:tc>
        <w:tc>
          <w:tcPr>
            <w:tcW w:w="470" w:type="pct"/>
          </w:tcPr>
          <w:p w14:paraId="52228735" w14:textId="65DB21A4" w:rsidR="009F5F26" w:rsidRPr="009F5F26" w:rsidRDefault="009F5F26" w:rsidP="009F5F26">
            <w:pPr>
              <w:keepNext/>
              <w:rPr>
                <w:rFonts w:ascii="Times New Roman" w:hAnsi="Times New Roman" w:cs="Times New Roman"/>
                <w:sz w:val="20"/>
                <w:szCs w:val="20"/>
              </w:rPr>
            </w:pPr>
            <w:r w:rsidRPr="009F5F26">
              <w:rPr>
                <w:rFonts w:ascii="Calibri" w:hAnsi="Calibri" w:cs="Times New Roman"/>
                <w:sz w:val="20"/>
                <w:szCs w:val="20"/>
              </w:rPr>
              <w:t>TNO V5605/15 (B101014)</w:t>
            </w:r>
          </w:p>
        </w:tc>
        <w:tc>
          <w:tcPr>
            <w:tcW w:w="2924" w:type="pct"/>
          </w:tcPr>
          <w:p w14:paraId="11A9F079" w14:textId="3756B9A7" w:rsidR="009F5F26" w:rsidRPr="009F5F26" w:rsidRDefault="007A63B7" w:rsidP="009F5F26">
            <w:pPr>
              <w:keepNext/>
              <w:autoSpaceDE w:val="0"/>
              <w:autoSpaceDN w:val="0"/>
              <w:adjustRightInd w:val="0"/>
              <w:rPr>
                <w:rFonts w:ascii="Calibri" w:hAnsi="Calibri" w:cs="Times New Roman"/>
                <w:sz w:val="20"/>
                <w:szCs w:val="20"/>
              </w:rPr>
            </w:pPr>
            <w:r w:rsidRPr="007A63B7">
              <w:rPr>
                <w:rFonts w:ascii="Calibri" w:hAnsi="Calibri" w:cs="Times New Roman"/>
                <w:sz w:val="20"/>
                <w:szCs w:val="20"/>
                <w:lang w:val="en-US"/>
              </w:rPr>
              <w:t>The</w:t>
            </w:r>
            <w:r w:rsidR="009F5F26" w:rsidRPr="007A63B7">
              <w:rPr>
                <w:rFonts w:ascii="Calibri" w:hAnsi="Calibri" w:cs="Times New Roman"/>
                <w:sz w:val="20"/>
                <w:szCs w:val="20"/>
                <w:lang w:val="en-US"/>
              </w:rPr>
              <w:t xml:space="preserve"> test item containing [1-</w:t>
            </w:r>
            <w:r w:rsidR="009F5F26" w:rsidRPr="007A63B7">
              <w:rPr>
                <w:rFonts w:ascii="Calibri" w:hAnsi="Calibri" w:cs="Times New Roman"/>
                <w:sz w:val="20"/>
                <w:szCs w:val="20"/>
                <w:vertAlign w:val="superscript"/>
                <w:lang w:val="en-US"/>
              </w:rPr>
              <w:t>13</w:t>
            </w:r>
            <w:r w:rsidR="009F5F26" w:rsidRPr="007A63B7">
              <w:rPr>
                <w:rFonts w:ascii="Calibri" w:hAnsi="Calibri" w:cs="Times New Roman"/>
                <w:sz w:val="20"/>
                <w:szCs w:val="20"/>
                <w:lang w:val="en-US"/>
              </w:rPr>
              <w:t xml:space="preserve">C] pyruvate and AH111501 was not mutagenic in </w:t>
            </w:r>
            <w:r w:rsidR="009F5F26" w:rsidRPr="007A63B7">
              <w:rPr>
                <w:rFonts w:ascii="Calibri" w:hAnsi="Calibri" w:cs="Times New Roman"/>
                <w:i/>
                <w:sz w:val="20"/>
                <w:szCs w:val="20"/>
                <w:lang w:val="en-US"/>
              </w:rPr>
              <w:t>Salmonella typhimurium</w:t>
            </w:r>
            <w:r w:rsidR="009F5F26" w:rsidRPr="007A63B7">
              <w:rPr>
                <w:rFonts w:ascii="Calibri" w:hAnsi="Calibri" w:cs="Times New Roman"/>
                <w:sz w:val="20"/>
                <w:szCs w:val="20"/>
                <w:lang w:val="en-US"/>
              </w:rPr>
              <w:t xml:space="preserve"> strains TA1535, TA1537, TA98, TA100 and TA102 when tested under the conditions of this study. </w:t>
            </w:r>
            <w:r w:rsidR="009F5F26" w:rsidRPr="009F5F26">
              <w:rPr>
                <w:rFonts w:ascii="Calibri" w:hAnsi="Calibri" w:cs="Times New Roman"/>
                <w:sz w:val="20"/>
                <w:szCs w:val="20"/>
              </w:rPr>
              <w:t xml:space="preserve">These conditions included treatment at amounts up to 5000 </w:t>
            </w:r>
            <w:proofErr w:type="spellStart"/>
            <w:r w:rsidR="009F5F26" w:rsidRPr="009F5F26">
              <w:rPr>
                <w:rFonts w:ascii="Calibri" w:hAnsi="Calibri" w:cs="Times New Roman"/>
                <w:sz w:val="20"/>
                <w:szCs w:val="20"/>
              </w:rPr>
              <w:t>μg</w:t>
            </w:r>
            <w:proofErr w:type="spellEnd"/>
            <w:r w:rsidR="009F5F26" w:rsidRPr="009F5F26">
              <w:rPr>
                <w:rFonts w:ascii="Calibri" w:hAnsi="Calibri" w:cs="Times New Roman"/>
                <w:sz w:val="20"/>
                <w:szCs w:val="20"/>
              </w:rPr>
              <w:t>/plate in the absence and in the presence of a rat liver metabolic activation system (S-9).</w:t>
            </w:r>
          </w:p>
        </w:tc>
      </w:tr>
      <w:tr w:rsidR="009F5F26" w:rsidRPr="009F5F26" w14:paraId="19BCC85E" w14:textId="77777777" w:rsidTr="00E55B59">
        <w:trPr>
          <w:cantSplit/>
        </w:trPr>
        <w:tc>
          <w:tcPr>
            <w:tcW w:w="1607" w:type="pct"/>
          </w:tcPr>
          <w:p w14:paraId="6BF6F73B" w14:textId="77777777" w:rsidR="009F5F26" w:rsidRPr="009F5F26" w:rsidRDefault="009F5F26" w:rsidP="009F5F26">
            <w:pPr>
              <w:keepNext/>
              <w:autoSpaceDE w:val="0"/>
              <w:autoSpaceDN w:val="0"/>
              <w:adjustRightInd w:val="0"/>
              <w:rPr>
                <w:rFonts w:ascii="Times New Roman" w:hAnsi="Times New Roman" w:cs="Times New Roman"/>
                <w:sz w:val="20"/>
                <w:szCs w:val="20"/>
              </w:rPr>
            </w:pPr>
            <w:r w:rsidRPr="009F5F26">
              <w:rPr>
                <w:rFonts w:ascii="Calibri" w:hAnsi="Calibri" w:cs="Times New Roman"/>
                <w:sz w:val="20"/>
                <w:szCs w:val="20"/>
              </w:rPr>
              <w:t xml:space="preserve">Gene mutation test at the </w:t>
            </w:r>
            <w:proofErr w:type="spellStart"/>
            <w:r w:rsidRPr="009F5F26">
              <w:rPr>
                <w:rFonts w:ascii="Calibri" w:hAnsi="Calibri" w:cs="Times New Roman"/>
                <w:i/>
                <w:sz w:val="20"/>
                <w:szCs w:val="20"/>
              </w:rPr>
              <w:t>t</w:t>
            </w:r>
            <w:r w:rsidRPr="009F5F26">
              <w:rPr>
                <w:rFonts w:ascii="Calibri" w:hAnsi="Calibri" w:cs="Times New Roman"/>
                <w:sz w:val="20"/>
                <w:szCs w:val="20"/>
              </w:rPr>
              <w:t>k</w:t>
            </w:r>
            <w:proofErr w:type="spellEnd"/>
            <w:r w:rsidRPr="009F5F26">
              <w:rPr>
                <w:rFonts w:ascii="Calibri" w:hAnsi="Calibri" w:cs="Times New Roman"/>
                <w:sz w:val="20"/>
                <w:szCs w:val="20"/>
              </w:rPr>
              <w:t xml:space="preserve"> locus of L5178Y cells with AH111501 dissolved in </w:t>
            </w:r>
            <w:r w:rsidRPr="009F5F26">
              <w:rPr>
                <w:rFonts w:ascii="Calibri" w:hAnsi="Calibri" w:cs="Times New Roman"/>
                <w:sz w:val="20"/>
                <w:szCs w:val="20"/>
                <w:vertAlign w:val="superscript"/>
              </w:rPr>
              <w:t>13</w:t>
            </w:r>
            <w:r w:rsidRPr="009F5F26">
              <w:rPr>
                <w:rFonts w:ascii="Calibri" w:hAnsi="Calibri" w:cs="Times New Roman"/>
                <w:sz w:val="20"/>
                <w:szCs w:val="20"/>
              </w:rPr>
              <w:t>C pyruvate</w:t>
            </w:r>
          </w:p>
        </w:tc>
        <w:tc>
          <w:tcPr>
            <w:tcW w:w="470" w:type="pct"/>
          </w:tcPr>
          <w:p w14:paraId="7C777170" w14:textId="542DAF05" w:rsidR="009F5F26" w:rsidRPr="009F5F26" w:rsidRDefault="009F5F26" w:rsidP="009F5F26">
            <w:pPr>
              <w:rPr>
                <w:rFonts w:ascii="Times New Roman" w:hAnsi="Times New Roman" w:cs="Times New Roman"/>
                <w:sz w:val="20"/>
                <w:szCs w:val="20"/>
              </w:rPr>
            </w:pPr>
            <w:r w:rsidRPr="009F5F26">
              <w:rPr>
                <w:rFonts w:ascii="Calibri" w:hAnsi="Calibri" w:cs="Times New Roman"/>
                <w:sz w:val="20"/>
                <w:szCs w:val="20"/>
              </w:rPr>
              <w:t>TNO V5603/08 (B101015)</w:t>
            </w:r>
          </w:p>
        </w:tc>
        <w:tc>
          <w:tcPr>
            <w:tcW w:w="2924" w:type="pct"/>
          </w:tcPr>
          <w:p w14:paraId="0D47E22E" w14:textId="77777777" w:rsidR="009F5F26" w:rsidRPr="009F5F26" w:rsidRDefault="009F5F26" w:rsidP="009F5F26">
            <w:pPr>
              <w:autoSpaceDE w:val="0"/>
              <w:autoSpaceDN w:val="0"/>
              <w:adjustRightInd w:val="0"/>
              <w:rPr>
                <w:rFonts w:ascii="Calibri" w:hAnsi="Calibri" w:cs="Times New Roman"/>
                <w:sz w:val="20"/>
                <w:szCs w:val="20"/>
              </w:rPr>
            </w:pPr>
            <w:r w:rsidRPr="009F5F26">
              <w:rPr>
                <w:rFonts w:ascii="Calibri" w:hAnsi="Calibri" w:cs="Times New Roman"/>
                <w:sz w:val="20"/>
                <w:szCs w:val="20"/>
              </w:rPr>
              <w:t>In the presence of S-9 the test item ([1-</w:t>
            </w:r>
            <w:r w:rsidRPr="009F5F26">
              <w:rPr>
                <w:rFonts w:ascii="Calibri" w:hAnsi="Calibri" w:cs="Times New Roman"/>
                <w:sz w:val="20"/>
                <w:szCs w:val="20"/>
                <w:vertAlign w:val="superscript"/>
              </w:rPr>
              <w:t>13</w:t>
            </w:r>
            <w:r w:rsidRPr="009F5F26">
              <w:rPr>
                <w:rFonts w:ascii="Calibri" w:hAnsi="Calibri" w:cs="Times New Roman"/>
                <w:sz w:val="20"/>
                <w:szCs w:val="20"/>
              </w:rPr>
              <w:t>C] pyruvate formulation) was not mutagenic in this assay. In the absence of S-9, there was an increase in mutation frequency with the test item, but also with the vehicle and dissolution medium controls. In the cells treated with the test item this was only seen after exposure for 24 h in the absence of an S9 metabolizing system.</w:t>
            </w:r>
          </w:p>
        </w:tc>
      </w:tr>
    </w:tbl>
    <w:p w14:paraId="7A5F86D3" w14:textId="77777777" w:rsidR="00B90474" w:rsidRPr="00B90474" w:rsidRDefault="00B90474" w:rsidP="00B90474"/>
    <w:p w14:paraId="3DC45433" w14:textId="77777777" w:rsidR="009E14F8" w:rsidRDefault="009E14F8" w:rsidP="009E14F8"/>
    <w:p w14:paraId="2FDEF2A2" w14:textId="77777777" w:rsidR="009E14F8" w:rsidRDefault="009E14F8" w:rsidP="009E14F8">
      <w:pPr>
        <w:sectPr w:rsidR="009E14F8" w:rsidSect="00E55B59">
          <w:pgSz w:w="16834" w:h="11909" w:orient="landscape" w:code="9"/>
          <w:pgMar w:top="1440" w:right="1440" w:bottom="1440" w:left="1440" w:header="720" w:footer="720" w:gutter="0"/>
          <w:cols w:space="720"/>
          <w:docGrid w:linePitch="299"/>
        </w:sectPr>
      </w:pPr>
    </w:p>
    <w:p w14:paraId="170EFCFB" w14:textId="77777777" w:rsidR="00957F89" w:rsidRPr="00C73849" w:rsidRDefault="009E14F8">
      <w:pPr>
        <w:pStyle w:val="Heading2"/>
        <w:rPr>
          <w:rFonts w:eastAsia="Times New Roman" w:cs="Times New Roman"/>
          <w:szCs w:val="28"/>
        </w:rPr>
      </w:pPr>
      <w:bookmarkStart w:id="151" w:name="_Toc34899992"/>
      <w:bookmarkStart w:id="152" w:name="_Toc33702521"/>
      <w:bookmarkStart w:id="153" w:name="_Toc176276948"/>
      <w:r>
        <w:rPr>
          <w:rStyle w:val="Heading2Char"/>
        </w:rPr>
        <w:lastRenderedPageBreak/>
        <w:t>5.5</w:t>
      </w:r>
      <w:r w:rsidR="00D92D87" w:rsidRPr="009E14F8">
        <w:rPr>
          <w:rStyle w:val="Heading2Char"/>
        </w:rPr>
        <w:tab/>
        <w:t>S</w:t>
      </w:r>
      <w:r w:rsidR="00D92D87" w:rsidRPr="00C73849">
        <w:t>ummary of the literature on the effects of pyruvate in animals</w:t>
      </w:r>
      <w:bookmarkEnd w:id="151"/>
      <w:bookmarkEnd w:id="152"/>
      <w:bookmarkEnd w:id="153"/>
    </w:p>
    <w:p w14:paraId="350BF1A4" w14:textId="77777777" w:rsidR="00957F89" w:rsidRPr="00C73849" w:rsidRDefault="00D92D87">
      <w:pPr>
        <w:pStyle w:val="BodyText"/>
        <w:spacing w:before="233"/>
        <w:ind w:right="343"/>
      </w:pPr>
      <w:r w:rsidRPr="00C73849">
        <w:t>Animal experiments have demonstrated various beneficial metabolic effects of sodium</w:t>
      </w:r>
      <w:r w:rsidRPr="00C73849">
        <w:rPr>
          <w:w w:val="99"/>
        </w:rPr>
        <w:t xml:space="preserve"> </w:t>
      </w:r>
      <w:r w:rsidRPr="00C73849">
        <w:t>pyruvate (pyruvate) administration, particularly on the heart and during hemorrhagic shock. Pyruvate has also been shown to have neuroprotective effects, while other studies have</w:t>
      </w:r>
      <w:r w:rsidRPr="00C73849">
        <w:rPr>
          <w:w w:val="99"/>
        </w:rPr>
        <w:t xml:space="preserve"> </w:t>
      </w:r>
      <w:r w:rsidRPr="00C73849">
        <w:t>indicated that high doses of hypertonic pyruvate solutions may increase total infarct area</w:t>
      </w:r>
      <w:r w:rsidRPr="00C73849">
        <w:rPr>
          <w:w w:val="99"/>
        </w:rPr>
        <w:t xml:space="preserve"> </w:t>
      </w:r>
      <w:r w:rsidRPr="00C73849">
        <w:t>following permanent focal cerebral ischemia, and cause seizures in rodents. Pyruvate</w:t>
      </w:r>
      <w:r w:rsidRPr="00C73849">
        <w:rPr>
          <w:w w:val="99"/>
        </w:rPr>
        <w:t xml:space="preserve"> </w:t>
      </w:r>
      <w:r w:rsidRPr="00C73849">
        <w:t>administration has also been shown to protect against toxic effects in liver.</w:t>
      </w:r>
    </w:p>
    <w:p w14:paraId="2641ECDB" w14:textId="77777777" w:rsidR="00957F89" w:rsidRPr="00C73849" w:rsidRDefault="00957F89">
      <w:pPr>
        <w:spacing w:before="10"/>
        <w:rPr>
          <w:rFonts w:ascii="Times New Roman" w:eastAsia="Times New Roman" w:hAnsi="Times New Roman" w:cs="Times New Roman"/>
          <w:sz w:val="20"/>
          <w:szCs w:val="20"/>
        </w:rPr>
      </w:pPr>
    </w:p>
    <w:p w14:paraId="4A2863F3" w14:textId="77777777" w:rsidR="008265DD" w:rsidRPr="00C73849" w:rsidRDefault="00D92D87">
      <w:pPr>
        <w:pStyle w:val="BodyText"/>
        <w:ind w:right="151"/>
      </w:pPr>
      <w:r w:rsidRPr="00C73849">
        <w:t>General tolerability to pyruvate was demonstrated in a study by Thorn et al. [1996] where no toxic alterations (changes in blood and urine parameters, organ morphology) were found after</w:t>
      </w:r>
      <w:r w:rsidRPr="00C73849">
        <w:rPr>
          <w:w w:val="99"/>
        </w:rPr>
        <w:t xml:space="preserve"> </w:t>
      </w:r>
      <w:r w:rsidRPr="00C73849">
        <w:t>intramuscular injections of pyruvate up to 600 mg/day for 30 days in mice and rats.</w:t>
      </w:r>
    </w:p>
    <w:p w14:paraId="0A8F4BAE" w14:textId="77777777" w:rsidR="00957F89" w:rsidRPr="00C73849" w:rsidRDefault="00D92D87" w:rsidP="008265DD">
      <w:pPr>
        <w:pStyle w:val="BodyText"/>
        <w:ind w:right="382"/>
      </w:pPr>
      <w:r w:rsidRPr="00C73849">
        <w:t>Cardiovascular tolerance to intravenous infusion of 50% calcium- and 50% sodium pyruvate</w:t>
      </w:r>
      <w:r w:rsidRPr="00C73849">
        <w:rPr>
          <w:w w:val="99"/>
        </w:rPr>
        <w:t xml:space="preserve"> </w:t>
      </w:r>
      <w:r w:rsidRPr="00C73849">
        <w:t>was demonstrated in anesthetized intact dogs [Yanos et al., 1994]. The animals were dosed at</w:t>
      </w:r>
      <w:r w:rsidRPr="00C73849">
        <w:rPr>
          <w:w w:val="99"/>
        </w:rPr>
        <w:t xml:space="preserve"> </w:t>
      </w:r>
      <w:r w:rsidRPr="00C73849">
        <w:t xml:space="preserve">a rate starting at 0.25 mg/kg </w:t>
      </w:r>
      <w:proofErr w:type="spellStart"/>
      <w:r w:rsidRPr="00C73849">
        <w:t>bw</w:t>
      </w:r>
      <w:proofErr w:type="spellEnd"/>
      <w:r w:rsidRPr="00C73849">
        <w:t>/min of pyruvate, and the infusion rate was doubled every</w:t>
      </w:r>
    </w:p>
    <w:p w14:paraId="365702FD" w14:textId="151CFBA9" w:rsidR="00957F89" w:rsidRPr="00C73849" w:rsidRDefault="00D92D87" w:rsidP="002131A0">
      <w:pPr>
        <w:pStyle w:val="BodyText"/>
        <w:ind w:right="382"/>
      </w:pPr>
      <w:r w:rsidRPr="00C73849">
        <w:t xml:space="preserve">15 min until a value of 16 mg/kg </w:t>
      </w:r>
      <w:proofErr w:type="spellStart"/>
      <w:r w:rsidRPr="00C73849">
        <w:t>bw</w:t>
      </w:r>
      <w:proofErr w:type="spellEnd"/>
      <w:r w:rsidRPr="00C73849">
        <w:t xml:space="preserve">/min was reached. Data were collected at baseline and   after 15 min at each infusion level. The </w:t>
      </w:r>
      <w:r w:rsidR="005A4B55" w:rsidRPr="00C73849">
        <w:t>results</w:t>
      </w:r>
      <w:r w:rsidRPr="00C73849">
        <w:t xml:space="preserve"> showed increases in cardiac output, left</w:t>
      </w:r>
      <w:r w:rsidRPr="00C73849">
        <w:rPr>
          <w:w w:val="99"/>
        </w:rPr>
        <w:t xml:space="preserve"> </w:t>
      </w:r>
      <w:r w:rsidRPr="00C73849">
        <w:t>ventricular contractility, and mixed venous oxygen saturation values, demonstrating that</w:t>
      </w:r>
      <w:r w:rsidRPr="00C73849">
        <w:rPr>
          <w:w w:val="99"/>
        </w:rPr>
        <w:t xml:space="preserve"> </w:t>
      </w:r>
      <w:r w:rsidRPr="00C73849">
        <w:t>pyruvate is a positive inotrope with several important beneficial effects. Even though the mean</w:t>
      </w:r>
      <w:r w:rsidRPr="00C73849">
        <w:rPr>
          <w:w w:val="99"/>
        </w:rPr>
        <w:t xml:space="preserve"> </w:t>
      </w:r>
      <w:r w:rsidRPr="00C73849">
        <w:t>serum calcium concentrations were increased, it was concluded that there were no significant</w:t>
      </w:r>
      <w:r w:rsidRPr="00C73849">
        <w:rPr>
          <w:w w:val="99"/>
        </w:rPr>
        <w:t xml:space="preserve"> </w:t>
      </w:r>
      <w:r w:rsidRPr="00C73849">
        <w:t>negative effects related to pyruvate. All animals completed the protocol without significant</w:t>
      </w:r>
      <w:r w:rsidRPr="00C73849">
        <w:rPr>
          <w:w w:val="99"/>
        </w:rPr>
        <w:t xml:space="preserve"> </w:t>
      </w:r>
      <w:r w:rsidR="005A4B55" w:rsidRPr="00C73849">
        <w:t>hemodynamic</w:t>
      </w:r>
      <w:r w:rsidRPr="00C73849">
        <w:t xml:space="preserve"> instability or rhythm disturbance. There were no significant changes in</w:t>
      </w:r>
      <w:r w:rsidRPr="00C73849">
        <w:rPr>
          <w:w w:val="99"/>
        </w:rPr>
        <w:t xml:space="preserve"> </w:t>
      </w:r>
      <w:r w:rsidR="008265DD" w:rsidRPr="00C73849">
        <w:t>hemoglobin</w:t>
      </w:r>
      <w:r w:rsidRPr="00C73849">
        <w:t xml:space="preserve">, </w:t>
      </w:r>
      <w:r w:rsidR="008265DD" w:rsidRPr="00C73849">
        <w:t>hematocrit</w:t>
      </w:r>
      <w:r w:rsidRPr="00C73849">
        <w:t xml:space="preserve">, white blood cell count, or platelet count. Infusion of pyruvate was associated with a significant increase in arterial pyruvate concentrations relative to the controls. Heart rate and blood pressure were not affected. There was no significant effect of pyruvate on gas exchange, but a mild metabolic acidosis developed in the control animals, whereas this was absent in the pyruvate-treated animals. In an open-thorax model in anesthetized dogs, venous infusion of pyruvate (up to 32 mg/kg </w:t>
      </w:r>
      <w:proofErr w:type="spellStart"/>
      <w:r w:rsidRPr="00C73849">
        <w:t>bw</w:t>
      </w:r>
      <w:proofErr w:type="spellEnd"/>
      <w:r w:rsidRPr="00C73849">
        <w:t>/min) was reported to reduce vascular resistance, increase heart rate and left ventricular stroke volume, but not to alter either left ventricle</w:t>
      </w:r>
      <w:r w:rsidRPr="00C73849">
        <w:rPr>
          <w:w w:val="99"/>
        </w:rPr>
        <w:t xml:space="preserve"> </w:t>
      </w:r>
      <w:r w:rsidRPr="00C73849">
        <w:t>contractility or arterial blood pressure [Romand et al., 1995].</w:t>
      </w:r>
      <w:r w:rsidR="001E1911">
        <w:t xml:space="preserve"> </w:t>
      </w:r>
      <w:r w:rsidRPr="00C73849">
        <w:t>Adverse reactions to pyruvate</w:t>
      </w:r>
      <w:r w:rsidRPr="00C73849">
        <w:rPr>
          <w:w w:val="99"/>
        </w:rPr>
        <w:t xml:space="preserve"> </w:t>
      </w:r>
      <w:r w:rsidRPr="00C73849">
        <w:t xml:space="preserve">administration have however also been published. In a study in mice, rapid </w:t>
      </w:r>
      <w:r w:rsidR="007F001B">
        <w:t>IV</w:t>
      </w:r>
      <w:r w:rsidRPr="00C73849">
        <w:t xml:space="preserve"> injection</w:t>
      </w:r>
      <w:r w:rsidRPr="00C73849">
        <w:rPr>
          <w:w w:val="99"/>
        </w:rPr>
        <w:t xml:space="preserve"> </w:t>
      </w:r>
      <w:r w:rsidRPr="00C73849">
        <w:t xml:space="preserve">(injection duration 5 s) of 10 ml/kg </w:t>
      </w:r>
      <w:proofErr w:type="spellStart"/>
      <w:r w:rsidRPr="00C73849">
        <w:t>bw</w:t>
      </w:r>
      <w:proofErr w:type="spellEnd"/>
      <w:r w:rsidRPr="00C73849">
        <w:t xml:space="preserve"> of hyperosmotic 1 and 2 M sodium pyruvate (1 and 2 g/kg </w:t>
      </w:r>
      <w:proofErr w:type="spellStart"/>
      <w:r w:rsidRPr="00C73849">
        <w:t>bw</w:t>
      </w:r>
      <w:proofErr w:type="spellEnd"/>
      <w:r w:rsidRPr="00C73849">
        <w:t>, respectively) was found to cause symptoms ranging from hind limb paralysis, which</w:t>
      </w:r>
      <w:r w:rsidRPr="00C73849">
        <w:rPr>
          <w:w w:val="99"/>
        </w:rPr>
        <w:t xml:space="preserve"> </w:t>
      </w:r>
      <w:r w:rsidRPr="00C73849">
        <w:t xml:space="preserve">disappeared within 10 s, to generalized </w:t>
      </w:r>
      <w:proofErr w:type="spellStart"/>
      <w:r w:rsidRPr="00C73849">
        <w:t>clonic</w:t>
      </w:r>
      <w:proofErr w:type="spellEnd"/>
      <w:r w:rsidRPr="00C73849">
        <w:t xml:space="preserve"> convulsions, respiratory arrest and death within a</w:t>
      </w:r>
      <w:r w:rsidRPr="00C73849">
        <w:rPr>
          <w:w w:val="99"/>
        </w:rPr>
        <w:t xml:space="preserve"> </w:t>
      </w:r>
      <w:r w:rsidRPr="00C73849">
        <w:t xml:space="preserve">few seconds after the injection [Gonzales et al., 2005]. The reactions were not seen after injection of 0.25 and 0.5 M pyruvate (250 and 500 mg/kg </w:t>
      </w:r>
      <w:proofErr w:type="spellStart"/>
      <w:r w:rsidRPr="00C73849">
        <w:t>bw</w:t>
      </w:r>
      <w:proofErr w:type="spellEnd"/>
      <w:r w:rsidRPr="00C73849">
        <w:t>, respectively).</w:t>
      </w:r>
    </w:p>
    <w:p w14:paraId="431A8744" w14:textId="77777777" w:rsidR="00957F89" w:rsidRPr="00C73849" w:rsidRDefault="00957F89">
      <w:pPr>
        <w:spacing w:before="10"/>
        <w:rPr>
          <w:rFonts w:ascii="Times New Roman" w:eastAsia="Times New Roman" w:hAnsi="Times New Roman" w:cs="Times New Roman"/>
          <w:sz w:val="20"/>
          <w:szCs w:val="20"/>
        </w:rPr>
      </w:pPr>
    </w:p>
    <w:p w14:paraId="6BC40FFF" w14:textId="5BA4B5AA" w:rsidR="00957F89" w:rsidRPr="00C73849" w:rsidRDefault="00D92D87" w:rsidP="002131A0">
      <w:pPr>
        <w:pStyle w:val="BodyText"/>
        <w:spacing w:line="239" w:lineRule="auto"/>
        <w:ind w:right="343"/>
      </w:pPr>
      <w:r w:rsidRPr="00C73849">
        <w:t>Pyruvate has been reported to have beneficial effects on the heart. Thon et al. [1968] found that 5 mM pyruvate was efficiently used by the well-oxygenated in-situ perfused rabbit heart</w:t>
      </w:r>
      <w:r w:rsidRPr="00C73849">
        <w:rPr>
          <w:w w:val="99"/>
        </w:rPr>
        <w:t xml:space="preserve"> </w:t>
      </w:r>
      <w:r w:rsidRPr="00C73849">
        <w:t>when added as the sole nutrient to phosphate-Ringer solution. Addition of 5 and up to 10 mM</w:t>
      </w:r>
      <w:r w:rsidRPr="00C73849">
        <w:rPr>
          <w:w w:val="99"/>
        </w:rPr>
        <w:t xml:space="preserve"> </w:t>
      </w:r>
      <w:r w:rsidRPr="00C73849">
        <w:t>pyruvate to a Krebs-</w:t>
      </w:r>
      <w:proofErr w:type="spellStart"/>
      <w:r w:rsidRPr="00C73849">
        <w:t>Henseleit</w:t>
      </w:r>
      <w:proofErr w:type="spellEnd"/>
      <w:r w:rsidRPr="00C73849">
        <w:t xml:space="preserve"> buffer containing 5 mM glucose, 5 U/l insulin and 5 mM lactate</w:t>
      </w:r>
      <w:r w:rsidRPr="00C73849">
        <w:rPr>
          <w:w w:val="99"/>
        </w:rPr>
        <w:t xml:space="preserve"> </w:t>
      </w:r>
      <w:r w:rsidRPr="00C73849">
        <w:t xml:space="preserve">was found to restore ventricular performance following reperfusion in the isolated working- heart model using hearts from </w:t>
      </w:r>
      <w:proofErr w:type="gramStart"/>
      <w:r w:rsidRPr="00C73849">
        <w:t>guinea-pig</w:t>
      </w:r>
      <w:proofErr w:type="gramEnd"/>
      <w:r w:rsidRPr="00C73849">
        <w:t xml:space="preserve"> [</w:t>
      </w:r>
      <w:proofErr w:type="spellStart"/>
      <w:r w:rsidRPr="00C73849">
        <w:t>Bünger</w:t>
      </w:r>
      <w:proofErr w:type="spellEnd"/>
      <w:r w:rsidRPr="00C73849">
        <w:t xml:space="preserve"> et al., 1989]. Infusion of 1 ml/min of 150 mM pyruvate in the left anterior descending artery in an open-thorax model in anesthetized</w:t>
      </w:r>
      <w:r w:rsidRPr="00C73849">
        <w:rPr>
          <w:w w:val="99"/>
        </w:rPr>
        <w:t xml:space="preserve"> </w:t>
      </w:r>
      <w:r w:rsidRPr="00C73849">
        <w:t>dogs was found to increase regional contractility measured as systolic wall thickening in the</w:t>
      </w:r>
      <w:r w:rsidRPr="00C73849">
        <w:rPr>
          <w:w w:val="99"/>
        </w:rPr>
        <w:t xml:space="preserve"> </w:t>
      </w:r>
      <w:r w:rsidRPr="00C73849">
        <w:t>normal and the stunned myocardium [Mentzer et al., 1989]. These findings were further</w:t>
      </w:r>
      <w:r w:rsidRPr="00C73849">
        <w:rPr>
          <w:w w:val="99"/>
        </w:rPr>
        <w:t xml:space="preserve"> </w:t>
      </w:r>
      <w:r w:rsidRPr="00C73849">
        <w:t>explored by Zhou et al. [1995] in an open-thorax model in the anesthetized pig by cardiac</w:t>
      </w:r>
      <w:r w:rsidR="008265DD">
        <w:t xml:space="preserve"> </w:t>
      </w:r>
      <w:proofErr w:type="spellStart"/>
      <w:r w:rsidRPr="00C73849">
        <w:t>microdialysis</w:t>
      </w:r>
      <w:proofErr w:type="spellEnd"/>
      <w:r w:rsidRPr="00C73849">
        <w:t>. The study demonstrated that intracoronary infusion of 1 ml/min of 150 mM</w:t>
      </w:r>
      <w:r w:rsidRPr="00C73849">
        <w:rPr>
          <w:w w:val="99"/>
        </w:rPr>
        <w:t xml:space="preserve"> </w:t>
      </w:r>
      <w:r w:rsidRPr="00C73849">
        <w:t>pyruvate following myocardial stunning partially restored regional contractility without</w:t>
      </w:r>
      <w:r w:rsidRPr="00C73849">
        <w:rPr>
          <w:w w:val="99"/>
        </w:rPr>
        <w:t xml:space="preserve"> </w:t>
      </w:r>
      <w:r w:rsidRPr="00C73849">
        <w:t xml:space="preserve">increasing regional oxygen </w:t>
      </w:r>
      <w:r w:rsidRPr="00C73849">
        <w:lastRenderedPageBreak/>
        <w:t>consumption. The infusion was found to increase the regional</w:t>
      </w:r>
      <w:r w:rsidRPr="00C73849">
        <w:rPr>
          <w:w w:val="99"/>
        </w:rPr>
        <w:t xml:space="preserve"> </w:t>
      </w:r>
      <w:r w:rsidRPr="00C73849">
        <w:t>myocardial phosphorylation potential as measured by the ratio between creatine phosphate and</w:t>
      </w:r>
      <w:r w:rsidRPr="00C73849">
        <w:rPr>
          <w:w w:val="99"/>
        </w:rPr>
        <w:t xml:space="preserve"> </w:t>
      </w:r>
      <w:r w:rsidRPr="00C73849">
        <w:t>creatine multiplied by inorganic phosphate. At 20 min after the end of pyruvate infusion these</w:t>
      </w:r>
      <w:r w:rsidRPr="00C73849">
        <w:rPr>
          <w:w w:val="99"/>
        </w:rPr>
        <w:t xml:space="preserve"> </w:t>
      </w:r>
      <w:r w:rsidRPr="00C73849">
        <w:t>parameters had returned to pre-treatment values. Administration of pyruvate was found to</w:t>
      </w:r>
      <w:r w:rsidRPr="00C73849">
        <w:rPr>
          <w:w w:val="99"/>
        </w:rPr>
        <w:t xml:space="preserve"> </w:t>
      </w:r>
      <w:r w:rsidRPr="00C73849">
        <w:t xml:space="preserve">significantly reduce infarct size following 60 min occlusion of the left anterior descending coronary artery in the anesthetized pig, compared to saline-treated animals [Kristo et al., 2004]. Pyruvate (300 mg/ml) was administered as an </w:t>
      </w:r>
      <w:r w:rsidR="007F001B">
        <w:t>IV</w:t>
      </w:r>
      <w:r w:rsidRPr="00C73849">
        <w:t xml:space="preserve"> bolus of 100 mg/kg </w:t>
      </w:r>
      <w:proofErr w:type="spellStart"/>
      <w:r w:rsidRPr="00C73849">
        <w:t>bw</w:t>
      </w:r>
      <w:proofErr w:type="spellEnd"/>
      <w:r w:rsidRPr="00C73849">
        <w:t xml:space="preserve"> followed by intra- arterial infusion of 10 mg/kg/min, with treatment initiated 30 min before occlusion and continued during </w:t>
      </w:r>
      <w:proofErr w:type="gramStart"/>
      <w:r w:rsidRPr="00C73849">
        <w:t>ischemia, or</w:t>
      </w:r>
      <w:proofErr w:type="gramEnd"/>
      <w:r w:rsidRPr="00C73849">
        <w:t xml:space="preserve"> extended throughout 60 min after reperfusion. There were no differences in heart rate, mean arterial pressure or coronary blood flow between the groups</w:t>
      </w:r>
      <w:r w:rsidR="008265DD">
        <w:t xml:space="preserve"> </w:t>
      </w:r>
      <w:r w:rsidRPr="00C73849">
        <w:rPr>
          <w:position w:val="2"/>
        </w:rPr>
        <w:t xml:space="preserve">before occlusion and for up to 3 h after reperfusion. Arterial blood pH, </w:t>
      </w:r>
      <w:r w:rsidR="00F61776" w:rsidRPr="00C73849">
        <w:rPr>
          <w:position w:val="2"/>
        </w:rPr>
        <w:t>hematocrit</w:t>
      </w:r>
      <w:r w:rsidRPr="00C73849">
        <w:rPr>
          <w:position w:val="2"/>
        </w:rPr>
        <w:t>, P</w:t>
      </w:r>
      <w:r w:rsidRPr="00C73849">
        <w:rPr>
          <w:position w:val="2"/>
          <w:sz w:val="16"/>
        </w:rPr>
        <w:t>CO</w:t>
      </w:r>
      <w:r w:rsidRPr="00C73849">
        <w:rPr>
          <w:sz w:val="10"/>
        </w:rPr>
        <w:t>2</w:t>
      </w:r>
      <w:r w:rsidRPr="00C73849">
        <w:rPr>
          <w:position w:val="2"/>
        </w:rPr>
        <w:t>, P</w:t>
      </w:r>
      <w:r w:rsidRPr="00C73849">
        <w:rPr>
          <w:position w:val="2"/>
          <w:sz w:val="16"/>
        </w:rPr>
        <w:t>O</w:t>
      </w:r>
      <w:r w:rsidRPr="00C73849">
        <w:rPr>
          <w:sz w:val="10"/>
        </w:rPr>
        <w:t>2</w:t>
      </w:r>
      <w:r w:rsidRPr="00C73849">
        <w:rPr>
          <w:position w:val="2"/>
          <w:sz w:val="16"/>
        </w:rPr>
        <w:t xml:space="preserve">, </w:t>
      </w:r>
      <w:r w:rsidRPr="00C73849">
        <w:t>Na</w:t>
      </w:r>
      <w:r w:rsidRPr="00C73849">
        <w:rPr>
          <w:position w:val="11"/>
          <w:sz w:val="16"/>
        </w:rPr>
        <w:t>+</w:t>
      </w:r>
      <w:r w:rsidRPr="00C73849">
        <w:t>, K</w:t>
      </w:r>
      <w:r w:rsidRPr="00C73849">
        <w:rPr>
          <w:position w:val="11"/>
          <w:sz w:val="16"/>
        </w:rPr>
        <w:t>+</w:t>
      </w:r>
      <w:r w:rsidRPr="00C73849">
        <w:t>, Ca</w:t>
      </w:r>
      <w:r w:rsidRPr="00C73849">
        <w:rPr>
          <w:position w:val="11"/>
          <w:sz w:val="16"/>
        </w:rPr>
        <w:t xml:space="preserve">2+ </w:t>
      </w:r>
      <w:r w:rsidRPr="00C73849">
        <w:t>and HCO</w:t>
      </w:r>
      <w:r w:rsidRPr="00C73849">
        <w:rPr>
          <w:position w:val="-2"/>
          <w:sz w:val="16"/>
        </w:rPr>
        <w:t>3</w:t>
      </w:r>
      <w:r w:rsidRPr="00C73849">
        <w:rPr>
          <w:position w:val="11"/>
          <w:sz w:val="16"/>
        </w:rPr>
        <w:t xml:space="preserve">- </w:t>
      </w:r>
      <w:r w:rsidRPr="00C73849">
        <w:t>concentration were also similar across the groups. The effects of intravenous pyruvate have also been studied in an open-thorax model of cardiac arrest (5 min)</w:t>
      </w:r>
      <w:r w:rsidRPr="00C73849">
        <w:rPr>
          <w:w w:val="99"/>
        </w:rPr>
        <w:t xml:space="preserve"> </w:t>
      </w:r>
      <w:r w:rsidRPr="00C73849">
        <w:t>and cardiopulmonary resuscitation in anesthetized dogs [Sharma et al. 2005]. Pyruvate was infusion at a rate of 0.125 mmol/kg/min during 5 min of resuscitation and for 25 min following</w:t>
      </w:r>
      <w:r w:rsidRPr="00C73849">
        <w:rPr>
          <w:w w:val="99"/>
        </w:rPr>
        <w:t xml:space="preserve"> </w:t>
      </w:r>
      <w:r w:rsidRPr="00C73849">
        <w:t>recovery. The infusion increased the plasma concentration of pyruvate to approx</w:t>
      </w:r>
      <w:r w:rsidR="007F001B">
        <w:t>imately</w:t>
      </w:r>
      <w:r w:rsidRPr="00C73849">
        <w:t xml:space="preserve"> 3.6 mM and</w:t>
      </w:r>
      <w:r w:rsidRPr="00C73849">
        <w:rPr>
          <w:w w:val="99"/>
        </w:rPr>
        <w:t xml:space="preserve"> </w:t>
      </w:r>
      <w:r w:rsidRPr="00C73849">
        <w:t>improved post-arrest myocardial contractility and carotid flow compared to saline-treated</w:t>
      </w:r>
      <w:r w:rsidR="008265DD">
        <w:t xml:space="preserve"> </w:t>
      </w:r>
      <w:r w:rsidRPr="00C73849">
        <w:t>animals. At 2-3 h after resuscitation contractile function stabilized and ECG normalized in</w:t>
      </w:r>
      <w:r w:rsidRPr="00C73849">
        <w:rPr>
          <w:w w:val="99"/>
        </w:rPr>
        <w:t xml:space="preserve"> </w:t>
      </w:r>
      <w:r w:rsidRPr="00C73849">
        <w:t>pyruvate-treated animals despite clearance of pyruvate. Sharma et al. [2007] further explored</w:t>
      </w:r>
      <w:r w:rsidRPr="00C73849">
        <w:rPr>
          <w:w w:val="99"/>
        </w:rPr>
        <w:t xml:space="preserve"> </w:t>
      </w:r>
      <w:r w:rsidRPr="00C73849">
        <w:t>the effects of 30 min pyruvate pre-treatment (0.125 mmol/kg/min) on myocardial enzymes in</w:t>
      </w:r>
      <w:r w:rsidRPr="00C73849">
        <w:rPr>
          <w:w w:val="99"/>
        </w:rPr>
        <w:t xml:space="preserve"> </w:t>
      </w:r>
      <w:r w:rsidRPr="00C73849">
        <w:t>the model. It was found that the pre-treatment alleviated inactivation of some myocardial</w:t>
      </w:r>
      <w:r w:rsidRPr="00C73849">
        <w:rPr>
          <w:w w:val="99"/>
        </w:rPr>
        <w:t xml:space="preserve"> </w:t>
      </w:r>
      <w:r w:rsidRPr="00C73849">
        <w:t>metabolic enzymes (e.g., phosphofructokinase, citrate synthase, malate dehydrogenase) during arrest in part by enhancing pre-arrest activities. There may be an upper limit to the</w:t>
      </w:r>
      <w:r w:rsidRPr="00C73849">
        <w:rPr>
          <w:w w:val="99"/>
        </w:rPr>
        <w:t xml:space="preserve"> </w:t>
      </w:r>
      <w:r w:rsidRPr="00C73849">
        <w:t>concentration range in which intravenous pyruvate has a therapeutic effect since Laughlin et al.</w:t>
      </w:r>
      <w:r w:rsidRPr="00C73849">
        <w:rPr>
          <w:w w:val="99"/>
        </w:rPr>
        <w:t xml:space="preserve"> </w:t>
      </w:r>
      <w:r w:rsidRPr="00C73849">
        <w:t xml:space="preserve">[1993] reported that in a study on </w:t>
      </w:r>
      <w:r w:rsidRPr="00C73849">
        <w:rPr>
          <w:i/>
        </w:rPr>
        <w:t xml:space="preserve">in situ </w:t>
      </w:r>
      <w:r w:rsidRPr="00C73849">
        <w:t>canine hearts, the heart rate became erratic, and blood</w:t>
      </w:r>
      <w:r w:rsidRPr="00C73849">
        <w:rPr>
          <w:w w:val="99"/>
        </w:rPr>
        <w:t xml:space="preserve"> </w:t>
      </w:r>
      <w:r w:rsidRPr="00C73849">
        <w:t xml:space="preserve">pressure fell when plasma pyruvate exceeded 9 </w:t>
      </w:r>
      <w:proofErr w:type="spellStart"/>
      <w:r w:rsidRPr="00C73849">
        <w:t>mM.</w:t>
      </w:r>
      <w:proofErr w:type="spellEnd"/>
      <w:r w:rsidRPr="00C73849">
        <w:t xml:space="preserve"> Further, </w:t>
      </w:r>
      <w:proofErr w:type="spellStart"/>
      <w:r w:rsidRPr="00C73849">
        <w:t>Bünger</w:t>
      </w:r>
      <w:proofErr w:type="spellEnd"/>
      <w:r w:rsidRPr="00C73849">
        <w:t xml:space="preserve"> et al. [1989] found pyruvate to be less effective in preserving reperfusion function in isolated working guinea-pig hearts at concentrations above 10 </w:t>
      </w:r>
      <w:proofErr w:type="spellStart"/>
      <w:r w:rsidRPr="00C73849">
        <w:t>mM.</w:t>
      </w:r>
      <w:proofErr w:type="spellEnd"/>
    </w:p>
    <w:p w14:paraId="5BA690BD" w14:textId="77777777" w:rsidR="00957F89" w:rsidRPr="00C73849" w:rsidRDefault="00957F89">
      <w:pPr>
        <w:spacing w:before="10"/>
        <w:rPr>
          <w:rFonts w:ascii="Times New Roman" w:eastAsia="Times New Roman" w:hAnsi="Times New Roman" w:cs="Times New Roman"/>
          <w:sz w:val="20"/>
          <w:szCs w:val="20"/>
        </w:rPr>
      </w:pPr>
    </w:p>
    <w:p w14:paraId="200B7A1B" w14:textId="227B4AEF" w:rsidR="00957F89" w:rsidRDefault="00D92D87" w:rsidP="002131A0">
      <w:pPr>
        <w:pStyle w:val="BodyText"/>
        <w:ind w:right="207"/>
      </w:pPr>
      <w:r w:rsidRPr="00C73849">
        <w:t xml:space="preserve">Pyruvate administration has been reported to protect against cerebral insults. Rats injected </w:t>
      </w:r>
      <w:r w:rsidR="00634101">
        <w:t>IP</w:t>
      </w:r>
      <w:r w:rsidRPr="00C73849">
        <w:rPr>
          <w:w w:val="99"/>
        </w:rPr>
        <w:t xml:space="preserve"> </w:t>
      </w:r>
      <w:r w:rsidRPr="00C73849">
        <w:t xml:space="preserve">with sodium pyruvate (500-1000 mg/kg </w:t>
      </w:r>
      <w:proofErr w:type="spellStart"/>
      <w:r w:rsidRPr="00C73849">
        <w:t>bw</w:t>
      </w:r>
      <w:proofErr w:type="spellEnd"/>
      <w:r w:rsidRPr="00C73849">
        <w:t xml:space="preserve">) within 1 h after 12 min of forebrain </w:t>
      </w:r>
      <w:r w:rsidR="00F61776" w:rsidRPr="00C73849">
        <w:t>ischemia</w:t>
      </w:r>
      <w:r w:rsidRPr="00C73849">
        <w:rPr>
          <w:w w:val="99"/>
        </w:rPr>
        <w:t xml:space="preserve"> </w:t>
      </w:r>
      <w:r w:rsidRPr="00C73849">
        <w:t>showed almost no neuronal death, and the mortality was markedly decreased in the pyruvate- protected groups (3.8 %) compared with the NaCl-injected group (58.1 %) [Lee et al., 2001]. The neuroprotective effect persisted for 30 days after the insult, without noticeable side-effects.</w:t>
      </w:r>
      <w:r w:rsidRPr="00C73849">
        <w:rPr>
          <w:w w:val="99"/>
        </w:rPr>
        <w:t xml:space="preserve"> </w:t>
      </w:r>
      <w:r w:rsidRPr="00C73849">
        <w:t>The authors speculated that the effect could be due to protection against zinc neurotoxicity, which was stated as one of the likely key mechanisms of ischemic brain injury. When sodium</w:t>
      </w:r>
      <w:r w:rsidRPr="00C73849">
        <w:rPr>
          <w:w w:val="99"/>
        </w:rPr>
        <w:t xml:space="preserve"> </w:t>
      </w:r>
      <w:r w:rsidRPr="00C73849">
        <w:t xml:space="preserve">pyruvate (100 mg/ml) was given </w:t>
      </w:r>
      <w:r w:rsidR="00634101">
        <w:t>IP</w:t>
      </w:r>
      <w:r w:rsidRPr="00C73849">
        <w:t xml:space="preserve"> to rats 30 min after induction of permanent cerebral</w:t>
      </w:r>
      <w:r w:rsidRPr="00C73849">
        <w:rPr>
          <w:w w:val="99"/>
        </w:rPr>
        <w:t xml:space="preserve"> </w:t>
      </w:r>
      <w:r w:rsidRPr="00C73849">
        <w:t xml:space="preserve">ischemia, doses of 250 and 500 mg/kg </w:t>
      </w:r>
      <w:proofErr w:type="spellStart"/>
      <w:r w:rsidRPr="00C73849">
        <w:t>bw</w:t>
      </w:r>
      <w:proofErr w:type="spellEnd"/>
      <w:r w:rsidRPr="00C73849">
        <w:t xml:space="preserve"> appeared to increase survival and reduce neurological deficits when compared to rats treated with osmolarity-matched saline [González-</w:t>
      </w:r>
      <w:r w:rsidR="001E1911">
        <w:t xml:space="preserve"> </w:t>
      </w:r>
      <w:r w:rsidRPr="00C73849">
        <w:t>Falcón et al., 2003]. The administration of pyruvate in these doses did not affect infarct</w:t>
      </w:r>
      <w:r w:rsidR="001E1911">
        <w:rPr>
          <w:w w:val="99"/>
        </w:rPr>
        <w:t xml:space="preserve"> </w:t>
      </w:r>
      <w:r w:rsidRPr="00C73849">
        <w:t xml:space="preserve">volume. Pyruvate at a dose of 1000 mg/kg </w:t>
      </w:r>
      <w:proofErr w:type="spellStart"/>
      <w:r w:rsidRPr="00C73849">
        <w:t>bw</w:t>
      </w:r>
      <w:proofErr w:type="spellEnd"/>
      <w:r w:rsidRPr="00C73849">
        <w:t xml:space="preserve"> was, in the same study, found to increase</w:t>
      </w:r>
      <w:r w:rsidRPr="00C73849">
        <w:rPr>
          <w:w w:val="99"/>
        </w:rPr>
        <w:t xml:space="preserve"> </w:t>
      </w:r>
      <w:r w:rsidRPr="00C73849">
        <w:t xml:space="preserve">neurological deficits and total infarct volume when administered 30 min before infarction. A study comparing </w:t>
      </w:r>
      <w:r w:rsidR="00634101">
        <w:t>IP</w:t>
      </w:r>
      <w:r w:rsidRPr="00C73849">
        <w:t xml:space="preserve"> and </w:t>
      </w:r>
      <w:r w:rsidR="00634101">
        <w:t>IV</w:t>
      </w:r>
      <w:r w:rsidRPr="00C73849">
        <w:t xml:space="preserve"> administration of sodium pyruvate following transient (1 h) and</w:t>
      </w:r>
      <w:r w:rsidRPr="00C73849">
        <w:rPr>
          <w:w w:val="99"/>
        </w:rPr>
        <w:t xml:space="preserve"> </w:t>
      </w:r>
      <w:r w:rsidRPr="00C73849">
        <w:t>permanent focal cerebral ischemia in the rat demonstrated protective effects when pyruvate</w:t>
      </w:r>
      <w:r w:rsidRPr="00C73849">
        <w:rPr>
          <w:w w:val="99"/>
        </w:rPr>
        <w:t xml:space="preserve"> </w:t>
      </w:r>
      <w:r w:rsidRPr="00C73849">
        <w:t>administration was started 30 min after reperfusion or occlusion [Yi et al. 2007]. Doses of</w:t>
      </w:r>
      <w:r w:rsidR="00203D0A">
        <w:t xml:space="preserve"> </w:t>
      </w:r>
      <w:r w:rsidRPr="00C73849">
        <w:t xml:space="preserve">62.5-250 mg/kg </w:t>
      </w:r>
      <w:proofErr w:type="spellStart"/>
      <w:r w:rsidRPr="00C73849">
        <w:t>bw</w:t>
      </w:r>
      <w:proofErr w:type="spellEnd"/>
      <w:r w:rsidRPr="00C73849">
        <w:t xml:space="preserve"> reduced infarct volume in both stroke models compared to saline-treated</w:t>
      </w:r>
      <w:r w:rsidRPr="00C73849">
        <w:rPr>
          <w:w w:val="99"/>
        </w:rPr>
        <w:t xml:space="preserve"> </w:t>
      </w:r>
      <w:r w:rsidRPr="00C73849">
        <w:t xml:space="preserve">animals when administered </w:t>
      </w:r>
      <w:r w:rsidR="00634101">
        <w:t>IP</w:t>
      </w:r>
      <w:r w:rsidRPr="00C73849">
        <w:t xml:space="preserve"> and against transient ischemia when administered </w:t>
      </w:r>
      <w:r w:rsidR="00634101">
        <w:t>IV</w:t>
      </w:r>
      <w:r w:rsidRPr="00C73849">
        <w:t>. In the</w:t>
      </w:r>
      <w:r w:rsidRPr="00C73849">
        <w:rPr>
          <w:w w:val="99"/>
        </w:rPr>
        <w:t xml:space="preserve"> </w:t>
      </w:r>
      <w:r w:rsidRPr="00C73849">
        <w:t>permanent occlusion model only doses of 125 and 250 mg/kg reduced the infarct volume.</w:t>
      </w:r>
    </w:p>
    <w:p w14:paraId="7358104F" w14:textId="77777777" w:rsidR="00203D0A" w:rsidRPr="00C73849" w:rsidRDefault="00203D0A" w:rsidP="002131A0">
      <w:pPr>
        <w:pStyle w:val="BodyText"/>
        <w:ind w:right="207"/>
      </w:pPr>
    </w:p>
    <w:p w14:paraId="147690E0" w14:textId="0204CB7A" w:rsidR="00957F89" w:rsidRPr="00C73849" w:rsidRDefault="00D92D87" w:rsidP="002131A0">
      <w:pPr>
        <w:pStyle w:val="BodyText"/>
        <w:ind w:right="189"/>
      </w:pPr>
      <w:r w:rsidRPr="00C73849">
        <w:t xml:space="preserve">Pyruvate at 500 mg/kg </w:t>
      </w:r>
      <w:proofErr w:type="spellStart"/>
      <w:r w:rsidRPr="00C73849">
        <w:t>bw</w:t>
      </w:r>
      <w:proofErr w:type="spellEnd"/>
      <w:r w:rsidRPr="00C73849">
        <w:t xml:space="preserve"> showed little protective effect. The neuroprotective effect was also</w:t>
      </w:r>
      <w:r w:rsidRPr="00C73849">
        <w:rPr>
          <w:w w:val="99"/>
        </w:rPr>
        <w:t xml:space="preserve"> </w:t>
      </w:r>
      <w:r w:rsidRPr="00C73849">
        <w:lastRenderedPageBreak/>
        <w:t xml:space="preserve">present when 125 mg/kg </w:t>
      </w:r>
      <w:proofErr w:type="spellStart"/>
      <w:r w:rsidRPr="00C73849">
        <w:t>bw</w:t>
      </w:r>
      <w:proofErr w:type="spellEnd"/>
      <w:r w:rsidRPr="00C73849">
        <w:t xml:space="preserve"> was administered </w:t>
      </w:r>
      <w:r w:rsidR="00634101">
        <w:t>IP</w:t>
      </w:r>
      <w:r w:rsidRPr="00C73849">
        <w:t xml:space="preserve"> at 1 h after permanent occlusion, and the effect lasted 14 days. Pyruvate-treated animals (125 mg/kg </w:t>
      </w:r>
      <w:proofErr w:type="spellStart"/>
      <w:r w:rsidRPr="00C73849">
        <w:t>bw</w:t>
      </w:r>
      <w:proofErr w:type="spellEnd"/>
      <w:r w:rsidRPr="00C73849">
        <w:t>) had gained weight at 14 days</w:t>
      </w:r>
      <w:r w:rsidR="001E1911">
        <w:t xml:space="preserve">    </w:t>
      </w:r>
      <w:r w:rsidRPr="00C73849">
        <w:t>after insult whereas saline treated animals failed to regain weight. Pyruvate administration</w:t>
      </w:r>
      <w:r w:rsidRPr="00C73849">
        <w:rPr>
          <w:w w:val="99"/>
        </w:rPr>
        <w:t xml:space="preserve"> </w:t>
      </w:r>
      <w:r w:rsidRPr="00C73849">
        <w:t>furthermore preserved motor function compared to sham treated animals, with saline treated animals having significantly poorer motor function compared to sham. Pyruvate has also been</w:t>
      </w:r>
      <w:r w:rsidRPr="00C73849">
        <w:rPr>
          <w:w w:val="99"/>
        </w:rPr>
        <w:t xml:space="preserve"> </w:t>
      </w:r>
      <w:r w:rsidRPr="00C73849">
        <w:t>shown to protect against neurological dysfunction following closed head injury in the rat</w:t>
      </w:r>
      <w:r w:rsidRPr="00C73849">
        <w:rPr>
          <w:w w:val="99"/>
        </w:rPr>
        <w:t xml:space="preserve"> </w:t>
      </w:r>
      <w:r w:rsidRPr="00C73849">
        <w:t xml:space="preserve">[Zlotnik et al., 2007]. A 30-min </w:t>
      </w:r>
      <w:r w:rsidR="00634101">
        <w:t>IV</w:t>
      </w:r>
      <w:r w:rsidR="00634101" w:rsidRPr="00C73849">
        <w:t xml:space="preserve"> </w:t>
      </w:r>
      <w:r w:rsidRPr="00C73849">
        <w:t>infusion was started 75 min after injury, and doses of 0.1 to</w:t>
      </w:r>
      <w:r w:rsidRPr="00C73849">
        <w:rPr>
          <w:w w:val="99"/>
        </w:rPr>
        <w:t xml:space="preserve"> </w:t>
      </w:r>
      <w:r w:rsidRPr="00C73849">
        <w:t xml:space="preserve">1 mmol/kg </w:t>
      </w:r>
      <w:proofErr w:type="spellStart"/>
      <w:r w:rsidRPr="00C73849">
        <w:t>bw</w:t>
      </w:r>
      <w:proofErr w:type="spellEnd"/>
      <w:r w:rsidRPr="00C73849">
        <w:t xml:space="preserve"> rat were found to give an improvement in neurological severity score of approx. 70% at 48 h compared to 1 h after injury. Saline-treated animals were also found to recover,</w:t>
      </w:r>
      <w:r w:rsidR="001E1911">
        <w:t xml:space="preserve"> </w:t>
      </w:r>
      <w:r w:rsidRPr="00C73849">
        <w:t>but the recovery was slower than and not as complete as for animals treated with 1 mmol/kg</w:t>
      </w:r>
      <w:r w:rsidR="001E1911">
        <w:rPr>
          <w:w w:val="99"/>
        </w:rPr>
        <w:t xml:space="preserve"> </w:t>
      </w:r>
      <w:proofErr w:type="spellStart"/>
      <w:r w:rsidRPr="00C73849">
        <w:t>bw</w:t>
      </w:r>
      <w:proofErr w:type="spellEnd"/>
      <w:r w:rsidRPr="00C73849">
        <w:t xml:space="preserve"> pyruvate. In a recent study of neurological recovery following 5 min of cardiopulmonary arrest and resuscitation in mongrel dogs, </w:t>
      </w:r>
      <w:r w:rsidR="00634101">
        <w:t>IV</w:t>
      </w:r>
      <w:r w:rsidR="00634101" w:rsidRPr="00C73849">
        <w:t xml:space="preserve"> </w:t>
      </w:r>
      <w:r w:rsidRPr="00C73849">
        <w:t>infusion of hyperosmotic sodium pyruvate (2 M) reduced oxidative stress during infusion, preserved neurological function at recovery Days 1</w:t>
      </w:r>
      <w:r w:rsidR="001E1911">
        <w:t xml:space="preserve"> </w:t>
      </w:r>
      <w:r w:rsidRPr="00C73849">
        <w:t>and 2 and prevented neuronal loss in the hippocampal CA1 subregion on recovery Day 3 compared to treatment with 2 M NaCl [Sharma et al., 2008]. Pyruvate was administered at a</w:t>
      </w:r>
      <w:r w:rsidRPr="00C73849">
        <w:rPr>
          <w:w w:val="99"/>
        </w:rPr>
        <w:t xml:space="preserve"> </w:t>
      </w:r>
      <w:r w:rsidRPr="00C73849">
        <w:t xml:space="preserve">rate of 0.125 mmol/kg </w:t>
      </w:r>
      <w:proofErr w:type="spellStart"/>
      <w:r w:rsidRPr="00C73849">
        <w:t>bw</w:t>
      </w:r>
      <w:proofErr w:type="spellEnd"/>
      <w:r w:rsidRPr="00C73849">
        <w:t xml:space="preserve">/min (13.75 mg/kg </w:t>
      </w:r>
      <w:proofErr w:type="spellStart"/>
      <w:r w:rsidRPr="00C73849">
        <w:t>bw</w:t>
      </w:r>
      <w:proofErr w:type="spellEnd"/>
      <w:r w:rsidRPr="00C73849">
        <w:t>/min) during 5 min of open-chest cardiac</w:t>
      </w:r>
      <w:r w:rsidRPr="00C73849">
        <w:rPr>
          <w:w w:val="99"/>
        </w:rPr>
        <w:t xml:space="preserve"> </w:t>
      </w:r>
      <w:r w:rsidRPr="00C73849">
        <w:t>compressions and for 55 min following recovery of spontaneous circulation, giving a minimum</w:t>
      </w:r>
      <w:r w:rsidRPr="00C73849">
        <w:rPr>
          <w:w w:val="99"/>
        </w:rPr>
        <w:t xml:space="preserve"> </w:t>
      </w:r>
      <w:r w:rsidRPr="00C73849">
        <w:t xml:space="preserve">total dose of 7.5 mmol/kg </w:t>
      </w:r>
      <w:proofErr w:type="spellStart"/>
      <w:r w:rsidRPr="00C73849">
        <w:t>bw</w:t>
      </w:r>
      <w:proofErr w:type="spellEnd"/>
      <w:r w:rsidRPr="00C73849">
        <w:t xml:space="preserve"> (825 mg/kg </w:t>
      </w:r>
      <w:proofErr w:type="spellStart"/>
      <w:r w:rsidRPr="00C73849">
        <w:t>bw</w:t>
      </w:r>
      <w:proofErr w:type="spellEnd"/>
      <w:r w:rsidRPr="00C73849">
        <w:t>). In a transgenic model of amyotrophic lateral</w:t>
      </w:r>
      <w:r w:rsidRPr="00C73849">
        <w:rPr>
          <w:w w:val="99"/>
        </w:rPr>
        <w:t xml:space="preserve"> </w:t>
      </w:r>
      <w:r w:rsidRPr="00C73849">
        <w:t xml:space="preserve">sclerosis, pyruvate administered </w:t>
      </w:r>
      <w:r w:rsidR="00634101">
        <w:t>IP</w:t>
      </w:r>
      <w:r w:rsidR="00634101" w:rsidRPr="00C73849">
        <w:t xml:space="preserve"> </w:t>
      </w:r>
      <w:r w:rsidRPr="00C73849">
        <w:t xml:space="preserve">at a dose of 1000 mg/kg </w:t>
      </w:r>
      <w:proofErr w:type="spellStart"/>
      <w:r w:rsidRPr="00C73849">
        <w:t>bw</w:t>
      </w:r>
      <w:proofErr w:type="spellEnd"/>
      <w:r w:rsidRPr="00C73849">
        <w:t>/week from 70 days of age was found not to affect disease onset but increase mean lifespan by 10.5% while improving motor</w:t>
      </w:r>
      <w:r w:rsidRPr="00C73849">
        <w:rPr>
          <w:w w:val="99"/>
        </w:rPr>
        <w:t xml:space="preserve"> </w:t>
      </w:r>
      <w:r w:rsidRPr="00C73849">
        <w:t xml:space="preserve">function and preventing weight loss when compared to mice treated with saline. However, pyruvate has also been shown to have </w:t>
      </w:r>
      <w:proofErr w:type="gramStart"/>
      <w:r w:rsidRPr="00C73849">
        <w:t>less</w:t>
      </w:r>
      <w:proofErr w:type="gramEnd"/>
      <w:r w:rsidRPr="00C73849">
        <w:t xml:space="preserve"> positive effects on the CNS when administered in</w:t>
      </w:r>
      <w:r w:rsidRPr="00C73849">
        <w:rPr>
          <w:w w:val="99"/>
        </w:rPr>
        <w:t xml:space="preserve"> </w:t>
      </w:r>
      <w:r w:rsidRPr="00C73849">
        <w:t xml:space="preserve">extremely high doses. Intraperitoneal injection of 10 ml/kg </w:t>
      </w:r>
      <w:proofErr w:type="spellStart"/>
      <w:r w:rsidRPr="00C73849">
        <w:t>bw</w:t>
      </w:r>
      <w:proofErr w:type="spellEnd"/>
      <w:r w:rsidRPr="00C73849">
        <w:t xml:space="preserve"> of hyperosmotic pyruvate (0.1-5.6 M) in 0.9% saline in mice at 30 min before infusion of the seizure-inducing agent</w:t>
      </w:r>
      <w:r w:rsidRPr="00C73849">
        <w:rPr>
          <w:w w:val="99"/>
        </w:rPr>
        <w:t xml:space="preserve"> </w:t>
      </w:r>
      <w:r w:rsidRPr="00C73849">
        <w:t xml:space="preserve">pentylenetetrazol, was found to reduce the threshold for tail twitch and </w:t>
      </w:r>
      <w:proofErr w:type="spellStart"/>
      <w:r w:rsidRPr="00C73849">
        <w:t>clonic</w:t>
      </w:r>
      <w:proofErr w:type="spellEnd"/>
      <w:r w:rsidRPr="00C73849">
        <w:t xml:space="preserve"> seizures for the</w:t>
      </w:r>
      <w:r w:rsidRPr="00C73849">
        <w:rPr>
          <w:w w:val="99"/>
        </w:rPr>
        <w:t xml:space="preserve"> </w:t>
      </w:r>
      <w:r w:rsidRPr="00C73849">
        <w:t xml:space="preserve">pyruvate test articles of 3.2 and 5.6 M (3.5 and 6.2 g/kg </w:t>
      </w:r>
      <w:proofErr w:type="spellStart"/>
      <w:r w:rsidRPr="00C73849">
        <w:t>bw</w:t>
      </w:r>
      <w:proofErr w:type="spellEnd"/>
      <w:r w:rsidRPr="00C73849">
        <w:t>, respectively) [Gasior et al., 2007]. These pyruvate doses were also associated with motor impairment in a high proportion of the</w:t>
      </w:r>
      <w:r w:rsidRPr="00C73849">
        <w:rPr>
          <w:w w:val="99"/>
        </w:rPr>
        <w:t xml:space="preserve"> </w:t>
      </w:r>
      <w:r w:rsidRPr="00C73849">
        <w:t>animals when tested by the inverted-screen test.</w:t>
      </w:r>
    </w:p>
    <w:p w14:paraId="23A0A3B0" w14:textId="77777777" w:rsidR="00957F89" w:rsidRPr="00C73849" w:rsidRDefault="00957F89">
      <w:pPr>
        <w:spacing w:before="10"/>
        <w:rPr>
          <w:rFonts w:ascii="Times New Roman" w:eastAsia="Times New Roman" w:hAnsi="Times New Roman" w:cs="Times New Roman"/>
          <w:sz w:val="20"/>
          <w:szCs w:val="20"/>
        </w:rPr>
      </w:pPr>
    </w:p>
    <w:p w14:paraId="64B46742" w14:textId="24B285E1" w:rsidR="00957F89" w:rsidRPr="00C73849" w:rsidRDefault="00D92D87" w:rsidP="002131A0">
      <w:pPr>
        <w:pStyle w:val="BodyText"/>
        <w:ind w:right="204"/>
      </w:pPr>
      <w:r w:rsidRPr="00C73849">
        <w:t xml:space="preserve">In a model of severe hemorrhagic shock in the pig, </w:t>
      </w:r>
      <w:r w:rsidR="00DA5361">
        <w:t>IV</w:t>
      </w:r>
      <w:r w:rsidRPr="00C73849">
        <w:t xml:space="preserve"> infusion of pyruvate was demonstrated to</w:t>
      </w:r>
      <w:r w:rsidRPr="00C73849">
        <w:rPr>
          <w:w w:val="99"/>
        </w:rPr>
        <w:t xml:space="preserve"> </w:t>
      </w:r>
      <w:r w:rsidRPr="00C73849">
        <w:t xml:space="preserve">increase survival time and improve cerebral function [Morgan et al. 1999, Morgan et al. 2001]. In the study from 1999, 300 mg/ml pyruvate infusion at a rate of 1 g/kg </w:t>
      </w:r>
      <w:proofErr w:type="spellStart"/>
      <w:r w:rsidRPr="00C73849">
        <w:t>bw</w:t>
      </w:r>
      <w:proofErr w:type="spellEnd"/>
      <w:r w:rsidRPr="00C73849">
        <w:t xml:space="preserve">/h for 1 h before, and 0.5 g/kg </w:t>
      </w:r>
      <w:proofErr w:type="spellStart"/>
      <w:r w:rsidRPr="00C73849">
        <w:t>bw</w:t>
      </w:r>
      <w:proofErr w:type="spellEnd"/>
      <w:r w:rsidRPr="00C73849">
        <w:t>/h after start of hemorrhage increased the survival time significantly from</w:t>
      </w:r>
      <w:r w:rsidRPr="00C73849">
        <w:rPr>
          <w:w w:val="99"/>
        </w:rPr>
        <w:t xml:space="preserve"> </w:t>
      </w:r>
      <w:r w:rsidRPr="00C73849">
        <w:t>approximately 83 min for saline-treated animals to approx. 151 min. In the study from 2001, a</w:t>
      </w:r>
      <w:r w:rsidRPr="00C73849">
        <w:rPr>
          <w:w w:val="99"/>
        </w:rPr>
        <w:t xml:space="preserve"> </w:t>
      </w:r>
      <w:r w:rsidRPr="00C73849">
        <w:t xml:space="preserve">bolus of 100 mg/kg </w:t>
      </w:r>
      <w:proofErr w:type="spellStart"/>
      <w:r w:rsidRPr="00C73849">
        <w:t>bw</w:t>
      </w:r>
      <w:proofErr w:type="spellEnd"/>
      <w:r w:rsidRPr="00C73849">
        <w:t xml:space="preserve"> of 300 mg/ml was administered after 30 min of controlled bleeding followed by an infusion of 0.5 g/kg </w:t>
      </w:r>
      <w:proofErr w:type="spellStart"/>
      <w:r w:rsidRPr="00C73849">
        <w:t>bw</w:t>
      </w:r>
      <w:proofErr w:type="spellEnd"/>
      <w:r w:rsidRPr="00C73849">
        <w:t xml:space="preserve">/h giving an arterial concentration of approx. 5 </w:t>
      </w:r>
      <w:proofErr w:type="spellStart"/>
      <w:r w:rsidRPr="00C73849">
        <w:t>mM.</w:t>
      </w:r>
      <w:proofErr w:type="spellEnd"/>
      <w:r w:rsidR="001E1911">
        <w:rPr>
          <w:w w:val="99"/>
        </w:rPr>
        <w:t xml:space="preserve"> </w:t>
      </w:r>
      <w:r w:rsidRPr="00C73849">
        <w:t xml:space="preserve">The treatment prevented an 8-fold increase in cortical glutamate compared to saline, as measured by </w:t>
      </w:r>
      <w:proofErr w:type="spellStart"/>
      <w:r w:rsidRPr="00C73849">
        <w:t>microdialysis</w:t>
      </w:r>
      <w:proofErr w:type="spellEnd"/>
      <w:r w:rsidRPr="00C73849">
        <w:t xml:space="preserve"> in the frontal neocortex. In a third study in the model [Morgan et</w:t>
      </w:r>
      <w:r w:rsidR="001E1911">
        <w:rPr>
          <w:w w:val="99"/>
        </w:rPr>
        <w:t xml:space="preserve"> </w:t>
      </w:r>
      <w:r w:rsidRPr="00C73849">
        <w:t>al. 2002] using the same pyruvate protocol as in the 2001 study, pyruvate was found to</w:t>
      </w:r>
      <w:r w:rsidR="001E1911">
        <w:rPr>
          <w:w w:val="99"/>
        </w:rPr>
        <w:t xml:space="preserve"> </w:t>
      </w:r>
      <w:r w:rsidRPr="00C73849">
        <w:t xml:space="preserve">decrease indicators of hepatic apoptosis as measured by </w:t>
      </w:r>
      <w:proofErr w:type="spellStart"/>
      <w:r w:rsidRPr="00C73849">
        <w:t>microdialysis</w:t>
      </w:r>
      <w:proofErr w:type="spellEnd"/>
      <w:r w:rsidRPr="00C73849">
        <w:t xml:space="preserve"> and analysis of tissue</w:t>
      </w:r>
      <w:r w:rsidRPr="00C73849">
        <w:rPr>
          <w:w w:val="99"/>
        </w:rPr>
        <w:t xml:space="preserve"> </w:t>
      </w:r>
      <w:r w:rsidRPr="00C73849">
        <w:t>samples. In a study of severe hemorrhagic shock in the rat, Ringer’s solution containing</w:t>
      </w:r>
      <w:r w:rsidR="00203D0A">
        <w:t xml:space="preserve"> </w:t>
      </w:r>
      <w:r w:rsidRPr="00C73849">
        <w:t xml:space="preserve">28 mM pyruvate instead of a racemic mixture of D and L lactate was found to decrease pulmonary apoptosis when infused </w:t>
      </w:r>
      <w:r w:rsidR="00DA5361">
        <w:t>IV</w:t>
      </w:r>
      <w:r w:rsidR="00DA5361" w:rsidRPr="00C73849">
        <w:t xml:space="preserve"> </w:t>
      </w:r>
      <w:r w:rsidRPr="00C73849">
        <w:t>during 45 min of resuscitation [</w:t>
      </w:r>
      <w:proofErr w:type="spellStart"/>
      <w:r w:rsidRPr="00C73849">
        <w:t>Koustova</w:t>
      </w:r>
      <w:proofErr w:type="spellEnd"/>
      <w:r w:rsidRPr="00C73849">
        <w:t xml:space="preserve"> et al. 2003].</w:t>
      </w:r>
    </w:p>
    <w:p w14:paraId="77EA4463" w14:textId="77777777" w:rsidR="00957F89" w:rsidRPr="00C73849" w:rsidRDefault="00D92D87" w:rsidP="002131A0">
      <w:pPr>
        <w:pStyle w:val="BodyText"/>
        <w:spacing w:before="69"/>
        <w:ind w:right="343"/>
      </w:pPr>
      <w:r w:rsidRPr="00C73849">
        <w:t>The administered dose was equal to 3 times the lost blood volume. In the same model the</w:t>
      </w:r>
      <w:r w:rsidRPr="00C73849">
        <w:rPr>
          <w:w w:val="99"/>
        </w:rPr>
        <w:t xml:space="preserve"> </w:t>
      </w:r>
      <w:r w:rsidRPr="00C73849">
        <w:t>group [</w:t>
      </w:r>
      <w:proofErr w:type="spellStart"/>
      <w:r w:rsidRPr="00C73849">
        <w:t>Jaskille</w:t>
      </w:r>
      <w:proofErr w:type="spellEnd"/>
      <w:r w:rsidRPr="00C73849">
        <w:t xml:space="preserve"> et al. 2006] found that this modified Ringer’s solution also protected against an</w:t>
      </w:r>
      <w:r w:rsidRPr="00C73849">
        <w:rPr>
          <w:w w:val="99"/>
        </w:rPr>
        <w:t xml:space="preserve"> </w:t>
      </w:r>
      <w:r w:rsidRPr="00C73849">
        <w:t>increase in markers of hepatic apoptosis when compared to conventional lactated Ringer’s solution. In study of small-volume resuscitation following hemorrhage in sheep [Nascimento</w:t>
      </w:r>
      <w:r w:rsidRPr="00C73849">
        <w:rPr>
          <w:w w:val="99"/>
        </w:rPr>
        <w:t xml:space="preserve"> </w:t>
      </w:r>
      <w:r w:rsidRPr="00C73849">
        <w:t xml:space="preserve">et al., 2007], 4 ml/kg </w:t>
      </w:r>
      <w:proofErr w:type="spellStart"/>
      <w:r w:rsidRPr="00C73849">
        <w:t>bw</w:t>
      </w:r>
      <w:proofErr w:type="spellEnd"/>
      <w:r w:rsidRPr="00C73849">
        <w:t xml:space="preserve"> pyruvate (150 mg/ml) followed by infusion of lactated </w:t>
      </w:r>
      <w:proofErr w:type="spellStart"/>
      <w:r w:rsidRPr="00C73849">
        <w:t>Ringers’s</w:t>
      </w:r>
      <w:proofErr w:type="spellEnd"/>
      <w:r w:rsidRPr="00C73849">
        <w:t xml:space="preserve"> solution did not provide any hemodynamic or metabolic benefits over administration of</w:t>
      </w:r>
      <w:r w:rsidR="00203D0A">
        <w:t xml:space="preserve"> </w:t>
      </w:r>
      <w:r w:rsidRPr="00C73849">
        <w:t xml:space="preserve">4 ml/kg </w:t>
      </w:r>
      <w:proofErr w:type="spellStart"/>
      <w:r w:rsidRPr="00C73849">
        <w:t>bw</w:t>
      </w:r>
      <w:proofErr w:type="spellEnd"/>
      <w:r w:rsidRPr="00C73849">
        <w:t xml:space="preserve"> saline (80 mg/ml).</w:t>
      </w:r>
    </w:p>
    <w:p w14:paraId="714E7C01" w14:textId="77777777" w:rsidR="00957F89" w:rsidRPr="00C73849" w:rsidRDefault="00957F89">
      <w:pPr>
        <w:spacing w:before="10"/>
        <w:rPr>
          <w:rFonts w:ascii="Times New Roman" w:eastAsia="Times New Roman" w:hAnsi="Times New Roman" w:cs="Times New Roman"/>
          <w:sz w:val="20"/>
          <w:szCs w:val="20"/>
        </w:rPr>
      </w:pPr>
    </w:p>
    <w:p w14:paraId="6AF81DE2" w14:textId="77777777" w:rsidR="00957F89" w:rsidRPr="00C73849" w:rsidRDefault="00D92D87">
      <w:pPr>
        <w:pStyle w:val="BodyText"/>
        <w:ind w:right="198"/>
      </w:pPr>
      <w:r w:rsidRPr="00C73849">
        <w:lastRenderedPageBreak/>
        <w:t>Effects of oral administration of pyruvate on the liver have been studied in rats fed ethanol, or a</w:t>
      </w:r>
      <w:r w:rsidRPr="00C73849">
        <w:rPr>
          <w:w w:val="99"/>
        </w:rPr>
        <w:t xml:space="preserve"> </w:t>
      </w:r>
      <w:r w:rsidRPr="00C73849">
        <w:t>diet high in fat and ethanol [Stanko et al.</w:t>
      </w:r>
      <w:r w:rsidR="00F61776" w:rsidRPr="00C73849">
        <w:t>, 1978</w:t>
      </w:r>
      <w:r w:rsidRPr="00C73849">
        <w:t xml:space="preserve">]. Oral administration of pyruvate in combination with dihydroxyacetone (6.6 mg/100 g </w:t>
      </w:r>
      <w:proofErr w:type="spellStart"/>
      <w:r w:rsidRPr="00C73849">
        <w:t>bw</w:t>
      </w:r>
      <w:proofErr w:type="spellEnd"/>
      <w:r w:rsidRPr="00C73849">
        <w:t xml:space="preserve"> each) was found to protect against increases</w:t>
      </w:r>
      <w:r w:rsidR="001E1911">
        <w:t xml:space="preserve"> </w:t>
      </w:r>
      <w:r w:rsidRPr="00C73849">
        <w:t>in the concentration of esterified fatty acid content in the liver following 10 days</w:t>
      </w:r>
      <w:r w:rsidR="001E1911">
        <w:t xml:space="preserve"> </w:t>
      </w:r>
      <w:r w:rsidRPr="00C73849">
        <w:t>ethanol treatment though the compounds had no effect when administered on their own. Oral</w:t>
      </w:r>
      <w:r w:rsidRPr="00C73849">
        <w:rPr>
          <w:w w:val="99"/>
        </w:rPr>
        <w:t xml:space="preserve"> </w:t>
      </w:r>
      <w:r w:rsidRPr="00C73849">
        <w:t>administration of pyruvate in combination with dihydroxyacetone and riboflavin reduced the</w:t>
      </w:r>
      <w:r w:rsidRPr="00C73849">
        <w:rPr>
          <w:w w:val="99"/>
        </w:rPr>
        <w:t xml:space="preserve"> </w:t>
      </w:r>
      <w:r w:rsidRPr="00C73849">
        <w:t>increases in esterified fatty acid and triglycerides caused by 30 days of eating a diet high in fat</w:t>
      </w:r>
      <w:r w:rsidRPr="00C73849">
        <w:rPr>
          <w:w w:val="99"/>
        </w:rPr>
        <w:t xml:space="preserve"> </w:t>
      </w:r>
      <w:r w:rsidRPr="00C73849">
        <w:t>and ethanol. Oral supplements of pyruvate and calcium pyruvate (10% of energy intake) were</w:t>
      </w:r>
      <w:r w:rsidRPr="00C73849">
        <w:rPr>
          <w:w w:val="99"/>
        </w:rPr>
        <w:t xml:space="preserve"> </w:t>
      </w:r>
      <w:r w:rsidRPr="00C73849">
        <w:t xml:space="preserve">given to rats fed clofibrate was found to inhibit the increase in liver size by 70% and normalized the protein content of the liver [Stanko et al., 1995]. The results were taken to </w:t>
      </w:r>
      <w:r w:rsidR="00F61776" w:rsidRPr="00C73849">
        <w:t>indicate</w:t>
      </w:r>
      <w:r w:rsidR="00F61776">
        <w:t xml:space="preserve"> that</w:t>
      </w:r>
      <w:r w:rsidRPr="00C73849">
        <w:t xml:space="preserve"> pyruvate can prevent peroxisomal proliferation and free radical formation, thereby inhibiting free radical-induced lipid peroxidation.</w:t>
      </w:r>
    </w:p>
    <w:p w14:paraId="4B9F5A1E" w14:textId="77777777" w:rsidR="00957F89" w:rsidRPr="00C73849" w:rsidRDefault="00957F89">
      <w:pPr>
        <w:rPr>
          <w:rFonts w:ascii="Times New Roman" w:eastAsia="Times New Roman" w:hAnsi="Times New Roman" w:cs="Times New Roman"/>
          <w:sz w:val="24"/>
          <w:szCs w:val="24"/>
        </w:rPr>
      </w:pPr>
    </w:p>
    <w:p w14:paraId="3B5103D8" w14:textId="77777777" w:rsidR="00957F89" w:rsidRPr="00475E25" w:rsidRDefault="00D92D87">
      <w:pPr>
        <w:pStyle w:val="Heading2"/>
        <w:rPr>
          <w:rFonts w:eastAsia="Times New Roman" w:hAnsi="Times New Roman" w:cs="Times New Roman"/>
          <w:szCs w:val="28"/>
        </w:rPr>
      </w:pPr>
      <w:bookmarkStart w:id="154" w:name="_Toc34899993"/>
      <w:bookmarkStart w:id="155" w:name="_Toc33702522"/>
      <w:bookmarkStart w:id="156" w:name="_Toc176276949"/>
      <w:r w:rsidRPr="00475E25">
        <w:t>5.</w:t>
      </w:r>
      <w:r w:rsidR="009E14F8" w:rsidRPr="00475E25">
        <w:t>6</w:t>
      </w:r>
      <w:r w:rsidRPr="00475E25">
        <w:tab/>
        <w:t>Summary of adverse events recorded in 13C Academic Network</w:t>
      </w:r>
      <w:bookmarkEnd w:id="154"/>
      <w:bookmarkEnd w:id="155"/>
      <w:bookmarkEnd w:id="156"/>
    </w:p>
    <w:p w14:paraId="2E0D523B" w14:textId="77777777" w:rsidR="00957F89" w:rsidRPr="00475E25" w:rsidRDefault="00D92D87">
      <w:pPr>
        <w:pStyle w:val="BodyText"/>
        <w:spacing w:before="237" w:line="276" w:lineRule="exact"/>
        <w:ind w:right="387"/>
      </w:pPr>
      <w:proofErr w:type="gramStart"/>
      <w:r w:rsidRPr="00475E25">
        <w:t>A number of</w:t>
      </w:r>
      <w:proofErr w:type="gramEnd"/>
      <w:r w:rsidRPr="00475E25">
        <w:t xml:space="preserve"> research sites and academic centers in Europe and the USA license</w:t>
      </w:r>
      <w:r w:rsidR="00475E25" w:rsidRPr="00475E25">
        <w:t>d</w:t>
      </w:r>
      <w:r w:rsidRPr="00475E25">
        <w:t xml:space="preserve"> the</w:t>
      </w:r>
      <w:r w:rsidRPr="00475E25">
        <w:rPr>
          <w:w w:val="99"/>
        </w:rPr>
        <w:t xml:space="preserve"> </w:t>
      </w:r>
      <w:r w:rsidRPr="00475E25">
        <w:t xml:space="preserve">hyperpolarization technology from GE Healthcare. These sites </w:t>
      </w:r>
      <w:r w:rsidR="00475E25" w:rsidRPr="00475E25">
        <w:t>were</w:t>
      </w:r>
      <w:r w:rsidRPr="00475E25">
        <w:t xml:space="preserve"> loosely organized in the</w:t>
      </w:r>
      <w:r w:rsidRPr="00475E25">
        <w:rPr>
          <w:w w:val="99"/>
        </w:rPr>
        <w:t xml:space="preserve"> </w:t>
      </w:r>
      <w:r w:rsidRPr="00475E25">
        <w:t>13C Academic Network. Included in this network is General Electric’s Global Research</w:t>
      </w:r>
      <w:r w:rsidRPr="00475E25">
        <w:rPr>
          <w:w w:val="99"/>
        </w:rPr>
        <w:t xml:space="preserve"> </w:t>
      </w:r>
      <w:r w:rsidRPr="00475E25">
        <w:t xml:space="preserve">Center. The centers </w:t>
      </w:r>
      <w:r w:rsidR="00475E25" w:rsidRPr="00475E25">
        <w:t>were</w:t>
      </w:r>
      <w:r w:rsidRPr="00475E25">
        <w:t xml:space="preserve"> not under the control of GE Healthcare and </w:t>
      </w:r>
      <w:r w:rsidR="00475E25" w:rsidRPr="00475E25">
        <w:t>were</w:t>
      </w:r>
      <w:r w:rsidRPr="00475E25">
        <w:t xml:space="preserve"> free to conduct their</w:t>
      </w:r>
      <w:r w:rsidRPr="00475E25">
        <w:rPr>
          <w:w w:val="99"/>
        </w:rPr>
        <w:t xml:space="preserve"> </w:t>
      </w:r>
      <w:r w:rsidRPr="00475E25">
        <w:t>research in accordance with the guidance of their respective institutions. The only obligation</w:t>
      </w:r>
      <w:r w:rsidRPr="00475E25">
        <w:rPr>
          <w:w w:val="99"/>
        </w:rPr>
        <w:t xml:space="preserve"> </w:t>
      </w:r>
      <w:r w:rsidRPr="00475E25">
        <w:t xml:space="preserve">they </w:t>
      </w:r>
      <w:r w:rsidR="00475E25" w:rsidRPr="00475E25">
        <w:t>had</w:t>
      </w:r>
      <w:r w:rsidRPr="00475E25">
        <w:t xml:space="preserve"> to GE Healthcare is to report adverse findings occurring during their work with</w:t>
      </w:r>
      <w:r w:rsidRPr="00475E25">
        <w:rPr>
          <w:w w:val="99"/>
        </w:rPr>
        <w:t xml:space="preserve"> </w:t>
      </w:r>
      <w:r w:rsidRPr="00475E25">
        <w:t>pyruvate/[1-</w:t>
      </w:r>
      <w:r w:rsidRPr="00475E25">
        <w:rPr>
          <w:position w:val="11"/>
          <w:sz w:val="16"/>
          <w:szCs w:val="16"/>
        </w:rPr>
        <w:t>13</w:t>
      </w:r>
      <w:proofErr w:type="gramStart"/>
      <w:r w:rsidR="00475E25">
        <w:t>C]pyruvate</w:t>
      </w:r>
      <w:proofErr w:type="gramEnd"/>
      <w:r w:rsidR="00475E25">
        <w:t xml:space="preserve"> through 2009.</w:t>
      </w:r>
    </w:p>
    <w:p w14:paraId="50187654" w14:textId="77777777" w:rsidR="00957F89" w:rsidRPr="00475E25" w:rsidRDefault="00D92D87">
      <w:pPr>
        <w:pStyle w:val="BodyText"/>
        <w:spacing w:before="236"/>
        <w:ind w:right="311"/>
      </w:pPr>
      <w:r w:rsidRPr="00475E25">
        <w:t>In an explorative animal study performed at General Electric’s Global Research Center in</w:t>
      </w:r>
      <w:r w:rsidRPr="00475E25">
        <w:rPr>
          <w:w w:val="99"/>
        </w:rPr>
        <w:t xml:space="preserve"> </w:t>
      </w:r>
      <w:r w:rsidRPr="00475E25">
        <w:t>Niskayuna, USA in 2007, 5 rats died following administration of pyruvate via a jugular vein-</w:t>
      </w:r>
      <w:r w:rsidRPr="00475E25">
        <w:rPr>
          <w:w w:val="99"/>
        </w:rPr>
        <w:t xml:space="preserve"> </w:t>
      </w:r>
      <w:r w:rsidRPr="00475E25">
        <w:t>catheter. In the study a total of 26 rats anesthetized with ketamine and diazepam were dosed with test articles of 80 mM pyruvate with and without the addition of an explorative electron</w:t>
      </w:r>
      <w:r w:rsidRPr="00475E25">
        <w:rPr>
          <w:w w:val="99"/>
        </w:rPr>
        <w:t xml:space="preserve"> </w:t>
      </w:r>
      <w:r w:rsidRPr="00475E25">
        <w:t>paramagnetic agent at a concentration of approximately 100 µM. All test articles also</w:t>
      </w:r>
      <w:r w:rsidRPr="00475E25">
        <w:rPr>
          <w:w w:val="99"/>
        </w:rPr>
        <w:t xml:space="preserve"> </w:t>
      </w:r>
      <w:r w:rsidRPr="00475E25">
        <w:t>contained about 56 mM sodium hydroxide, 31 mM TRIS and 42 µM EDTA. These</w:t>
      </w:r>
      <w:r w:rsidRPr="00475E25">
        <w:rPr>
          <w:w w:val="99"/>
        </w:rPr>
        <w:t xml:space="preserve"> </w:t>
      </w:r>
      <w:r w:rsidRPr="00475E25">
        <w:t>formulations of pyruvate are different to the development candidate for use in humans.</w:t>
      </w:r>
    </w:p>
    <w:p w14:paraId="558046A3" w14:textId="77777777" w:rsidR="00203D0A" w:rsidRPr="00475E25" w:rsidRDefault="00203D0A" w:rsidP="002131A0">
      <w:pPr>
        <w:pStyle w:val="BodyText"/>
        <w:ind w:right="311"/>
      </w:pPr>
    </w:p>
    <w:p w14:paraId="3522B80D" w14:textId="77777777" w:rsidR="00957F89" w:rsidRPr="00475E25" w:rsidRDefault="00D92D87" w:rsidP="002131A0">
      <w:pPr>
        <w:pStyle w:val="BodyText"/>
        <w:tabs>
          <w:tab w:val="left" w:pos="8010"/>
        </w:tabs>
      </w:pPr>
      <w:r w:rsidRPr="00475E25">
        <w:t>Injections were via the tail vein (n=7) at doses of 6.8 to 11.5 ml/kg and injection rates of 0.2 to</w:t>
      </w:r>
      <w:r w:rsidR="00203D0A" w:rsidRPr="00475E25">
        <w:t xml:space="preserve"> </w:t>
      </w:r>
      <w:r w:rsidRPr="00475E25">
        <w:t>0.3 ml/s, via the jugular vein through a catheter (n=11) at doses of 5.7 to 7.7 ml/kg and injection rates of 0.15 to 0.33 ml/s, or via the carotid artery through a catheter (n=8) at doses of</w:t>
      </w:r>
      <w:r w:rsidR="00203D0A" w:rsidRPr="00475E25">
        <w:t xml:space="preserve"> </w:t>
      </w:r>
      <w:r w:rsidRPr="00475E25">
        <w:t>4.5 to 11.0 ml/kg and injection rates of 0.1 to 0.2 ml/s. There was no physiological monitoring</w:t>
      </w:r>
      <w:r w:rsidRPr="00475E25">
        <w:rPr>
          <w:w w:val="99"/>
        </w:rPr>
        <w:t xml:space="preserve"> </w:t>
      </w:r>
      <w:r w:rsidRPr="00475E25">
        <w:t>of the animals. Both the peripheral venous (tail vein) and the central arterial (carotid)</w:t>
      </w:r>
      <w:r w:rsidR="001E1911" w:rsidRPr="00475E25">
        <w:rPr>
          <w:w w:val="99"/>
        </w:rPr>
        <w:t xml:space="preserve"> </w:t>
      </w:r>
      <w:r w:rsidRPr="00475E25">
        <w:t>injections with or without the electron paramagnetic agent were well tolerated, even though the</w:t>
      </w:r>
      <w:r w:rsidRPr="00475E25">
        <w:rPr>
          <w:w w:val="99"/>
        </w:rPr>
        <w:t xml:space="preserve"> </w:t>
      </w:r>
      <w:r w:rsidRPr="00475E25">
        <w:t>actual injection rates were 2 to 6 times higher than the maximum recommended rate according to current good practice [Diehl et al., 2001]. Five animals received a central venous (jugular)</w:t>
      </w:r>
      <w:r w:rsidR="00203D0A" w:rsidRPr="00475E25">
        <w:t xml:space="preserve"> </w:t>
      </w:r>
      <w:r w:rsidRPr="00475E25">
        <w:t>injection of pyruvate containing the electron paramagnetic agent, and three of these rats died.</w:t>
      </w:r>
      <w:r w:rsidRPr="00475E25">
        <w:rPr>
          <w:w w:val="99"/>
        </w:rPr>
        <w:t xml:space="preserve"> </w:t>
      </w:r>
      <w:r w:rsidRPr="00475E25">
        <w:t>During dosing these rats were in the MRI machine and it was thus not possible to monitor them</w:t>
      </w:r>
      <w:r w:rsidRPr="00475E25">
        <w:rPr>
          <w:w w:val="99"/>
        </w:rPr>
        <w:t xml:space="preserve"> </w:t>
      </w:r>
      <w:r w:rsidRPr="00475E25">
        <w:t xml:space="preserve">closely. </w:t>
      </w:r>
      <w:proofErr w:type="gramStart"/>
      <w:r w:rsidRPr="00475E25">
        <w:t>In order to</w:t>
      </w:r>
      <w:proofErr w:type="gramEnd"/>
      <w:r w:rsidRPr="00475E25">
        <w:t xml:space="preserve"> study the time-course from start of injection to death, six rats were closely observed during jugular vein injection of pyruvate without the electron paramagnetic agent. In two of these animals, breathing stopped within 2 to 3 seconds of the start of the injection.</w:t>
      </w:r>
      <w:r w:rsidR="00203D0A" w:rsidRPr="00475E25">
        <w:t xml:space="preserve"> </w:t>
      </w:r>
      <w:r w:rsidRPr="00475E25">
        <w:t>Death was established based on lack of pulse and pale paws and eyes. No personnel with a</w:t>
      </w:r>
      <w:r w:rsidRPr="00475E25">
        <w:rPr>
          <w:w w:val="99"/>
        </w:rPr>
        <w:t xml:space="preserve"> </w:t>
      </w:r>
      <w:r w:rsidRPr="00475E25">
        <w:t>toxicological background were consulted in advance of the study and, accordingly, the</w:t>
      </w:r>
      <w:r w:rsidRPr="00475E25">
        <w:rPr>
          <w:w w:val="99"/>
        </w:rPr>
        <w:t xml:space="preserve"> </w:t>
      </w:r>
      <w:r w:rsidRPr="00475E25">
        <w:t>examination and collection of organs was not considered. No adverse findings were observed</w:t>
      </w:r>
      <w:r w:rsidRPr="00475E25">
        <w:rPr>
          <w:w w:val="99"/>
        </w:rPr>
        <w:t xml:space="preserve"> </w:t>
      </w:r>
      <w:r w:rsidRPr="00475E25">
        <w:t>in the remaining four rats. Due to experimental procedures employed the findings were not</w:t>
      </w:r>
      <w:r w:rsidRPr="00475E25">
        <w:rPr>
          <w:w w:val="99"/>
        </w:rPr>
        <w:t xml:space="preserve"> </w:t>
      </w:r>
      <w:r w:rsidRPr="00475E25">
        <w:t>considered relevant for safety considerations for the suggested clinical use.</w:t>
      </w:r>
    </w:p>
    <w:p w14:paraId="0FFBA697" w14:textId="77777777" w:rsidR="00957F89" w:rsidRPr="00475E25" w:rsidRDefault="00957F89">
      <w:pPr>
        <w:spacing w:before="2"/>
        <w:rPr>
          <w:rFonts w:ascii="Times New Roman" w:eastAsia="Times New Roman" w:hAnsi="Times New Roman" w:cs="Times New Roman"/>
          <w:sz w:val="21"/>
          <w:szCs w:val="21"/>
        </w:rPr>
      </w:pPr>
    </w:p>
    <w:p w14:paraId="4432967E" w14:textId="5857A05F" w:rsidR="00957F89" w:rsidRPr="00475E25" w:rsidRDefault="00D92D87">
      <w:pPr>
        <w:pStyle w:val="BodyText"/>
        <w:spacing w:line="276" w:lineRule="exact"/>
        <w:ind w:right="475"/>
      </w:pPr>
      <w:r w:rsidRPr="00475E25">
        <w:lastRenderedPageBreak/>
        <w:t>Since this occurrence GE Healthcare pro-actively monitored all sites that license</w:t>
      </w:r>
      <w:r w:rsidR="00475E25">
        <w:t>d</w:t>
      </w:r>
      <w:r w:rsidRPr="00475E25">
        <w:t xml:space="preserve"> the</w:t>
      </w:r>
      <w:r w:rsidRPr="00475E25">
        <w:rPr>
          <w:w w:val="99"/>
        </w:rPr>
        <w:t xml:space="preserve"> </w:t>
      </w:r>
      <w:proofErr w:type="spellStart"/>
      <w:r w:rsidRPr="00475E25">
        <w:t>hyperpolarizer</w:t>
      </w:r>
      <w:proofErr w:type="spellEnd"/>
      <w:r w:rsidRPr="00475E25">
        <w:t xml:space="preserve"> technology</w:t>
      </w:r>
      <w:r w:rsidR="00475E25">
        <w:t xml:space="preserve"> through 2009</w:t>
      </w:r>
      <w:r w:rsidRPr="00475E25">
        <w:t xml:space="preserve">. There </w:t>
      </w:r>
      <w:proofErr w:type="gramStart"/>
      <w:r w:rsidR="00475E25">
        <w:t>were</w:t>
      </w:r>
      <w:proofErr w:type="gramEnd"/>
      <w:r w:rsidRPr="00475E25">
        <w:t xml:space="preserve"> a total of 21 sites globally, all of which have provided reports highlighting the number of experiments performed and, where appropriate, adverse events. As of October 2009, 3620 injections of various exploratory formulations of pyruvate/[1-</w:t>
      </w:r>
      <w:r w:rsidRPr="00475E25">
        <w:rPr>
          <w:position w:val="11"/>
          <w:sz w:val="16"/>
        </w:rPr>
        <w:t>13</w:t>
      </w:r>
      <w:proofErr w:type="gramStart"/>
      <w:r w:rsidRPr="00475E25">
        <w:t>C]pyruvate</w:t>
      </w:r>
      <w:proofErr w:type="gramEnd"/>
      <w:r w:rsidRPr="00475E25">
        <w:t xml:space="preserve"> have been given to 1805 animals (including 12 dogs, 21 pigs and</w:t>
      </w:r>
      <w:r w:rsidRPr="00475E25">
        <w:rPr>
          <w:w w:val="99"/>
        </w:rPr>
        <w:t xml:space="preserve"> </w:t>
      </w:r>
      <w:r w:rsidRPr="00475E25">
        <w:t>1772 rats and mice). Out of the 1772 rodents, 39 died following administration of pyruvate.</w:t>
      </w:r>
      <w:r w:rsidRPr="00475E25">
        <w:rPr>
          <w:w w:val="99"/>
        </w:rPr>
        <w:t xml:space="preserve"> </w:t>
      </w:r>
      <w:r w:rsidRPr="00475E25">
        <w:t xml:space="preserve">There </w:t>
      </w:r>
      <w:r w:rsidR="00475E25">
        <w:t>were</w:t>
      </w:r>
      <w:r w:rsidRPr="00475E25">
        <w:t xml:space="preserve"> no incidences of adverse events in dogs or pigs in the 13C Academic</w:t>
      </w:r>
      <w:r w:rsidRPr="00475E25">
        <w:rPr>
          <w:w w:val="99"/>
        </w:rPr>
        <w:t xml:space="preserve"> </w:t>
      </w:r>
      <w:r w:rsidRPr="00475E25">
        <w:t>Network.</w:t>
      </w:r>
    </w:p>
    <w:p w14:paraId="63C43CFB" w14:textId="77777777" w:rsidR="00957F89" w:rsidRPr="00475E25" w:rsidRDefault="00957F89">
      <w:pPr>
        <w:spacing w:before="7"/>
        <w:rPr>
          <w:rFonts w:ascii="Times New Roman" w:eastAsia="Times New Roman" w:hAnsi="Times New Roman" w:cs="Times New Roman"/>
          <w:sz w:val="20"/>
          <w:szCs w:val="20"/>
        </w:rPr>
      </w:pPr>
    </w:p>
    <w:p w14:paraId="7A6467E2" w14:textId="77777777" w:rsidR="00957F89" w:rsidRPr="00475E25" w:rsidRDefault="00D92D87" w:rsidP="005F6CE7">
      <w:pPr>
        <w:pStyle w:val="BodyText"/>
        <w:ind w:left="60" w:right="311"/>
      </w:pPr>
      <w:r w:rsidRPr="00475E25">
        <w:t xml:space="preserve">The deaths </w:t>
      </w:r>
      <w:r w:rsidR="00475E25">
        <w:t>were</w:t>
      </w:r>
      <w:r w:rsidRPr="00475E25">
        <w:t xml:space="preserve"> discussed with the respective centers and </w:t>
      </w:r>
      <w:r w:rsidR="00475E25">
        <w:t>were</w:t>
      </w:r>
      <w:r w:rsidRPr="00475E25">
        <w:t xml:space="preserve"> believed to be due to one,</w:t>
      </w:r>
      <w:r w:rsidRPr="00475E25">
        <w:rPr>
          <w:w w:val="99"/>
        </w:rPr>
        <w:t xml:space="preserve"> </w:t>
      </w:r>
      <w:r w:rsidRPr="00475E25">
        <w:t>or in most cases a combination, of the following reasons:</w:t>
      </w:r>
    </w:p>
    <w:p w14:paraId="78F24F38" w14:textId="77777777" w:rsidR="00957F89" w:rsidRPr="00475E25" w:rsidRDefault="00D92D87" w:rsidP="00F670E8">
      <w:pPr>
        <w:pStyle w:val="BodyText"/>
        <w:numPr>
          <w:ilvl w:val="0"/>
          <w:numId w:val="1"/>
        </w:numPr>
        <w:tabs>
          <w:tab w:val="left" w:pos="389"/>
        </w:tabs>
        <w:ind w:firstLine="0"/>
      </w:pPr>
      <w:r w:rsidRPr="00475E25">
        <w:t>Problematic animal handling (e.g., poorly controlled anesthesia, body temperature, etc.)</w:t>
      </w:r>
    </w:p>
    <w:p w14:paraId="02D61CF2" w14:textId="77777777" w:rsidR="00957F89" w:rsidRPr="00475E25" w:rsidRDefault="00D92D87" w:rsidP="00F670E8">
      <w:pPr>
        <w:pStyle w:val="BodyText"/>
        <w:numPr>
          <w:ilvl w:val="0"/>
          <w:numId w:val="1"/>
        </w:numPr>
        <w:tabs>
          <w:tab w:val="left" w:pos="405"/>
        </w:tabs>
        <w:ind w:right="562" w:firstLine="0"/>
      </w:pPr>
      <w:r w:rsidRPr="00475E25">
        <w:t>Inappropriate formulations, particularly low or high pH due to insufficient neutralization</w:t>
      </w:r>
      <w:r w:rsidRPr="00475E25">
        <w:rPr>
          <w:w w:val="99"/>
        </w:rPr>
        <w:t xml:space="preserve"> </w:t>
      </w:r>
      <w:r w:rsidRPr="00475E25">
        <w:t>and/or buffering, and hypotonic test articles</w:t>
      </w:r>
    </w:p>
    <w:p w14:paraId="6B211E4B" w14:textId="77777777" w:rsidR="00957F89" w:rsidRPr="00475E25" w:rsidRDefault="00D92D87" w:rsidP="00F670E8">
      <w:pPr>
        <w:pStyle w:val="BodyText"/>
        <w:numPr>
          <w:ilvl w:val="0"/>
          <w:numId w:val="1"/>
        </w:numPr>
        <w:tabs>
          <w:tab w:val="left" w:pos="391"/>
        </w:tabs>
        <w:ind w:right="382" w:firstLine="0"/>
      </w:pPr>
      <w:r w:rsidRPr="00475E25">
        <w:t>Inappropriate injection procedures, such as a combination of extremely high injection rates and/or injection volumes as well as accidental injection of air</w:t>
      </w:r>
    </w:p>
    <w:p w14:paraId="70940DCB" w14:textId="77777777" w:rsidR="00957F89" w:rsidRPr="00475E25" w:rsidRDefault="00D92D87" w:rsidP="00F670E8">
      <w:pPr>
        <w:pStyle w:val="BodyText"/>
        <w:numPr>
          <w:ilvl w:val="0"/>
          <w:numId w:val="1"/>
        </w:numPr>
        <w:tabs>
          <w:tab w:val="left" w:pos="402"/>
        </w:tabs>
        <w:spacing w:line="274" w:lineRule="exact"/>
        <w:ind w:right="311" w:firstLine="0"/>
      </w:pPr>
      <w:r w:rsidRPr="00475E25">
        <w:t>The use of animal models of disease where severely altered physiology may lead to a higher</w:t>
      </w:r>
      <w:r w:rsidRPr="00475E25">
        <w:rPr>
          <w:w w:val="99"/>
        </w:rPr>
        <w:t xml:space="preserve"> </w:t>
      </w:r>
      <w:r w:rsidRPr="00475E25">
        <w:t>incidence of events</w:t>
      </w:r>
    </w:p>
    <w:p w14:paraId="7AE220E6" w14:textId="77777777" w:rsidR="00957F89" w:rsidRPr="00475E25" w:rsidRDefault="00957F89">
      <w:pPr>
        <w:spacing w:before="7"/>
        <w:rPr>
          <w:rFonts w:ascii="Times New Roman" w:eastAsia="Times New Roman" w:hAnsi="Times New Roman" w:cs="Times New Roman"/>
          <w:sz w:val="20"/>
          <w:szCs w:val="20"/>
        </w:rPr>
      </w:pPr>
    </w:p>
    <w:p w14:paraId="50151702" w14:textId="77777777" w:rsidR="00957F89" w:rsidRPr="00475E25" w:rsidRDefault="00D92D87">
      <w:pPr>
        <w:pStyle w:val="BodyText"/>
        <w:ind w:right="311"/>
      </w:pPr>
      <w:r w:rsidRPr="00475E25">
        <w:t xml:space="preserve">It </w:t>
      </w:r>
      <w:r w:rsidR="008D67FC">
        <w:t>was</w:t>
      </w:r>
      <w:r w:rsidRPr="00475E25">
        <w:t xml:space="preserve"> noted that the deaths commonly occur during the </w:t>
      </w:r>
      <w:proofErr w:type="gramStart"/>
      <w:r w:rsidRPr="00475E25">
        <w:t>early-phase</w:t>
      </w:r>
      <w:proofErr w:type="gramEnd"/>
      <w:r w:rsidRPr="00475E25">
        <w:t xml:space="preserve"> of research at the</w:t>
      </w:r>
      <w:r w:rsidRPr="00475E25">
        <w:rPr>
          <w:w w:val="99"/>
        </w:rPr>
        <w:t xml:space="preserve"> </w:t>
      </w:r>
      <w:r w:rsidRPr="00475E25">
        <w:t>centers (first 6 months), when the centers are developing their formulation(s) of</w:t>
      </w:r>
    </w:p>
    <w:p w14:paraId="54208084" w14:textId="77777777" w:rsidR="00957F89" w:rsidRPr="00475E25" w:rsidRDefault="00D92D87">
      <w:pPr>
        <w:pStyle w:val="BodyText"/>
        <w:spacing w:before="3" w:line="276" w:lineRule="exact"/>
        <w:ind w:right="899"/>
      </w:pPr>
      <w:r w:rsidRPr="00475E25">
        <w:t>[1-</w:t>
      </w:r>
      <w:r w:rsidRPr="00475E25">
        <w:rPr>
          <w:position w:val="11"/>
          <w:sz w:val="16"/>
        </w:rPr>
        <w:t>13</w:t>
      </w:r>
      <w:proofErr w:type="gramStart"/>
      <w:r w:rsidRPr="00475E25">
        <w:t>C]pyruvate</w:t>
      </w:r>
      <w:proofErr w:type="gramEnd"/>
      <w:r w:rsidRPr="00475E25">
        <w:t>. In the initial research phase, issues also arise regarding inappropriate</w:t>
      </w:r>
      <w:r w:rsidRPr="00475E25">
        <w:rPr>
          <w:w w:val="99"/>
        </w:rPr>
        <w:t xml:space="preserve"> </w:t>
      </w:r>
      <w:r w:rsidRPr="00475E25">
        <w:t>injection volumes, injection rates, and injection of air.</w:t>
      </w:r>
    </w:p>
    <w:p w14:paraId="7DEF2B28" w14:textId="77777777" w:rsidR="00957F89" w:rsidRPr="00475E25" w:rsidRDefault="00957F89">
      <w:pPr>
        <w:spacing w:before="7"/>
        <w:rPr>
          <w:rFonts w:ascii="Times New Roman" w:eastAsia="Times New Roman" w:hAnsi="Times New Roman" w:cs="Times New Roman"/>
          <w:sz w:val="20"/>
          <w:szCs w:val="20"/>
        </w:rPr>
      </w:pPr>
    </w:p>
    <w:p w14:paraId="5B578A40" w14:textId="77777777" w:rsidR="00957F89" w:rsidRDefault="00D92D87">
      <w:pPr>
        <w:pStyle w:val="BodyText"/>
        <w:ind w:right="151"/>
      </w:pPr>
      <w:r w:rsidRPr="00475E25">
        <w:t>It is believed that none of the 39 incidences of death following injection of pyruvate in these</w:t>
      </w:r>
      <w:r w:rsidRPr="00475E25">
        <w:rPr>
          <w:w w:val="99"/>
        </w:rPr>
        <w:t xml:space="preserve"> </w:t>
      </w:r>
      <w:r w:rsidRPr="00475E25">
        <w:t xml:space="preserve">animal studies </w:t>
      </w:r>
      <w:r w:rsidR="008D67FC">
        <w:t>give</w:t>
      </w:r>
      <w:r w:rsidRPr="00475E25">
        <w:t xml:space="preserve"> cause for concern </w:t>
      </w:r>
      <w:proofErr w:type="gramStart"/>
      <w:r w:rsidRPr="00475E25">
        <w:t>with regard to</w:t>
      </w:r>
      <w:proofErr w:type="gramEnd"/>
      <w:r w:rsidRPr="00475E25">
        <w:t xml:space="preserve"> clinical use of Hyperpol</w:t>
      </w:r>
      <w:r w:rsidR="008D67FC">
        <w:t>arized (13C) Pyruvate Injection.</w:t>
      </w:r>
    </w:p>
    <w:p w14:paraId="485FA8AB" w14:textId="77777777" w:rsidR="008D67FC" w:rsidRDefault="008D67FC">
      <w:pPr>
        <w:pStyle w:val="BodyText"/>
        <w:ind w:right="151"/>
      </w:pPr>
    </w:p>
    <w:p w14:paraId="18D685C9" w14:textId="77777777" w:rsidR="008D67FC" w:rsidRPr="00C73849" w:rsidRDefault="008D67FC">
      <w:pPr>
        <w:pStyle w:val="BodyText"/>
        <w:ind w:right="151"/>
      </w:pPr>
      <w:r>
        <w:t>NCI is not continuing active monitoring of academic non-clinical sites, since the initiation of clinical trials has established a safe dose and well controlled formulation for human studies.  Results from published well-controlled studies will of course be reported.</w:t>
      </w:r>
    </w:p>
    <w:p w14:paraId="78D72571" w14:textId="77777777" w:rsidR="00957F89" w:rsidRPr="00C73849" w:rsidRDefault="00957F89">
      <w:pPr>
        <w:rPr>
          <w:rFonts w:ascii="Times New Roman" w:eastAsia="Times New Roman" w:hAnsi="Times New Roman" w:cs="Times New Roman"/>
          <w:sz w:val="24"/>
          <w:szCs w:val="24"/>
        </w:rPr>
      </w:pPr>
    </w:p>
    <w:p w14:paraId="70C44D72" w14:textId="10ACC91C" w:rsidR="00957F89" w:rsidRPr="00E63961" w:rsidRDefault="009E14F8">
      <w:pPr>
        <w:pStyle w:val="Heading2"/>
        <w:rPr>
          <w:b w:val="0"/>
          <w:bCs w:val="0"/>
          <w:color w:val="auto"/>
          <w:sz w:val="22"/>
          <w:szCs w:val="22"/>
        </w:rPr>
      </w:pPr>
      <w:bookmarkStart w:id="157" w:name="_Toc34899994"/>
      <w:bookmarkStart w:id="158" w:name="_Toc33702523"/>
      <w:bookmarkStart w:id="159" w:name="_Toc176276950"/>
      <w:r>
        <w:t>5.7</w:t>
      </w:r>
      <w:r w:rsidR="00D92D87" w:rsidRPr="00591606">
        <w:tab/>
      </w:r>
      <w:r w:rsidR="00D92D87" w:rsidRPr="0022012C">
        <w:t>References:</w:t>
      </w:r>
      <w:bookmarkEnd w:id="157"/>
      <w:bookmarkEnd w:id="158"/>
      <w:bookmarkEnd w:id="159"/>
    </w:p>
    <w:p w14:paraId="35DBEFBF" w14:textId="77777777" w:rsidR="00957F89" w:rsidRPr="00C73849" w:rsidRDefault="00D92D87" w:rsidP="002131A0">
      <w:pPr>
        <w:pStyle w:val="BodyText"/>
        <w:spacing w:before="239" w:line="276" w:lineRule="exact"/>
        <w:ind w:right="151"/>
      </w:pPr>
      <w:r w:rsidRPr="00C73849">
        <w:t xml:space="preserve">Albers MJ, Bok R, Chen AP, Cunningham CH, Zierhut ML, Zhang VY, Kohler SJ, Tropp J, Hurd RE, Yen YF, Nelson SJ, Vigneron DB, </w:t>
      </w:r>
      <w:proofErr w:type="spellStart"/>
      <w:r w:rsidRPr="00C73849">
        <w:t>Kurhanewicz</w:t>
      </w:r>
      <w:proofErr w:type="spellEnd"/>
      <w:r w:rsidRPr="00C73849">
        <w:t xml:space="preserve"> J. Hyperpolarized </w:t>
      </w:r>
      <w:r w:rsidRPr="00C73849">
        <w:rPr>
          <w:position w:val="11"/>
          <w:sz w:val="16"/>
        </w:rPr>
        <w:t>13</w:t>
      </w:r>
      <w:r w:rsidRPr="00C73849">
        <w:t>C lactate,</w:t>
      </w:r>
      <w:r w:rsidR="00203D0A">
        <w:t xml:space="preserve"> </w:t>
      </w:r>
      <w:r w:rsidRPr="00C73849">
        <w:t>pyruvate, and alanine: noninvasive biomarkers for prostate cancer detection and grading. Cancer Research 2008; 68(20):8607-15</w:t>
      </w:r>
    </w:p>
    <w:p w14:paraId="51894A6D" w14:textId="77777777" w:rsidR="00957F89" w:rsidRPr="00C73849" w:rsidRDefault="00957F89">
      <w:pPr>
        <w:spacing w:before="10"/>
        <w:rPr>
          <w:rFonts w:ascii="Times New Roman" w:eastAsia="Times New Roman" w:hAnsi="Times New Roman" w:cs="Times New Roman"/>
          <w:sz w:val="20"/>
          <w:szCs w:val="20"/>
        </w:rPr>
      </w:pPr>
    </w:p>
    <w:p w14:paraId="1AF921D9" w14:textId="77777777" w:rsidR="00957F89" w:rsidRDefault="00D92D87">
      <w:pPr>
        <w:pStyle w:val="BodyText"/>
        <w:ind w:right="311"/>
      </w:pPr>
      <w:proofErr w:type="spellStart"/>
      <w:r w:rsidRPr="00C73849">
        <w:t>Bünger</w:t>
      </w:r>
      <w:proofErr w:type="spellEnd"/>
      <w:r w:rsidRPr="00C73849">
        <w:t xml:space="preserve"> et al. Pyruvate-enhanced phosphorylation potential and inotropism in </w:t>
      </w:r>
      <w:proofErr w:type="spellStart"/>
      <w:r w:rsidRPr="00C73849">
        <w:t>normoxic</w:t>
      </w:r>
      <w:proofErr w:type="spellEnd"/>
      <w:r w:rsidRPr="00C73849">
        <w:t xml:space="preserve"> and</w:t>
      </w:r>
      <w:r w:rsidRPr="00C73849">
        <w:rPr>
          <w:w w:val="99"/>
        </w:rPr>
        <w:t xml:space="preserve"> </w:t>
      </w:r>
      <w:r w:rsidRPr="00C73849">
        <w:t>postischemic isolated working heart. Near-complete prevention of reperfusion contractile</w:t>
      </w:r>
      <w:r w:rsidRPr="00C73849">
        <w:rPr>
          <w:w w:val="99"/>
        </w:rPr>
        <w:t xml:space="preserve"> </w:t>
      </w:r>
      <w:r w:rsidRPr="00C73849">
        <w:t>failure. European Journal of Biochemistry 1989</w:t>
      </w:r>
      <w:r w:rsidR="00F61776" w:rsidRPr="00C73849">
        <w:t>; 180</w:t>
      </w:r>
      <w:r w:rsidRPr="00C73849">
        <w:t>(1):221-33</w:t>
      </w:r>
    </w:p>
    <w:p w14:paraId="62944B09" w14:textId="77777777" w:rsidR="005E7AF2" w:rsidRPr="00C73849" w:rsidRDefault="005E7AF2">
      <w:pPr>
        <w:pStyle w:val="BodyText"/>
        <w:ind w:right="311"/>
      </w:pPr>
    </w:p>
    <w:p w14:paraId="6E0F83DD" w14:textId="3856E6D9" w:rsidR="005E7AF2" w:rsidRDefault="005E7AF2" w:rsidP="005E7AF2">
      <w:r>
        <w:rPr>
          <w:noProof/>
        </w:rPr>
        <w:t xml:space="preserve">Chen AP, Cunningham CH. Single voxel localization for dynamic hyperpolarized (13)C MR spectroscopy. Journal of </w:t>
      </w:r>
      <w:r w:rsidR="002B1A0A">
        <w:rPr>
          <w:noProof/>
        </w:rPr>
        <w:t>M</w:t>
      </w:r>
      <w:r>
        <w:rPr>
          <w:noProof/>
        </w:rPr>
        <w:t xml:space="preserve">agnetic </w:t>
      </w:r>
      <w:r w:rsidR="002B1A0A">
        <w:rPr>
          <w:noProof/>
        </w:rPr>
        <w:t>R</w:t>
      </w:r>
      <w:r>
        <w:rPr>
          <w:noProof/>
        </w:rPr>
        <w:t>esonance. 2015; 258: 81-5.</w:t>
      </w:r>
    </w:p>
    <w:p w14:paraId="6442AF31" w14:textId="77777777" w:rsidR="00957F89" w:rsidRPr="00C73849" w:rsidRDefault="00957F89">
      <w:pPr>
        <w:spacing w:before="2"/>
        <w:rPr>
          <w:rFonts w:ascii="Times New Roman" w:eastAsia="Times New Roman" w:hAnsi="Times New Roman" w:cs="Times New Roman"/>
          <w:sz w:val="21"/>
          <w:szCs w:val="21"/>
        </w:rPr>
      </w:pPr>
    </w:p>
    <w:p w14:paraId="6D47D905" w14:textId="77777777" w:rsidR="00957F89" w:rsidRPr="00C73849" w:rsidRDefault="00D92D87">
      <w:pPr>
        <w:pStyle w:val="BodyText"/>
        <w:spacing w:line="276" w:lineRule="exact"/>
        <w:ind w:right="311"/>
      </w:pPr>
      <w:r w:rsidRPr="00C73849">
        <w:t xml:space="preserve">Cunningham CH, Chen AP, Albers MJ, </w:t>
      </w:r>
      <w:proofErr w:type="spellStart"/>
      <w:r w:rsidRPr="00C73849">
        <w:t>Kurhanewicz</w:t>
      </w:r>
      <w:proofErr w:type="spellEnd"/>
      <w:r w:rsidRPr="00C73849">
        <w:t xml:space="preserve"> J, Hurd RE, Yen YF, Pauly JM, Nelson SJ, Vigneron DB. Double spin-echo sequence for rapid spectroscopic imaging of hyperpolarized </w:t>
      </w:r>
      <w:r w:rsidRPr="00C73849">
        <w:rPr>
          <w:position w:val="11"/>
          <w:sz w:val="16"/>
        </w:rPr>
        <w:t>13</w:t>
      </w:r>
      <w:r w:rsidRPr="00C73849">
        <w:t>C. Journal of Magnetic Resonance 2007 Aug;187(2):357-62</w:t>
      </w:r>
    </w:p>
    <w:p w14:paraId="785D7612" w14:textId="77777777" w:rsidR="00957F89" w:rsidRPr="00C73849" w:rsidRDefault="00D92D87">
      <w:pPr>
        <w:pStyle w:val="BodyText"/>
        <w:spacing w:before="236"/>
        <w:ind w:right="899"/>
      </w:pPr>
      <w:r w:rsidRPr="00C73849">
        <w:lastRenderedPageBreak/>
        <w:t>Davies B, Morris T. Physiological parameters in laboratory animals and humans,</w:t>
      </w:r>
      <w:r w:rsidRPr="00C73849">
        <w:rPr>
          <w:w w:val="99"/>
        </w:rPr>
        <w:t xml:space="preserve"> </w:t>
      </w:r>
      <w:r w:rsidR="00F61776" w:rsidRPr="00C73849">
        <w:t>Pharmaceutical</w:t>
      </w:r>
      <w:r w:rsidRPr="00C73849">
        <w:t xml:space="preserve"> Research 1993</w:t>
      </w:r>
      <w:r w:rsidR="00F61776" w:rsidRPr="00C73849">
        <w:t>; 10</w:t>
      </w:r>
      <w:r w:rsidRPr="00C73849">
        <w:t>(7):1093-5</w:t>
      </w:r>
    </w:p>
    <w:p w14:paraId="3487880D" w14:textId="77777777" w:rsidR="00957F89" w:rsidRPr="00C73849" w:rsidRDefault="00957F89">
      <w:pPr>
        <w:spacing w:before="2"/>
        <w:rPr>
          <w:rFonts w:ascii="Times New Roman" w:eastAsia="Times New Roman" w:hAnsi="Times New Roman" w:cs="Times New Roman"/>
          <w:sz w:val="21"/>
          <w:szCs w:val="21"/>
        </w:rPr>
      </w:pPr>
    </w:p>
    <w:p w14:paraId="4E7B29C5" w14:textId="77777777" w:rsidR="00957F89" w:rsidRPr="00C73849" w:rsidRDefault="00D92D87">
      <w:pPr>
        <w:pStyle w:val="BodyText"/>
        <w:spacing w:line="276" w:lineRule="exact"/>
        <w:ind w:right="151"/>
      </w:pPr>
      <w:r w:rsidRPr="00C73849">
        <w:t xml:space="preserve">Day SE, Kettunen MI, Gallagher FA, Hu DE, Lerche M, Wolber J, Golman K, </w:t>
      </w:r>
      <w:proofErr w:type="spellStart"/>
      <w:r w:rsidRPr="00C73849">
        <w:t>Ardenkjaer</w:t>
      </w:r>
      <w:proofErr w:type="spellEnd"/>
      <w:r w:rsidRPr="00C73849">
        <w:t xml:space="preserve">- Larsen JH, Brindle KM. Detecting tumor response to treatment using hyperpolarized </w:t>
      </w:r>
      <w:r w:rsidRPr="00C73849">
        <w:rPr>
          <w:position w:val="11"/>
          <w:sz w:val="16"/>
        </w:rPr>
        <w:t>13</w:t>
      </w:r>
      <w:r w:rsidRPr="00C73849">
        <w:t>C</w:t>
      </w:r>
      <w:r w:rsidRPr="00C73849">
        <w:rPr>
          <w:w w:val="99"/>
        </w:rPr>
        <w:t xml:space="preserve"> </w:t>
      </w:r>
      <w:r w:rsidRPr="00C73849">
        <w:t>magnetic resonance imaging and spectroscopy. Nature Medicine 2007; 13(11):1382-7</w:t>
      </w:r>
    </w:p>
    <w:p w14:paraId="65FE5C9B" w14:textId="77777777" w:rsidR="00957F89" w:rsidRPr="00C73849" w:rsidRDefault="00957F89">
      <w:pPr>
        <w:spacing w:before="7"/>
        <w:rPr>
          <w:rFonts w:ascii="Times New Roman" w:eastAsia="Times New Roman" w:hAnsi="Times New Roman" w:cs="Times New Roman"/>
          <w:sz w:val="20"/>
          <w:szCs w:val="20"/>
        </w:rPr>
      </w:pPr>
    </w:p>
    <w:p w14:paraId="6A3391AE" w14:textId="77777777" w:rsidR="00957F89" w:rsidRPr="00C73849" w:rsidRDefault="00D92D87">
      <w:pPr>
        <w:pStyle w:val="BodyText"/>
        <w:ind w:right="311"/>
      </w:pPr>
      <w:r w:rsidRPr="00C73849">
        <w:t xml:space="preserve">Diehl KH, Hull R, Morton D, Pfister R, </w:t>
      </w:r>
      <w:proofErr w:type="spellStart"/>
      <w:r w:rsidRPr="00C73849">
        <w:t>Rabemampianina</w:t>
      </w:r>
      <w:proofErr w:type="spellEnd"/>
      <w:r w:rsidRPr="00C73849">
        <w:t xml:space="preserve"> Y, Smith D, Vidal JM, van de</w:t>
      </w:r>
      <w:r w:rsidRPr="00C73849">
        <w:rPr>
          <w:w w:val="99"/>
        </w:rPr>
        <w:t xml:space="preserve"> </w:t>
      </w:r>
      <w:proofErr w:type="spellStart"/>
      <w:r w:rsidRPr="00C73849">
        <w:t>Vorstenbosch</w:t>
      </w:r>
      <w:proofErr w:type="spellEnd"/>
      <w:r w:rsidRPr="00C73849">
        <w:t xml:space="preserve"> </w:t>
      </w:r>
      <w:proofErr w:type="gramStart"/>
      <w:r w:rsidRPr="00C73849">
        <w:t>C;</w:t>
      </w:r>
      <w:proofErr w:type="gramEnd"/>
      <w:r w:rsidRPr="00C73849">
        <w:t xml:space="preserve"> European Federation of Pharmaceutical Industries Association and European</w:t>
      </w:r>
      <w:r w:rsidRPr="00C73849">
        <w:rPr>
          <w:w w:val="99"/>
        </w:rPr>
        <w:t xml:space="preserve"> </w:t>
      </w:r>
      <w:r w:rsidRPr="00C73849">
        <w:t>Centre for the Validation of Alternative Methods. A good practice guide to the administration</w:t>
      </w:r>
      <w:r w:rsidRPr="00C73849">
        <w:rPr>
          <w:w w:val="99"/>
        </w:rPr>
        <w:t xml:space="preserve"> </w:t>
      </w:r>
      <w:r w:rsidRPr="00C73849">
        <w:t>of substances and removal of blood, including routes and volumes. Journal of Applied</w:t>
      </w:r>
      <w:r w:rsidRPr="00C73849">
        <w:rPr>
          <w:w w:val="99"/>
        </w:rPr>
        <w:t xml:space="preserve"> </w:t>
      </w:r>
      <w:r w:rsidRPr="00C73849">
        <w:t>Toxicology 2001</w:t>
      </w:r>
      <w:r w:rsidR="00F61776" w:rsidRPr="00C73849">
        <w:t>; 21</w:t>
      </w:r>
      <w:r w:rsidRPr="00C73849">
        <w:t>(1):15-23</w:t>
      </w:r>
    </w:p>
    <w:p w14:paraId="5768A537" w14:textId="77777777" w:rsidR="00957F89" w:rsidRPr="00C73849" w:rsidRDefault="00957F89">
      <w:pPr>
        <w:spacing w:before="10"/>
        <w:rPr>
          <w:rFonts w:ascii="Times New Roman" w:eastAsia="Times New Roman" w:hAnsi="Times New Roman" w:cs="Times New Roman"/>
          <w:sz w:val="20"/>
          <w:szCs w:val="20"/>
        </w:rPr>
      </w:pPr>
    </w:p>
    <w:p w14:paraId="6497031F" w14:textId="77777777" w:rsidR="00957F89" w:rsidRPr="00C73849" w:rsidRDefault="00D92D87" w:rsidP="00E55B59">
      <w:pPr>
        <w:pStyle w:val="BodyText"/>
        <w:ind w:right="151"/>
      </w:pPr>
      <w:r w:rsidRPr="00C73849">
        <w:t xml:space="preserve">Gasior M, French A, Joy MT, Tang RS, Hartman AL, </w:t>
      </w:r>
      <w:proofErr w:type="spellStart"/>
      <w:r w:rsidRPr="00C73849">
        <w:t>Rogawski</w:t>
      </w:r>
      <w:proofErr w:type="spellEnd"/>
      <w:r w:rsidRPr="00C73849">
        <w:t xml:space="preserve"> MA. The anticonvulsant</w:t>
      </w:r>
      <w:r w:rsidRPr="00C73849">
        <w:rPr>
          <w:w w:val="99"/>
        </w:rPr>
        <w:t xml:space="preserve"> </w:t>
      </w:r>
      <w:r w:rsidRPr="00C73849">
        <w:t>activity of acetone, the major ketone body in the ketogenic diet, is not dependent on its metabolites acetol, 1,2-propanediol, methylglyoxal, or pyruvic acid.</w:t>
      </w:r>
      <w:r w:rsidR="00E55B59">
        <w:t xml:space="preserve"> </w:t>
      </w:r>
      <w:r w:rsidRPr="00C73849">
        <w:t>Epilepsia 2007</w:t>
      </w:r>
      <w:r w:rsidR="00F61776" w:rsidRPr="00C73849">
        <w:t>; 48</w:t>
      </w:r>
      <w:r w:rsidRPr="00C73849">
        <w:t>(4):793-800</w:t>
      </w:r>
    </w:p>
    <w:p w14:paraId="105FBBCB" w14:textId="77777777" w:rsidR="00957F89" w:rsidRPr="00C73849" w:rsidRDefault="00957F89">
      <w:pPr>
        <w:spacing w:before="10"/>
        <w:rPr>
          <w:rFonts w:ascii="Times New Roman" w:eastAsia="Times New Roman" w:hAnsi="Times New Roman" w:cs="Times New Roman"/>
          <w:sz w:val="20"/>
          <w:szCs w:val="20"/>
        </w:rPr>
      </w:pPr>
    </w:p>
    <w:p w14:paraId="43B41411" w14:textId="77777777" w:rsidR="00957F89" w:rsidRPr="00C73849" w:rsidRDefault="00D92D87">
      <w:pPr>
        <w:pStyle w:val="BodyText"/>
        <w:ind w:right="293"/>
      </w:pPr>
      <w:r w:rsidRPr="00C73849">
        <w:t>Gonzalez SV, Nguyen NH, Rise F, Hassel B. Brain metabolism of exogenous pyruvate.</w:t>
      </w:r>
      <w:r w:rsidRPr="00C73849">
        <w:rPr>
          <w:w w:val="99"/>
        </w:rPr>
        <w:t xml:space="preserve"> </w:t>
      </w:r>
      <w:r w:rsidRPr="00C73849">
        <w:t xml:space="preserve">Journal of </w:t>
      </w:r>
      <w:r w:rsidR="00F61776" w:rsidRPr="00C73849">
        <w:t>Neurochemistry</w:t>
      </w:r>
      <w:r w:rsidRPr="00C73849">
        <w:t xml:space="preserve"> 2005</w:t>
      </w:r>
      <w:r w:rsidR="00F61776" w:rsidRPr="00C73849">
        <w:t>; 95</w:t>
      </w:r>
      <w:r w:rsidRPr="00C73849">
        <w:t>(1):284-93</w:t>
      </w:r>
    </w:p>
    <w:p w14:paraId="6E72A84A" w14:textId="77777777" w:rsidR="00957F89" w:rsidRPr="00C73849" w:rsidRDefault="00957F89">
      <w:pPr>
        <w:spacing w:before="11"/>
        <w:rPr>
          <w:rFonts w:ascii="Times New Roman" w:eastAsia="Times New Roman" w:hAnsi="Times New Roman" w:cs="Times New Roman"/>
          <w:sz w:val="20"/>
          <w:szCs w:val="20"/>
        </w:rPr>
      </w:pPr>
    </w:p>
    <w:p w14:paraId="3FAF101A" w14:textId="77777777" w:rsidR="00957F89" w:rsidRPr="00C73849" w:rsidRDefault="00D92D87">
      <w:pPr>
        <w:pStyle w:val="BodyText"/>
        <w:spacing w:line="239" w:lineRule="auto"/>
        <w:ind w:right="293"/>
      </w:pPr>
      <w:r w:rsidRPr="00C73849">
        <w:t xml:space="preserve">Gonzalez-Falcon A, Candelario-Jalil </w:t>
      </w:r>
      <w:r w:rsidR="00F61776">
        <w:t>E, Garcia-Cabrera M, Leon OS. E</w:t>
      </w:r>
      <w:r w:rsidRPr="00C73849">
        <w:t>ffects of pyruvate</w:t>
      </w:r>
      <w:r w:rsidRPr="00C73849">
        <w:rPr>
          <w:w w:val="99"/>
        </w:rPr>
        <w:t xml:space="preserve"> </w:t>
      </w:r>
      <w:r w:rsidRPr="00C73849">
        <w:t>administration on infarct volume and neurological deficits following permanent focal cerebral</w:t>
      </w:r>
      <w:r w:rsidRPr="00C73849">
        <w:rPr>
          <w:w w:val="99"/>
        </w:rPr>
        <w:t xml:space="preserve"> </w:t>
      </w:r>
      <w:r w:rsidRPr="00C73849">
        <w:t>ischemia in rats. Brain Research 2003</w:t>
      </w:r>
      <w:r w:rsidR="00F61776" w:rsidRPr="00C73849">
        <w:t>; 990</w:t>
      </w:r>
      <w:r w:rsidRPr="00C73849">
        <w:t>(1-2):1-7</w:t>
      </w:r>
    </w:p>
    <w:p w14:paraId="3A097A9B" w14:textId="77777777" w:rsidR="00957F89" w:rsidRPr="00C73849" w:rsidRDefault="00957F89">
      <w:pPr>
        <w:spacing w:before="2"/>
        <w:rPr>
          <w:rFonts w:ascii="Times New Roman" w:eastAsia="Times New Roman" w:hAnsi="Times New Roman" w:cs="Times New Roman"/>
          <w:sz w:val="21"/>
          <w:szCs w:val="21"/>
        </w:rPr>
      </w:pPr>
    </w:p>
    <w:p w14:paraId="18B158E3" w14:textId="77777777" w:rsidR="00957F89" w:rsidRDefault="00D92D87">
      <w:pPr>
        <w:pStyle w:val="BodyText"/>
        <w:spacing w:line="276" w:lineRule="exact"/>
        <w:ind w:right="311"/>
      </w:pPr>
      <w:r w:rsidRPr="00C73849">
        <w:t xml:space="preserve">Hu S, Lustig M, Chen AP, Crane J, Kerr A, Kelley DA, Hurd R, </w:t>
      </w:r>
      <w:proofErr w:type="spellStart"/>
      <w:r w:rsidRPr="00C73849">
        <w:t>Kurhanewicz</w:t>
      </w:r>
      <w:proofErr w:type="spellEnd"/>
      <w:r w:rsidRPr="00C73849">
        <w:t xml:space="preserve"> J, Nelson SJ, Pauly JM, Vigneron DB. Compressed sensing for resolution enhancement of hyperpolarized</w:t>
      </w:r>
      <w:r w:rsidRPr="00C73849">
        <w:rPr>
          <w:w w:val="99"/>
        </w:rPr>
        <w:t xml:space="preserve"> </w:t>
      </w:r>
      <w:r w:rsidRPr="00C73849">
        <w:rPr>
          <w:position w:val="11"/>
          <w:sz w:val="16"/>
        </w:rPr>
        <w:t>13</w:t>
      </w:r>
      <w:r w:rsidRPr="00C73849">
        <w:t>C flyback 3D-MRSI. Journal of Magnetic Resonance 2008</w:t>
      </w:r>
      <w:r w:rsidR="00F61776" w:rsidRPr="00C73849">
        <w:t>; 192</w:t>
      </w:r>
      <w:r w:rsidRPr="00C73849">
        <w:t>(2):258-64</w:t>
      </w:r>
    </w:p>
    <w:p w14:paraId="66ABC85D" w14:textId="77777777" w:rsidR="005E7AF2" w:rsidRPr="00C73849" w:rsidRDefault="005E7AF2">
      <w:pPr>
        <w:pStyle w:val="BodyText"/>
        <w:spacing w:line="276" w:lineRule="exact"/>
        <w:ind w:right="311"/>
      </w:pPr>
    </w:p>
    <w:p w14:paraId="6732980F" w14:textId="340E9AA0" w:rsidR="005E7AF2" w:rsidRDefault="005E7AF2" w:rsidP="005E7AF2">
      <w:pPr>
        <w:rPr>
          <w:noProof/>
        </w:rPr>
      </w:pPr>
      <w:r>
        <w:rPr>
          <w:noProof/>
        </w:rPr>
        <w:t xml:space="preserve">Hu S, Lustig M, Balakrishnan A, et al. 3D compressed sensing for highly accelerated hyperpolarized (13)C MRSI with in vivo applications to transgenic mouse models of cancer. Magnetic </w:t>
      </w:r>
      <w:r w:rsidR="002B1A0A">
        <w:rPr>
          <w:noProof/>
        </w:rPr>
        <w:t>R</w:t>
      </w:r>
      <w:r>
        <w:rPr>
          <w:noProof/>
        </w:rPr>
        <w:t xml:space="preserve">esonance in </w:t>
      </w:r>
      <w:r w:rsidR="002B1A0A">
        <w:rPr>
          <w:noProof/>
        </w:rPr>
        <w:t>M</w:t>
      </w:r>
      <w:r>
        <w:rPr>
          <w:noProof/>
        </w:rPr>
        <w:t>edicine. 2010; 63: 312-21.</w:t>
      </w:r>
    </w:p>
    <w:p w14:paraId="1B007675" w14:textId="77777777" w:rsidR="00957F89" w:rsidRDefault="00D92D87" w:rsidP="002131A0">
      <w:pPr>
        <w:pStyle w:val="BodyText"/>
        <w:spacing w:before="236"/>
      </w:pPr>
      <w:proofErr w:type="spellStart"/>
      <w:r w:rsidRPr="00C73849">
        <w:t>Jaskille</w:t>
      </w:r>
      <w:proofErr w:type="spellEnd"/>
      <w:r w:rsidRPr="00C73849">
        <w:t xml:space="preserve"> A, </w:t>
      </w:r>
      <w:proofErr w:type="spellStart"/>
      <w:r w:rsidRPr="00C73849">
        <w:t>Koustova</w:t>
      </w:r>
      <w:proofErr w:type="spellEnd"/>
      <w:r w:rsidRPr="00C73849">
        <w:t xml:space="preserve"> E, Rhee P, Britten-Webb J, Chen H, Valeri CR, Kirkpatrick JR,</w:t>
      </w:r>
      <w:r w:rsidR="00203D0A">
        <w:t xml:space="preserve"> </w:t>
      </w:r>
      <w:r w:rsidRPr="00C73849">
        <w:t>Alam HB. Hepatic apoptosis after hemorrhagic shock in rats can be reduced through modifications of conventional Ringer's solution. Journal of the American College of Surgeons 2006</w:t>
      </w:r>
      <w:r w:rsidR="00F61776" w:rsidRPr="00C73849">
        <w:t>; 202</w:t>
      </w:r>
      <w:r w:rsidRPr="00C73849">
        <w:t>(1):25-35</w:t>
      </w:r>
    </w:p>
    <w:p w14:paraId="7BCD1568" w14:textId="77777777" w:rsidR="00021AF8" w:rsidRPr="00C73849" w:rsidRDefault="00021AF8" w:rsidP="002131A0">
      <w:pPr>
        <w:pStyle w:val="BodyText"/>
        <w:spacing w:before="236"/>
      </w:pPr>
      <w:proofErr w:type="spellStart"/>
      <w:r>
        <w:t>Koletzko</w:t>
      </w:r>
      <w:proofErr w:type="spellEnd"/>
      <w:r>
        <w:t xml:space="preserve"> B, Sauerwald T, </w:t>
      </w:r>
      <w:proofErr w:type="spellStart"/>
      <w:r>
        <w:t>Demmelmair</w:t>
      </w:r>
      <w:proofErr w:type="spellEnd"/>
      <w:r>
        <w:t xml:space="preserve"> H. Safety of stable isotope use. European Journal of Pediatrics 1997; 156 [Suppl 1</w:t>
      </w:r>
      <w:proofErr w:type="gramStart"/>
      <w:r>
        <w:t>]:S</w:t>
      </w:r>
      <w:proofErr w:type="gramEnd"/>
      <w:r>
        <w:t>12-S17</w:t>
      </w:r>
    </w:p>
    <w:p w14:paraId="05BB2BC0" w14:textId="77777777" w:rsidR="00957F89" w:rsidRPr="00C73849" w:rsidRDefault="00957F89">
      <w:pPr>
        <w:spacing w:before="10"/>
        <w:rPr>
          <w:rFonts w:ascii="Times New Roman" w:eastAsia="Times New Roman" w:hAnsi="Times New Roman" w:cs="Times New Roman"/>
          <w:sz w:val="20"/>
          <w:szCs w:val="20"/>
        </w:rPr>
      </w:pPr>
    </w:p>
    <w:p w14:paraId="788A06B0" w14:textId="77777777" w:rsidR="00957F89" w:rsidRPr="00C73849" w:rsidRDefault="00D92D87">
      <w:pPr>
        <w:pStyle w:val="BodyText"/>
        <w:ind w:right="775"/>
        <w:jc w:val="both"/>
      </w:pPr>
      <w:proofErr w:type="spellStart"/>
      <w:r w:rsidRPr="00C73849">
        <w:t>Koustova</w:t>
      </w:r>
      <w:proofErr w:type="spellEnd"/>
      <w:r w:rsidRPr="00C73849">
        <w:t xml:space="preserve"> E, Rhee P, Hancock T, Chen H, Inocencio R, </w:t>
      </w:r>
      <w:proofErr w:type="spellStart"/>
      <w:r w:rsidRPr="00C73849">
        <w:t>Jaskille</w:t>
      </w:r>
      <w:proofErr w:type="spellEnd"/>
      <w:r w:rsidRPr="00C73849">
        <w:t xml:space="preserve"> A, Hanes W, Valeri CR,</w:t>
      </w:r>
      <w:r w:rsidRPr="00C73849">
        <w:rPr>
          <w:w w:val="99"/>
        </w:rPr>
        <w:t xml:space="preserve"> </w:t>
      </w:r>
      <w:r w:rsidRPr="00C73849">
        <w:t>Alam HB. Ketone and pyruvate Ringer's solutions decrease pulmonary apoptosis in a rat</w:t>
      </w:r>
      <w:r w:rsidRPr="00C73849">
        <w:rPr>
          <w:w w:val="99"/>
        </w:rPr>
        <w:t xml:space="preserve"> </w:t>
      </w:r>
      <w:r w:rsidRPr="00C73849">
        <w:t>model of severe hemorrhagic shock and resuscitation. Surgery 2003</w:t>
      </w:r>
      <w:r w:rsidR="00F61776" w:rsidRPr="00C73849">
        <w:t>; 134</w:t>
      </w:r>
      <w:r w:rsidRPr="00C73849">
        <w:t>(2):267-74</w:t>
      </w:r>
    </w:p>
    <w:p w14:paraId="622F9901" w14:textId="77777777" w:rsidR="00957F89" w:rsidRPr="00C73849" w:rsidRDefault="00D92D87">
      <w:pPr>
        <w:pStyle w:val="BodyText"/>
        <w:spacing w:before="69"/>
        <w:ind w:right="311"/>
      </w:pPr>
      <w:r w:rsidRPr="00C73849">
        <w:t xml:space="preserve">Kristo G, Yoshimura Y, Niu J, Keith BJ, Mentzer RM, </w:t>
      </w:r>
      <w:proofErr w:type="spellStart"/>
      <w:r w:rsidRPr="00C73849">
        <w:t>Bünger</w:t>
      </w:r>
      <w:proofErr w:type="spellEnd"/>
      <w:r w:rsidRPr="00C73849">
        <w:t xml:space="preserve"> R, Lasley RD. The</w:t>
      </w:r>
      <w:r w:rsidRPr="00C73849">
        <w:rPr>
          <w:w w:val="99"/>
        </w:rPr>
        <w:t xml:space="preserve"> </w:t>
      </w:r>
      <w:r w:rsidRPr="00C73849">
        <w:t>intermediary metabolite pyruvate attenuates stunning and reduce infarct size in in vivo porcine</w:t>
      </w:r>
      <w:r w:rsidRPr="00C73849">
        <w:rPr>
          <w:w w:val="99"/>
        </w:rPr>
        <w:t xml:space="preserve"> </w:t>
      </w:r>
      <w:r w:rsidRPr="00C73849">
        <w:t>myocardium. American Journal of Physiology 2004</w:t>
      </w:r>
      <w:r w:rsidR="00F61776" w:rsidRPr="00C73849">
        <w:t>; 286</w:t>
      </w:r>
      <w:r w:rsidRPr="00C73849">
        <w:t>(2):H517-H524</w:t>
      </w:r>
    </w:p>
    <w:p w14:paraId="570D99FF" w14:textId="77777777" w:rsidR="00957F89" w:rsidRPr="00C73849" w:rsidRDefault="00957F89">
      <w:pPr>
        <w:spacing w:before="10"/>
        <w:rPr>
          <w:rFonts w:ascii="Times New Roman" w:eastAsia="Times New Roman" w:hAnsi="Times New Roman" w:cs="Times New Roman"/>
          <w:sz w:val="20"/>
          <w:szCs w:val="20"/>
        </w:rPr>
      </w:pPr>
    </w:p>
    <w:p w14:paraId="3FD9B549" w14:textId="77777777" w:rsidR="00957F89" w:rsidRPr="00C73849" w:rsidRDefault="00D92D87">
      <w:pPr>
        <w:pStyle w:val="BodyText"/>
        <w:ind w:right="448"/>
      </w:pPr>
      <w:r w:rsidRPr="00C73849">
        <w:t xml:space="preserve">Larson PE, Kerr AB, Chen AP, Lustig MS, Zierhut ML, Hu S, Cunningham CH, Pauly JM, </w:t>
      </w:r>
      <w:proofErr w:type="spellStart"/>
      <w:r w:rsidRPr="00C73849">
        <w:t>Kurhanewicz</w:t>
      </w:r>
      <w:proofErr w:type="spellEnd"/>
      <w:r w:rsidRPr="00C73849">
        <w:t xml:space="preserve"> J, Vigneron DB. Multiband excitation pulses for hyperpolarized 13C dynamic</w:t>
      </w:r>
      <w:r w:rsidRPr="00C73849">
        <w:rPr>
          <w:w w:val="99"/>
        </w:rPr>
        <w:t xml:space="preserve"> </w:t>
      </w:r>
      <w:r w:rsidRPr="00C73849">
        <w:t>chemical-shift imaging. Journal of Magnetic Resonance 2008</w:t>
      </w:r>
      <w:r w:rsidR="00F61776" w:rsidRPr="00C73849">
        <w:t>; 194</w:t>
      </w:r>
      <w:r w:rsidRPr="00C73849">
        <w:t>(1):121-7</w:t>
      </w:r>
    </w:p>
    <w:p w14:paraId="1E0C8FB5" w14:textId="77777777" w:rsidR="00957F89" w:rsidRDefault="00957F89">
      <w:pPr>
        <w:spacing w:before="10"/>
        <w:rPr>
          <w:rFonts w:ascii="Times New Roman" w:eastAsia="Times New Roman" w:hAnsi="Times New Roman" w:cs="Times New Roman"/>
          <w:sz w:val="20"/>
          <w:szCs w:val="20"/>
        </w:rPr>
      </w:pPr>
    </w:p>
    <w:p w14:paraId="62F1D297" w14:textId="785E90D1" w:rsidR="005E7AF2" w:rsidRDefault="005E7AF2" w:rsidP="005E7AF2">
      <w:pPr>
        <w:rPr>
          <w:noProof/>
        </w:rPr>
      </w:pPr>
      <w:r>
        <w:rPr>
          <w:noProof/>
        </w:rPr>
        <w:t xml:space="preserve">Larson PE, Bok R, Kerr AB, et al. Investigation of tumor hyperpolarized [1-13C]-pyruvate dynamics using time-resolved multiband RF excitation echo-planar MRSI. Magnetic </w:t>
      </w:r>
      <w:r w:rsidR="002B1A0A">
        <w:rPr>
          <w:noProof/>
        </w:rPr>
        <w:t>R</w:t>
      </w:r>
      <w:r>
        <w:rPr>
          <w:noProof/>
        </w:rPr>
        <w:t xml:space="preserve">esonance in </w:t>
      </w:r>
      <w:r w:rsidR="002B1A0A">
        <w:rPr>
          <w:noProof/>
        </w:rPr>
        <w:t>M</w:t>
      </w:r>
      <w:r>
        <w:rPr>
          <w:noProof/>
        </w:rPr>
        <w:t xml:space="preserve">edicine. </w:t>
      </w:r>
      <w:r>
        <w:rPr>
          <w:noProof/>
        </w:rPr>
        <w:lastRenderedPageBreak/>
        <w:t>2010; 63: 582-91.</w:t>
      </w:r>
    </w:p>
    <w:p w14:paraId="7228E1C4" w14:textId="77777777" w:rsidR="005E7AF2" w:rsidRDefault="005E7AF2" w:rsidP="005E7AF2">
      <w:pPr>
        <w:rPr>
          <w:noProof/>
        </w:rPr>
      </w:pPr>
    </w:p>
    <w:p w14:paraId="256A0029" w14:textId="522E4EFE" w:rsidR="005E7AF2" w:rsidRDefault="005E7AF2" w:rsidP="005E7AF2">
      <w:pPr>
        <w:rPr>
          <w:noProof/>
        </w:rPr>
      </w:pPr>
      <w:r>
        <w:rPr>
          <w:noProof/>
        </w:rPr>
        <w:t xml:space="preserve">Larson PE, Hu S, Lustig M, et al. Fast dynamic 3D MR spectroscopic imaging with compressed sensing and multiband excitation pulses for hyperpolarized 13C studies. Magnetic </w:t>
      </w:r>
      <w:r w:rsidR="002B1A0A">
        <w:rPr>
          <w:noProof/>
        </w:rPr>
        <w:t>R</w:t>
      </w:r>
      <w:r>
        <w:rPr>
          <w:noProof/>
        </w:rPr>
        <w:t xml:space="preserve">esonance in </w:t>
      </w:r>
      <w:r w:rsidR="002B1A0A">
        <w:rPr>
          <w:noProof/>
        </w:rPr>
        <w:t>M</w:t>
      </w:r>
      <w:r>
        <w:rPr>
          <w:noProof/>
        </w:rPr>
        <w:t>edicine. 2011; 65: 610-9.</w:t>
      </w:r>
    </w:p>
    <w:p w14:paraId="6E94E45B" w14:textId="77777777" w:rsidR="00E55B59" w:rsidRDefault="00E55B59" w:rsidP="005E7AF2">
      <w:pPr>
        <w:rPr>
          <w:noProof/>
        </w:rPr>
      </w:pPr>
    </w:p>
    <w:p w14:paraId="6109717D" w14:textId="72CD4F3F" w:rsidR="005E7AF2" w:rsidRDefault="005E7AF2" w:rsidP="005E7AF2">
      <w:pPr>
        <w:rPr>
          <w:noProof/>
        </w:rPr>
      </w:pPr>
      <w:r>
        <w:rPr>
          <w:noProof/>
        </w:rPr>
        <w:t xml:space="preserve">Lau AZ, Chen AP, Ghugre NR, et al. Rapid multislice imaging of hyperpolarized 13C pyruvate and bicarbonate in the heart. Magnetic </w:t>
      </w:r>
      <w:r w:rsidR="002B1A0A">
        <w:rPr>
          <w:noProof/>
        </w:rPr>
        <w:t>R</w:t>
      </w:r>
      <w:r>
        <w:rPr>
          <w:noProof/>
        </w:rPr>
        <w:t xml:space="preserve">esonance in </w:t>
      </w:r>
      <w:r w:rsidR="002B1A0A">
        <w:rPr>
          <w:noProof/>
        </w:rPr>
        <w:t>M</w:t>
      </w:r>
      <w:r>
        <w:rPr>
          <w:noProof/>
        </w:rPr>
        <w:t>edicine. 2010; 64: 1323-31.</w:t>
      </w:r>
    </w:p>
    <w:p w14:paraId="4253C11F" w14:textId="77777777" w:rsidR="005E7AF2" w:rsidRPr="00C73849" w:rsidRDefault="005E7AF2">
      <w:pPr>
        <w:spacing w:before="10"/>
        <w:rPr>
          <w:rFonts w:ascii="Times New Roman" w:eastAsia="Times New Roman" w:hAnsi="Times New Roman" w:cs="Times New Roman"/>
          <w:sz w:val="20"/>
          <w:szCs w:val="20"/>
        </w:rPr>
      </w:pPr>
    </w:p>
    <w:p w14:paraId="22248DA4" w14:textId="77777777" w:rsidR="00957F89" w:rsidRPr="00C73849" w:rsidRDefault="00D92D87">
      <w:pPr>
        <w:pStyle w:val="BodyText"/>
        <w:ind w:right="151"/>
      </w:pPr>
      <w:r w:rsidRPr="00C73849">
        <w:t>Laughlin MR, Taylor J, Chesnick AS, DeGroot M, Balaban RS. Pyruvate and lactate</w:t>
      </w:r>
      <w:r w:rsidRPr="00C73849">
        <w:rPr>
          <w:w w:val="99"/>
        </w:rPr>
        <w:t xml:space="preserve"> </w:t>
      </w:r>
      <w:r w:rsidRPr="00C73849">
        <w:t>metabolism in the in vivo dog heart. American Journal of Physiology 1993</w:t>
      </w:r>
      <w:r w:rsidR="00F61776" w:rsidRPr="00C73849">
        <w:t>; 264</w:t>
      </w:r>
      <w:r w:rsidRPr="00C73849">
        <w:t>(33):H2068-</w:t>
      </w:r>
      <w:r w:rsidRPr="00C73849">
        <w:rPr>
          <w:w w:val="99"/>
        </w:rPr>
        <w:t xml:space="preserve"> </w:t>
      </w:r>
      <w:r w:rsidRPr="00C73849">
        <w:t>H2079</w:t>
      </w:r>
    </w:p>
    <w:p w14:paraId="6F5A9C13" w14:textId="77777777" w:rsidR="00957F89" w:rsidRPr="00C73849" w:rsidRDefault="00957F89">
      <w:pPr>
        <w:spacing w:before="10"/>
        <w:rPr>
          <w:rFonts w:ascii="Times New Roman" w:eastAsia="Times New Roman" w:hAnsi="Times New Roman" w:cs="Times New Roman"/>
          <w:sz w:val="20"/>
          <w:szCs w:val="20"/>
        </w:rPr>
      </w:pPr>
    </w:p>
    <w:p w14:paraId="02227A65" w14:textId="77777777" w:rsidR="00957F89" w:rsidRDefault="00D92D87">
      <w:pPr>
        <w:pStyle w:val="BodyText"/>
        <w:ind w:right="151"/>
      </w:pPr>
      <w:r w:rsidRPr="00C73849">
        <w:t>Lee JY, Kim YH, Koh JY. Protection by pyruvate against transient forebrain ischemia in rats.</w:t>
      </w:r>
      <w:r w:rsidRPr="00C73849">
        <w:rPr>
          <w:w w:val="99"/>
        </w:rPr>
        <w:t xml:space="preserve"> </w:t>
      </w:r>
      <w:r w:rsidRPr="00C73849">
        <w:t>Journal of Neuroscience 2001</w:t>
      </w:r>
      <w:r w:rsidR="00F61776" w:rsidRPr="00C73849">
        <w:t>; 21:RC171 (</w:t>
      </w:r>
      <w:r w:rsidRPr="00C73849">
        <w:t>1-6)</w:t>
      </w:r>
    </w:p>
    <w:p w14:paraId="7FBE20F8" w14:textId="77777777" w:rsidR="005E7AF2" w:rsidRDefault="005E7AF2">
      <w:pPr>
        <w:pStyle w:val="BodyText"/>
        <w:ind w:right="151"/>
      </w:pPr>
    </w:p>
    <w:p w14:paraId="3C03D7B6" w14:textId="6F88EC68" w:rsidR="005E7AF2" w:rsidRDefault="005E7AF2" w:rsidP="005E7AF2">
      <w:pPr>
        <w:rPr>
          <w:noProof/>
        </w:rPr>
      </w:pPr>
      <w:r>
        <w:rPr>
          <w:noProof/>
        </w:rPr>
        <w:t xml:space="preserve">Levin YS, Mayer D, Yen YF, et al. Optimization of fast spiral chemical shift imaging using least squares reconstruction: application for hyperpolarized (13)C metabolic imaging. Magnetic </w:t>
      </w:r>
      <w:r w:rsidR="002B1A0A">
        <w:rPr>
          <w:noProof/>
        </w:rPr>
        <w:t>R</w:t>
      </w:r>
      <w:r>
        <w:rPr>
          <w:noProof/>
        </w:rPr>
        <w:t xml:space="preserve">esonance in </w:t>
      </w:r>
      <w:r w:rsidR="002B1A0A">
        <w:rPr>
          <w:noProof/>
        </w:rPr>
        <w:t>M</w:t>
      </w:r>
      <w:r>
        <w:rPr>
          <w:noProof/>
        </w:rPr>
        <w:t>edicine. 2007; 58: 245-52.</w:t>
      </w:r>
    </w:p>
    <w:p w14:paraId="7A773735" w14:textId="77777777" w:rsidR="005E7AF2" w:rsidRDefault="005E7AF2" w:rsidP="005E7AF2">
      <w:pPr>
        <w:rPr>
          <w:noProof/>
        </w:rPr>
      </w:pPr>
    </w:p>
    <w:p w14:paraId="4A8DE124" w14:textId="77777777" w:rsidR="005E7AF2" w:rsidRDefault="005E7AF2" w:rsidP="005E7AF2">
      <w:pPr>
        <w:rPr>
          <w:noProof/>
        </w:rPr>
      </w:pPr>
      <w:r>
        <w:rPr>
          <w:noProof/>
        </w:rPr>
        <w:t xml:space="preserve">Mayer D, Levin YS, Hurd RE, et al. Fast metabolic imaging of systems with sparse spectra: application for hyperpolarized 13C imaging. Magnetic resonance in medicine. 2006; 56: 932-7. </w:t>
      </w:r>
    </w:p>
    <w:p w14:paraId="400309B4" w14:textId="77777777" w:rsidR="005E7AF2" w:rsidRDefault="005E7AF2" w:rsidP="005E7AF2">
      <w:pPr>
        <w:rPr>
          <w:noProof/>
        </w:rPr>
      </w:pPr>
    </w:p>
    <w:p w14:paraId="4F98203F" w14:textId="6D003E6E" w:rsidR="005E7AF2" w:rsidRDefault="005E7AF2" w:rsidP="005E7AF2">
      <w:pPr>
        <w:rPr>
          <w:noProof/>
        </w:rPr>
      </w:pPr>
      <w:r>
        <w:rPr>
          <w:noProof/>
        </w:rPr>
        <w:t xml:space="preserve">Mayer D, Yen YF, Tropp J, et al. Application of subsecond spiral chemical shift imaging to real-time multislice metabolic imaging of the rat in vivo after injection of hyperpolarized 13C1-pyruvate. Magnetic </w:t>
      </w:r>
      <w:r w:rsidR="0057585B">
        <w:rPr>
          <w:noProof/>
        </w:rPr>
        <w:t>R</w:t>
      </w:r>
      <w:r>
        <w:rPr>
          <w:noProof/>
        </w:rPr>
        <w:t xml:space="preserve">esonance in </w:t>
      </w:r>
      <w:r w:rsidR="0057585B">
        <w:rPr>
          <w:noProof/>
        </w:rPr>
        <w:t>M</w:t>
      </w:r>
      <w:r>
        <w:rPr>
          <w:noProof/>
        </w:rPr>
        <w:t>edicine. 2009; 62: 557-64.</w:t>
      </w:r>
    </w:p>
    <w:p w14:paraId="1A19F345" w14:textId="77777777" w:rsidR="005E7AF2" w:rsidRDefault="005E7AF2" w:rsidP="005E7AF2">
      <w:pPr>
        <w:rPr>
          <w:noProof/>
        </w:rPr>
      </w:pPr>
    </w:p>
    <w:p w14:paraId="7096647F" w14:textId="58396D3F" w:rsidR="005E7AF2" w:rsidRDefault="005E7AF2" w:rsidP="005E7AF2">
      <w:pPr>
        <w:rPr>
          <w:noProof/>
        </w:rPr>
      </w:pPr>
      <w:r>
        <w:rPr>
          <w:noProof/>
        </w:rPr>
        <w:t xml:space="preserve">Mayer D, Yen YF, Takahashi A, et al. Dynamic and high-resolution metabolic imaging of hyperpolarized [1-13C]-pyruvate in the rat brain using a high-performance gradient insert. Magnetic </w:t>
      </w:r>
      <w:r w:rsidR="0057585B">
        <w:rPr>
          <w:noProof/>
        </w:rPr>
        <w:t>R</w:t>
      </w:r>
      <w:r>
        <w:rPr>
          <w:noProof/>
        </w:rPr>
        <w:t xml:space="preserve">esonance in </w:t>
      </w:r>
      <w:r w:rsidR="0057585B">
        <w:rPr>
          <w:noProof/>
        </w:rPr>
        <w:t>M</w:t>
      </w:r>
      <w:r>
        <w:rPr>
          <w:noProof/>
        </w:rPr>
        <w:t>edicine. 2011; 65: 1228-33.</w:t>
      </w:r>
    </w:p>
    <w:p w14:paraId="549A5273" w14:textId="77777777" w:rsidR="00957F89" w:rsidRPr="00C73849" w:rsidRDefault="00957F89">
      <w:pPr>
        <w:spacing w:before="10"/>
        <w:rPr>
          <w:rFonts w:ascii="Times New Roman" w:eastAsia="Times New Roman" w:hAnsi="Times New Roman" w:cs="Times New Roman"/>
          <w:sz w:val="20"/>
          <w:szCs w:val="20"/>
        </w:rPr>
      </w:pPr>
    </w:p>
    <w:p w14:paraId="3F59D86C" w14:textId="77777777" w:rsidR="00957F89" w:rsidRPr="00C73849" w:rsidRDefault="00D92D87">
      <w:pPr>
        <w:pStyle w:val="BodyText"/>
        <w:ind w:right="311"/>
      </w:pPr>
      <w:r w:rsidRPr="00C73849">
        <w:t xml:space="preserve">Mentzer RM Jr, Van Wylen DG, Sodhi J, Weiss RJ, Lasley RD, Willis J, </w:t>
      </w:r>
      <w:proofErr w:type="spellStart"/>
      <w:r w:rsidRPr="00C73849">
        <w:t>Bünger</w:t>
      </w:r>
      <w:proofErr w:type="spellEnd"/>
      <w:r w:rsidRPr="00C73849">
        <w:t xml:space="preserve"> R, </w:t>
      </w:r>
      <w:proofErr w:type="gramStart"/>
      <w:r w:rsidRPr="00C73849">
        <w:t>Habil ,</w:t>
      </w:r>
      <w:proofErr w:type="gramEnd"/>
      <w:r w:rsidRPr="00C73849">
        <w:t xml:space="preserve"> Flint LM. Effect of pyruvate on regional ventricular function in normal and stunned</w:t>
      </w:r>
      <w:r w:rsidRPr="00C73849">
        <w:rPr>
          <w:w w:val="99"/>
        </w:rPr>
        <w:t xml:space="preserve"> </w:t>
      </w:r>
      <w:r w:rsidRPr="00C73849">
        <w:t>myocardium. Annals of Surgery 1989</w:t>
      </w:r>
      <w:r w:rsidR="00F61776" w:rsidRPr="00C73849">
        <w:t>; 209</w:t>
      </w:r>
      <w:r w:rsidRPr="00C73849">
        <w:t>(5):629-33</w:t>
      </w:r>
    </w:p>
    <w:p w14:paraId="74D08E7C" w14:textId="77777777" w:rsidR="00957F89" w:rsidRPr="00C73849" w:rsidRDefault="00957F89">
      <w:pPr>
        <w:spacing w:before="10"/>
        <w:rPr>
          <w:rFonts w:ascii="Times New Roman" w:eastAsia="Times New Roman" w:hAnsi="Times New Roman" w:cs="Times New Roman"/>
          <w:sz w:val="20"/>
          <w:szCs w:val="20"/>
        </w:rPr>
      </w:pPr>
    </w:p>
    <w:p w14:paraId="7FF7106C" w14:textId="77777777" w:rsidR="00957F89" w:rsidRPr="00C73849" w:rsidRDefault="00D92D87">
      <w:pPr>
        <w:pStyle w:val="BodyText"/>
        <w:ind w:right="151"/>
      </w:pPr>
      <w:r w:rsidRPr="00C73849">
        <w:t>Mongan PD, Fontana JL, Chen R, Bunger R. Intravenous pyruvate prolongs survival during hemorrhagic shock in swine. American Journal of Physiology 1999</w:t>
      </w:r>
      <w:r w:rsidR="00F61776" w:rsidRPr="00C73849">
        <w:t>; 277</w:t>
      </w:r>
      <w:r w:rsidRPr="00C73849">
        <w:t>(6 Pt 2):H2253-63</w:t>
      </w:r>
    </w:p>
    <w:p w14:paraId="443DF64C" w14:textId="77777777" w:rsidR="00957F89" w:rsidRPr="00C73849" w:rsidRDefault="00957F89">
      <w:pPr>
        <w:spacing w:before="10"/>
        <w:rPr>
          <w:rFonts w:ascii="Times New Roman" w:eastAsia="Times New Roman" w:hAnsi="Times New Roman" w:cs="Times New Roman"/>
          <w:sz w:val="20"/>
          <w:szCs w:val="20"/>
        </w:rPr>
      </w:pPr>
    </w:p>
    <w:p w14:paraId="181E8D37" w14:textId="77777777" w:rsidR="00957F89" w:rsidRPr="00C73849" w:rsidRDefault="00D92D87">
      <w:pPr>
        <w:pStyle w:val="BodyText"/>
        <w:ind w:right="151"/>
      </w:pPr>
      <w:r w:rsidRPr="00C73849">
        <w:t xml:space="preserve">Mongan PD, </w:t>
      </w:r>
      <w:proofErr w:type="spellStart"/>
      <w:r w:rsidRPr="00C73849">
        <w:t>Capacchione</w:t>
      </w:r>
      <w:proofErr w:type="spellEnd"/>
      <w:r w:rsidRPr="00C73849">
        <w:t xml:space="preserve"> J, Fontana JL, West S, Bunger R. Pyruvate improves cerebral</w:t>
      </w:r>
      <w:r w:rsidRPr="00C73849">
        <w:rPr>
          <w:w w:val="99"/>
        </w:rPr>
        <w:t xml:space="preserve"> </w:t>
      </w:r>
      <w:r w:rsidRPr="00C73849">
        <w:t>metabolism during hemorrhagic shock. American Journal of Physiology 2001</w:t>
      </w:r>
      <w:r w:rsidR="00F61776" w:rsidRPr="00C73849">
        <w:t>; 281</w:t>
      </w:r>
      <w:r w:rsidRPr="00C73849">
        <w:t>(2):H854-64</w:t>
      </w:r>
    </w:p>
    <w:p w14:paraId="671C3505" w14:textId="77777777" w:rsidR="00957F89" w:rsidRPr="00C73849" w:rsidRDefault="00957F89">
      <w:pPr>
        <w:spacing w:before="10"/>
        <w:rPr>
          <w:rFonts w:ascii="Times New Roman" w:eastAsia="Times New Roman" w:hAnsi="Times New Roman" w:cs="Times New Roman"/>
          <w:sz w:val="20"/>
          <w:szCs w:val="20"/>
        </w:rPr>
      </w:pPr>
    </w:p>
    <w:p w14:paraId="402AE9F1" w14:textId="77777777" w:rsidR="00957F89" w:rsidRPr="00C73849" w:rsidRDefault="00D92D87">
      <w:pPr>
        <w:pStyle w:val="BodyText"/>
        <w:ind w:right="311"/>
      </w:pPr>
      <w:r w:rsidRPr="00C73849">
        <w:t xml:space="preserve">Mongan PD, </w:t>
      </w:r>
      <w:proofErr w:type="spellStart"/>
      <w:r w:rsidRPr="00C73849">
        <w:t>Capacchione</w:t>
      </w:r>
      <w:proofErr w:type="spellEnd"/>
      <w:r w:rsidRPr="00C73849">
        <w:t xml:space="preserve"> J, West S, </w:t>
      </w:r>
      <w:proofErr w:type="spellStart"/>
      <w:r w:rsidRPr="00C73849">
        <w:t>Karaian</w:t>
      </w:r>
      <w:proofErr w:type="spellEnd"/>
      <w:r w:rsidRPr="00C73849">
        <w:t xml:space="preserve"> J, Dubois D, Keneally R, Sharma P. Pyruvate</w:t>
      </w:r>
      <w:r w:rsidRPr="00C73849">
        <w:rPr>
          <w:w w:val="99"/>
        </w:rPr>
        <w:t xml:space="preserve"> </w:t>
      </w:r>
      <w:r w:rsidRPr="00C73849">
        <w:t>improves redox status and decreases indicators of hepatic apoptosis during hemorrhagic shock in swine. American Journal of Physiology 2002</w:t>
      </w:r>
      <w:r w:rsidR="00F61776" w:rsidRPr="00C73849">
        <w:t>; 283</w:t>
      </w:r>
      <w:r w:rsidRPr="00C73849">
        <w:t>(4):H1634-44</w:t>
      </w:r>
    </w:p>
    <w:p w14:paraId="495D9652" w14:textId="77777777" w:rsidR="00957F89" w:rsidRPr="00C73849" w:rsidRDefault="00957F89">
      <w:pPr>
        <w:spacing w:before="10"/>
        <w:rPr>
          <w:rFonts w:ascii="Times New Roman" w:eastAsia="Times New Roman" w:hAnsi="Times New Roman" w:cs="Times New Roman"/>
          <w:sz w:val="20"/>
          <w:szCs w:val="20"/>
        </w:rPr>
      </w:pPr>
    </w:p>
    <w:p w14:paraId="265CA47A" w14:textId="77777777" w:rsidR="00957F89" w:rsidRDefault="00F61776">
      <w:pPr>
        <w:pStyle w:val="BodyText"/>
        <w:ind w:right="356"/>
        <w:jc w:val="both"/>
      </w:pPr>
      <w:r w:rsidRPr="00C73849">
        <w:t>Do</w:t>
      </w:r>
      <w:r w:rsidR="00D92D87" w:rsidRPr="00C73849">
        <w:t xml:space="preserve"> Nascimento P Jr, Vaid SU, Hoskins SL, Espana JM, Kinsky MP, Kramer GC. Hypertonic</w:t>
      </w:r>
      <w:r w:rsidR="00D92D87" w:rsidRPr="00C73849">
        <w:rPr>
          <w:w w:val="99"/>
        </w:rPr>
        <w:t xml:space="preserve"> </w:t>
      </w:r>
      <w:r w:rsidR="00D92D87" w:rsidRPr="00C73849">
        <w:t>15% sodium pyruvate offers no initial resuscitation advantage compared with 8% hypertonic</w:t>
      </w:r>
      <w:r w:rsidR="00D92D87" w:rsidRPr="00C73849">
        <w:rPr>
          <w:w w:val="99"/>
        </w:rPr>
        <w:t xml:space="preserve"> </w:t>
      </w:r>
      <w:r w:rsidRPr="00C73849">
        <w:t>NaCl</w:t>
      </w:r>
      <w:r w:rsidR="00D92D87" w:rsidRPr="00C73849">
        <w:t xml:space="preserve"> in sheep with multiple hemorrhages. Shock 2007 May</w:t>
      </w:r>
      <w:r w:rsidRPr="00C73849">
        <w:t>; 27</w:t>
      </w:r>
      <w:r w:rsidR="00D92D87" w:rsidRPr="00C73849">
        <w:t>(5):565-71</w:t>
      </w:r>
    </w:p>
    <w:p w14:paraId="4B1EAA3F" w14:textId="77777777" w:rsidR="005E7AF2" w:rsidRDefault="005E7AF2">
      <w:pPr>
        <w:pStyle w:val="BodyText"/>
        <w:ind w:right="356"/>
        <w:jc w:val="both"/>
      </w:pPr>
    </w:p>
    <w:p w14:paraId="72760920" w14:textId="749895B8" w:rsidR="005E7AF2" w:rsidRDefault="005E7AF2" w:rsidP="005E7AF2">
      <w:pPr>
        <w:rPr>
          <w:noProof/>
        </w:rPr>
      </w:pPr>
      <w:r>
        <w:rPr>
          <w:noProof/>
        </w:rPr>
        <w:t xml:space="preserve">Ohliger MA, Larson PE, Bok RA, et al. Combined parallel and partial fourier MR reconstruction for accelerated 8-channel hyperpolarized carbon-13 in vivo magnetic resonance Spectroscopic imaging (MRSI). Journal of </w:t>
      </w:r>
      <w:r w:rsidR="0057585B">
        <w:rPr>
          <w:noProof/>
        </w:rPr>
        <w:t>M</w:t>
      </w:r>
      <w:r>
        <w:rPr>
          <w:noProof/>
        </w:rPr>
        <w:t xml:space="preserve">agnetic </w:t>
      </w:r>
      <w:r w:rsidR="0057585B">
        <w:rPr>
          <w:noProof/>
        </w:rPr>
        <w:t>R</w:t>
      </w:r>
      <w:r>
        <w:rPr>
          <w:noProof/>
        </w:rPr>
        <w:t xml:space="preserve">esonance </w:t>
      </w:r>
      <w:r w:rsidR="0057585B">
        <w:rPr>
          <w:noProof/>
        </w:rPr>
        <w:t>I</w:t>
      </w:r>
      <w:r>
        <w:rPr>
          <w:noProof/>
        </w:rPr>
        <w:t>maging : JMRI. 2013; 38: 701-13.</w:t>
      </w:r>
    </w:p>
    <w:p w14:paraId="35491373" w14:textId="77777777" w:rsidR="005E7AF2" w:rsidRPr="00C73849" w:rsidRDefault="005E7AF2">
      <w:pPr>
        <w:pStyle w:val="BodyText"/>
        <w:ind w:right="356"/>
        <w:jc w:val="both"/>
      </w:pPr>
    </w:p>
    <w:p w14:paraId="4F7C024F" w14:textId="77777777" w:rsidR="00957F89" w:rsidRDefault="00D92D87" w:rsidP="00650CAE">
      <w:pPr>
        <w:pStyle w:val="BodyText"/>
        <w:spacing w:line="239" w:lineRule="auto"/>
        <w:ind w:right="402"/>
        <w:jc w:val="both"/>
      </w:pPr>
      <w:r w:rsidRPr="00C73849">
        <w:t>Park JH, Hong YH, Kim HJ, Kim SM, Kim MJ, Park KS, Sung JJ, Lee KW. Pyruvate slows disease progression in a G93A SOD1 mutant transgenic mouse model. Neuroscience Letters</w:t>
      </w:r>
      <w:r w:rsidRPr="00C73849">
        <w:rPr>
          <w:w w:val="99"/>
        </w:rPr>
        <w:t xml:space="preserve"> </w:t>
      </w:r>
      <w:r w:rsidRPr="00C73849">
        <w:t>2007</w:t>
      </w:r>
      <w:r w:rsidR="00F61776" w:rsidRPr="00C73849">
        <w:t>; 21; 413</w:t>
      </w:r>
      <w:r w:rsidRPr="00C73849">
        <w:t>(3):265-9</w:t>
      </w:r>
    </w:p>
    <w:p w14:paraId="6371813D" w14:textId="77777777" w:rsidR="005E7AF2" w:rsidRDefault="005E7AF2" w:rsidP="00650CAE">
      <w:pPr>
        <w:pStyle w:val="BodyText"/>
        <w:spacing w:line="239" w:lineRule="auto"/>
        <w:ind w:right="402"/>
        <w:jc w:val="both"/>
      </w:pPr>
    </w:p>
    <w:p w14:paraId="1477FA9F" w14:textId="57B2C21A" w:rsidR="005E7AF2" w:rsidRDefault="005E7AF2" w:rsidP="005E7AF2">
      <w:pPr>
        <w:rPr>
          <w:noProof/>
        </w:rPr>
      </w:pPr>
      <w:r>
        <w:rPr>
          <w:noProof/>
        </w:rPr>
        <w:t xml:space="preserve">Reeder SB, Brittain JH, Grist TM, et al. Least-squares chemical shift separation for (13)C metabolic imaging. Journal of </w:t>
      </w:r>
      <w:r w:rsidR="0057585B">
        <w:rPr>
          <w:noProof/>
        </w:rPr>
        <w:t>M</w:t>
      </w:r>
      <w:r>
        <w:rPr>
          <w:noProof/>
        </w:rPr>
        <w:t xml:space="preserve">agnetic </w:t>
      </w:r>
      <w:r w:rsidR="0057585B">
        <w:rPr>
          <w:noProof/>
        </w:rPr>
        <w:t>R</w:t>
      </w:r>
      <w:r>
        <w:rPr>
          <w:noProof/>
        </w:rPr>
        <w:t xml:space="preserve">esonance </w:t>
      </w:r>
      <w:r w:rsidR="0057585B">
        <w:rPr>
          <w:noProof/>
        </w:rPr>
        <w:t>I</w:t>
      </w:r>
      <w:r>
        <w:rPr>
          <w:noProof/>
        </w:rPr>
        <w:t>maging : JMRI. 2007; 26: 1145-52.</w:t>
      </w:r>
    </w:p>
    <w:p w14:paraId="59D66A18" w14:textId="77777777" w:rsidR="005E7AF2" w:rsidRPr="00C73849" w:rsidRDefault="005E7AF2" w:rsidP="00650CAE">
      <w:pPr>
        <w:pStyle w:val="BodyText"/>
        <w:spacing w:line="239" w:lineRule="auto"/>
        <w:ind w:right="402"/>
        <w:jc w:val="both"/>
        <w:rPr>
          <w:rFonts w:ascii="Times New Roman" w:hAnsi="Times New Roman" w:cs="Times New Roman"/>
          <w:sz w:val="20"/>
          <w:szCs w:val="20"/>
        </w:rPr>
      </w:pPr>
    </w:p>
    <w:p w14:paraId="11B10DBD" w14:textId="77777777" w:rsidR="00957F89" w:rsidRPr="00C73849" w:rsidRDefault="00D92D87">
      <w:pPr>
        <w:pStyle w:val="BodyText"/>
        <w:ind w:right="151"/>
      </w:pPr>
      <w:r w:rsidRPr="00C73849">
        <w:t xml:space="preserve">Romand JA, </w:t>
      </w:r>
      <w:proofErr w:type="spellStart"/>
      <w:r w:rsidRPr="00C73849">
        <w:t>Gorcsan</w:t>
      </w:r>
      <w:proofErr w:type="spellEnd"/>
      <w:r w:rsidRPr="00C73849">
        <w:t xml:space="preserve"> III J, Stanko RT. Hemodynamic effects of pyruvate infusion in dogs. Journal of Critical Care 1995</w:t>
      </w:r>
      <w:r w:rsidR="00F61776" w:rsidRPr="00C73849">
        <w:t>; 10</w:t>
      </w:r>
      <w:r w:rsidRPr="00C73849">
        <w:t>(4):165-173</w:t>
      </w:r>
    </w:p>
    <w:p w14:paraId="5068B82B" w14:textId="77777777" w:rsidR="00957F89" w:rsidRPr="00C73849" w:rsidRDefault="00957F89">
      <w:pPr>
        <w:spacing w:before="10"/>
        <w:rPr>
          <w:rFonts w:ascii="Times New Roman" w:eastAsia="Times New Roman" w:hAnsi="Times New Roman" w:cs="Times New Roman"/>
          <w:sz w:val="20"/>
          <w:szCs w:val="20"/>
        </w:rPr>
      </w:pPr>
    </w:p>
    <w:p w14:paraId="5C6E1F6A" w14:textId="77777777" w:rsidR="00957F89" w:rsidRPr="00C73849" w:rsidRDefault="00D92D87">
      <w:pPr>
        <w:pStyle w:val="BodyText"/>
        <w:ind w:right="151"/>
      </w:pPr>
      <w:r w:rsidRPr="00C73849">
        <w:t xml:space="preserve">Romijn JA, </w:t>
      </w:r>
      <w:proofErr w:type="spellStart"/>
      <w:r w:rsidRPr="00C73849">
        <w:t>Chinkes</w:t>
      </w:r>
      <w:proofErr w:type="spellEnd"/>
      <w:r w:rsidRPr="00C73849">
        <w:t xml:space="preserve"> DL, Schwarz JM, Wolfe RR. Lactate-pyruvate interconversion in blood:</w:t>
      </w:r>
      <w:r w:rsidRPr="00C73849">
        <w:rPr>
          <w:w w:val="99"/>
        </w:rPr>
        <w:t xml:space="preserve"> </w:t>
      </w:r>
      <w:r w:rsidRPr="00C73849">
        <w:t xml:space="preserve">implications for in vivo tracer studies. American Journal of Physiology </w:t>
      </w:r>
      <w:proofErr w:type="gramStart"/>
      <w:r w:rsidRPr="00C73849">
        <w:t>1994;</w:t>
      </w:r>
      <w:proofErr w:type="gramEnd"/>
    </w:p>
    <w:p w14:paraId="07B7FE87" w14:textId="77777777" w:rsidR="00957F89" w:rsidRPr="00C73849" w:rsidRDefault="00D92D87">
      <w:pPr>
        <w:pStyle w:val="BodyText"/>
      </w:pPr>
      <w:r w:rsidRPr="00C73849">
        <w:t>266(3 Pt 1</w:t>
      </w:r>
      <w:proofErr w:type="gramStart"/>
      <w:r w:rsidRPr="00C73849">
        <w:t>):E</w:t>
      </w:r>
      <w:proofErr w:type="gramEnd"/>
      <w:r w:rsidRPr="00C73849">
        <w:t>334-40</w:t>
      </w:r>
    </w:p>
    <w:p w14:paraId="38AC2C6D" w14:textId="77777777" w:rsidR="00957F89" w:rsidRDefault="00957F89">
      <w:pPr>
        <w:spacing w:before="10"/>
        <w:rPr>
          <w:rFonts w:ascii="Times New Roman" w:eastAsia="Times New Roman" w:hAnsi="Times New Roman" w:cs="Times New Roman"/>
          <w:sz w:val="20"/>
          <w:szCs w:val="20"/>
        </w:rPr>
      </w:pPr>
    </w:p>
    <w:p w14:paraId="403131F5" w14:textId="007A276B" w:rsidR="005E7AF2" w:rsidRDefault="005E7AF2" w:rsidP="005E7AF2">
      <w:pPr>
        <w:rPr>
          <w:noProof/>
        </w:rPr>
      </w:pPr>
      <w:r>
        <w:rPr>
          <w:noProof/>
        </w:rPr>
        <w:t xml:space="preserve">Schmidt R, Laustsen C, Dumez JN, et al. In vivo single-shot 13C spectroscopic imaging of hyperpolarized metabolites by spatiotemporal encoding. Journal of </w:t>
      </w:r>
      <w:r w:rsidR="0057585B">
        <w:rPr>
          <w:noProof/>
        </w:rPr>
        <w:t>M</w:t>
      </w:r>
      <w:r>
        <w:rPr>
          <w:noProof/>
        </w:rPr>
        <w:t xml:space="preserve">agnetic </w:t>
      </w:r>
      <w:r w:rsidR="0057585B">
        <w:rPr>
          <w:noProof/>
        </w:rPr>
        <w:t>R</w:t>
      </w:r>
      <w:r>
        <w:rPr>
          <w:noProof/>
        </w:rPr>
        <w:t>esonance. 2014; 240: 8-15.</w:t>
      </w:r>
    </w:p>
    <w:p w14:paraId="3A564E1C" w14:textId="77777777" w:rsidR="005E7AF2" w:rsidRPr="00C73849" w:rsidRDefault="005E7AF2">
      <w:pPr>
        <w:spacing w:before="10"/>
        <w:rPr>
          <w:rFonts w:ascii="Times New Roman" w:eastAsia="Times New Roman" w:hAnsi="Times New Roman" w:cs="Times New Roman"/>
          <w:sz w:val="20"/>
          <w:szCs w:val="20"/>
        </w:rPr>
      </w:pPr>
    </w:p>
    <w:p w14:paraId="1BFF544D" w14:textId="77777777" w:rsidR="00957F89" w:rsidRPr="00C73849" w:rsidRDefault="00D92D87">
      <w:pPr>
        <w:pStyle w:val="BodyText"/>
        <w:ind w:right="716"/>
        <w:jc w:val="both"/>
      </w:pPr>
      <w:r w:rsidRPr="00C73849">
        <w:t>Sharma AB, Knott EM, Bi J, Martinez RR, Sun J, Mallet RT. Pyruvate improves cardiac</w:t>
      </w:r>
      <w:r w:rsidRPr="00C73849">
        <w:rPr>
          <w:w w:val="99"/>
        </w:rPr>
        <w:t xml:space="preserve"> </w:t>
      </w:r>
      <w:r w:rsidRPr="00C73849">
        <w:t>electromechanical and metabolic recovery from cardiopulmonary arrest and resuscitation.</w:t>
      </w:r>
      <w:r w:rsidRPr="00C73849">
        <w:rPr>
          <w:w w:val="99"/>
        </w:rPr>
        <w:t xml:space="preserve"> </w:t>
      </w:r>
      <w:r w:rsidRPr="00C73849">
        <w:t>Resuscitation 2005</w:t>
      </w:r>
      <w:r w:rsidR="00F61776" w:rsidRPr="00C73849">
        <w:t>; 66</w:t>
      </w:r>
      <w:r w:rsidRPr="00C73849">
        <w:t>(1):71-81</w:t>
      </w:r>
    </w:p>
    <w:p w14:paraId="2D51D66E" w14:textId="77777777" w:rsidR="00FD4E71" w:rsidRPr="00C73849" w:rsidRDefault="00FD4E71">
      <w:pPr>
        <w:pStyle w:val="BodyText"/>
        <w:spacing w:before="69"/>
        <w:ind w:right="827"/>
      </w:pPr>
    </w:p>
    <w:p w14:paraId="379C063D" w14:textId="77777777" w:rsidR="00957F89" w:rsidRPr="00C73849" w:rsidRDefault="00D92D87">
      <w:pPr>
        <w:pStyle w:val="BodyText"/>
        <w:spacing w:before="69"/>
        <w:ind w:right="827"/>
      </w:pPr>
      <w:r w:rsidRPr="00C73849">
        <w:t>Sharma AB, Sun J, Howard LL, Williams AG Jr, Mallet RT. Oxidative stress reversibly inactivates myocardial enzymes during cardiac arrest. American Journal of Physiology 2007</w:t>
      </w:r>
      <w:r w:rsidR="00F61776" w:rsidRPr="00C73849">
        <w:t>; 292</w:t>
      </w:r>
      <w:r w:rsidRPr="00C73849">
        <w:t>(1):H198-206</w:t>
      </w:r>
    </w:p>
    <w:p w14:paraId="77A8288D" w14:textId="77777777" w:rsidR="00957F89" w:rsidRPr="00C73849" w:rsidRDefault="00957F89">
      <w:pPr>
        <w:spacing w:before="10"/>
        <w:rPr>
          <w:rFonts w:ascii="Times New Roman" w:eastAsia="Times New Roman" w:hAnsi="Times New Roman" w:cs="Times New Roman"/>
          <w:sz w:val="20"/>
          <w:szCs w:val="20"/>
        </w:rPr>
      </w:pPr>
    </w:p>
    <w:p w14:paraId="092893A0" w14:textId="77777777" w:rsidR="00957F89" w:rsidRPr="00C73849" w:rsidRDefault="00D92D87">
      <w:pPr>
        <w:pStyle w:val="BodyText"/>
        <w:ind w:right="284"/>
      </w:pPr>
      <w:r w:rsidRPr="00C73849">
        <w:t>Sharma AB, Barlow MA, Yang SH, Simpkins JW, Mallet RT. Pyruvate enhances neurological</w:t>
      </w:r>
      <w:r w:rsidRPr="00C73849">
        <w:rPr>
          <w:w w:val="99"/>
        </w:rPr>
        <w:t xml:space="preserve"> </w:t>
      </w:r>
      <w:r w:rsidRPr="00C73849">
        <w:t>recovery following cardiopulmonary arrest and resuscitation. Resuscitation. 2008</w:t>
      </w:r>
      <w:r w:rsidR="00F61776" w:rsidRPr="00C73849">
        <w:t>; 76</w:t>
      </w:r>
      <w:r w:rsidRPr="00C73849">
        <w:t>(1):108-</w:t>
      </w:r>
      <w:r w:rsidR="001E1911">
        <w:rPr>
          <w:w w:val="99"/>
        </w:rPr>
        <w:t xml:space="preserve"> </w:t>
      </w:r>
      <w:r w:rsidRPr="00C73849">
        <w:t>19</w:t>
      </w:r>
    </w:p>
    <w:p w14:paraId="74B411E7" w14:textId="77777777" w:rsidR="00957F89" w:rsidRPr="00C73849" w:rsidRDefault="00957F89">
      <w:pPr>
        <w:spacing w:before="10"/>
        <w:rPr>
          <w:rFonts w:ascii="Times New Roman" w:eastAsia="Times New Roman" w:hAnsi="Times New Roman" w:cs="Times New Roman"/>
          <w:sz w:val="20"/>
          <w:szCs w:val="20"/>
        </w:rPr>
      </w:pPr>
    </w:p>
    <w:p w14:paraId="3B1FAE46" w14:textId="77777777" w:rsidR="00957F89" w:rsidRPr="00C73849" w:rsidRDefault="00D92D87">
      <w:pPr>
        <w:pStyle w:val="BodyText"/>
        <w:ind w:right="435"/>
      </w:pPr>
      <w:r w:rsidRPr="00C73849">
        <w:t>Stanko RT, Mendelow H, Shinozuka H, Adibi SA. Prevention of alcohol-induced fatty liver</w:t>
      </w:r>
      <w:r w:rsidRPr="00C73849">
        <w:rPr>
          <w:w w:val="99"/>
        </w:rPr>
        <w:t xml:space="preserve"> </w:t>
      </w:r>
      <w:r w:rsidRPr="00C73849">
        <w:t>by natural metabolites and riboflavin. Journal of Laboratory and Clinical Medicine</w:t>
      </w:r>
      <w:r w:rsidRPr="00C73849">
        <w:rPr>
          <w:w w:val="99"/>
        </w:rPr>
        <w:t xml:space="preserve"> </w:t>
      </w:r>
      <w:r w:rsidRPr="00C73849">
        <w:t>978</w:t>
      </w:r>
      <w:r w:rsidR="00F61776" w:rsidRPr="00C73849">
        <w:t>; 91</w:t>
      </w:r>
      <w:r w:rsidRPr="00C73849">
        <w:t>(2):228-35</w:t>
      </w:r>
    </w:p>
    <w:p w14:paraId="496D87E0" w14:textId="77777777" w:rsidR="00957F89" w:rsidRPr="00C73849" w:rsidRDefault="00957F89">
      <w:pPr>
        <w:spacing w:before="10"/>
        <w:rPr>
          <w:rFonts w:ascii="Times New Roman" w:eastAsia="Times New Roman" w:hAnsi="Times New Roman" w:cs="Times New Roman"/>
          <w:sz w:val="20"/>
          <w:szCs w:val="20"/>
        </w:rPr>
      </w:pPr>
    </w:p>
    <w:p w14:paraId="0A026B0E" w14:textId="77777777" w:rsidR="00957F89" w:rsidRPr="00C73849" w:rsidRDefault="00D92D87">
      <w:pPr>
        <w:pStyle w:val="BodyText"/>
        <w:ind w:right="947"/>
        <w:jc w:val="both"/>
      </w:pPr>
      <w:r w:rsidRPr="00C73849">
        <w:t xml:space="preserve">Stanko RT, Sekas G, </w:t>
      </w:r>
      <w:proofErr w:type="spellStart"/>
      <w:r w:rsidRPr="00C73849">
        <w:t>Isaachson</w:t>
      </w:r>
      <w:proofErr w:type="spellEnd"/>
      <w:r w:rsidRPr="00C73849">
        <w:t xml:space="preserve"> IA, Clarke MR, Billiar TR, Paul HS. Pyruvate inhibits</w:t>
      </w:r>
      <w:r w:rsidRPr="00C73849">
        <w:rPr>
          <w:w w:val="99"/>
        </w:rPr>
        <w:t xml:space="preserve"> </w:t>
      </w:r>
      <w:r w:rsidRPr="00C73849">
        <w:t>clofibrate-induced hepatic peroxisomal proliferation and free radical production in rats.</w:t>
      </w:r>
      <w:r w:rsidRPr="00C73849">
        <w:rPr>
          <w:w w:val="99"/>
        </w:rPr>
        <w:t xml:space="preserve"> </w:t>
      </w:r>
      <w:r w:rsidRPr="00C73849">
        <w:t>Metabolism 995</w:t>
      </w:r>
      <w:r w:rsidR="00F61776" w:rsidRPr="00C73849">
        <w:t>; 44</w:t>
      </w:r>
      <w:r w:rsidRPr="00C73849">
        <w:t>(2):166-171</w:t>
      </w:r>
    </w:p>
    <w:p w14:paraId="19D1A0ED" w14:textId="77777777" w:rsidR="00957F89" w:rsidRPr="00C73849" w:rsidRDefault="00957F89">
      <w:pPr>
        <w:spacing w:before="10"/>
        <w:rPr>
          <w:rFonts w:ascii="Times New Roman" w:eastAsia="Times New Roman" w:hAnsi="Times New Roman" w:cs="Times New Roman"/>
          <w:sz w:val="20"/>
          <w:szCs w:val="20"/>
        </w:rPr>
      </w:pPr>
    </w:p>
    <w:p w14:paraId="1A17575A" w14:textId="77777777" w:rsidR="00957F89" w:rsidRPr="00C73849" w:rsidRDefault="00D92D87">
      <w:pPr>
        <w:pStyle w:val="BodyText"/>
        <w:ind w:right="311"/>
      </w:pPr>
      <w:r w:rsidRPr="00C73849">
        <w:t xml:space="preserve">Swanson MG, </w:t>
      </w:r>
      <w:proofErr w:type="spellStart"/>
      <w:r w:rsidRPr="00C73849">
        <w:t>Zektzer</w:t>
      </w:r>
      <w:proofErr w:type="spellEnd"/>
      <w:r w:rsidRPr="00C73849">
        <w:t xml:space="preserve"> AS, Tabatabai ZL, Simko J, Jarso S, Keshari KR, Schmitt L, Carroll</w:t>
      </w:r>
      <w:r w:rsidRPr="00C73849">
        <w:rPr>
          <w:w w:val="99"/>
        </w:rPr>
        <w:t xml:space="preserve"> </w:t>
      </w:r>
      <w:r w:rsidRPr="00C73849">
        <w:t xml:space="preserve">PR, Shinohara K, Vigneron DB, </w:t>
      </w:r>
      <w:proofErr w:type="spellStart"/>
      <w:r w:rsidRPr="00C73849">
        <w:t>Kurhanewicz</w:t>
      </w:r>
      <w:proofErr w:type="spellEnd"/>
      <w:r w:rsidRPr="00C73849">
        <w:t xml:space="preserve"> J. Quantitative analysis of prostate metabolites</w:t>
      </w:r>
      <w:r w:rsidRPr="00C73849">
        <w:rPr>
          <w:w w:val="99"/>
        </w:rPr>
        <w:t xml:space="preserve"> </w:t>
      </w:r>
      <w:r w:rsidRPr="00C73849">
        <w:t>using 1H HR-MAS spectroscopy. Magnetic Resonance in Medicine 2006; 55(6):1257-64</w:t>
      </w:r>
    </w:p>
    <w:p w14:paraId="0C7ED477" w14:textId="77777777" w:rsidR="00957F89" w:rsidRDefault="00957F89">
      <w:pPr>
        <w:spacing w:before="10"/>
        <w:rPr>
          <w:rFonts w:ascii="Times New Roman" w:eastAsia="Times New Roman" w:hAnsi="Times New Roman" w:cs="Times New Roman"/>
          <w:sz w:val="20"/>
          <w:szCs w:val="20"/>
        </w:rPr>
      </w:pPr>
    </w:p>
    <w:p w14:paraId="78A9989E" w14:textId="5F799AC3" w:rsidR="005E7AF2" w:rsidRDefault="005E7AF2" w:rsidP="005E7AF2">
      <w:pPr>
        <w:rPr>
          <w:noProof/>
        </w:rPr>
      </w:pPr>
      <w:r>
        <w:rPr>
          <w:noProof/>
        </w:rPr>
        <w:t xml:space="preserve">Swisher CL, Larson PE, Kruttwig K, et al. Quantitative measurement of cancer metabolism using stimulated echo hyperpolarized carbon-13 MRS. Magnetic </w:t>
      </w:r>
      <w:r w:rsidR="0057585B">
        <w:rPr>
          <w:noProof/>
        </w:rPr>
        <w:t>R</w:t>
      </w:r>
      <w:r>
        <w:rPr>
          <w:noProof/>
        </w:rPr>
        <w:t xml:space="preserve">esonance in </w:t>
      </w:r>
      <w:r w:rsidR="0057585B">
        <w:rPr>
          <w:noProof/>
        </w:rPr>
        <w:t>M</w:t>
      </w:r>
      <w:r>
        <w:rPr>
          <w:noProof/>
        </w:rPr>
        <w:t>edicine. 2014; 71: 1-11.</w:t>
      </w:r>
    </w:p>
    <w:p w14:paraId="1D50D8DE" w14:textId="77777777" w:rsidR="005E7AF2" w:rsidRPr="00C73849" w:rsidRDefault="005E7AF2">
      <w:pPr>
        <w:spacing w:before="10"/>
        <w:rPr>
          <w:rFonts w:ascii="Times New Roman" w:eastAsia="Times New Roman" w:hAnsi="Times New Roman" w:cs="Times New Roman"/>
          <w:sz w:val="20"/>
          <w:szCs w:val="20"/>
        </w:rPr>
      </w:pPr>
    </w:p>
    <w:p w14:paraId="419C6CAD" w14:textId="77777777" w:rsidR="00957F89" w:rsidRPr="00C73849" w:rsidRDefault="00D92D87">
      <w:pPr>
        <w:pStyle w:val="BodyText"/>
        <w:ind w:right="343"/>
      </w:pPr>
      <w:r w:rsidRPr="00C73849">
        <w:t xml:space="preserve">Tessem MB, Swanson MG, Keshari KR, Albers MJ, Joun D, Tabatabai ZL, Simko JP, Shinohara K, Nelson SJ, Vigneron DB, </w:t>
      </w:r>
      <w:proofErr w:type="spellStart"/>
      <w:r w:rsidRPr="00C73849">
        <w:t>Gribbestad</w:t>
      </w:r>
      <w:proofErr w:type="spellEnd"/>
      <w:r w:rsidRPr="00C73849">
        <w:t xml:space="preserve"> IS, </w:t>
      </w:r>
      <w:proofErr w:type="spellStart"/>
      <w:r w:rsidRPr="00C73849">
        <w:t>Kurhanewicz</w:t>
      </w:r>
      <w:proofErr w:type="spellEnd"/>
      <w:r w:rsidRPr="00C73849">
        <w:t xml:space="preserve"> J. Evaluation of lactate</w:t>
      </w:r>
      <w:r w:rsidRPr="00C73849">
        <w:rPr>
          <w:w w:val="99"/>
        </w:rPr>
        <w:t xml:space="preserve"> </w:t>
      </w:r>
      <w:r w:rsidRPr="00C73849">
        <w:t>and alanine as metabolic biomarkers of prostate cancer using 1H HR-MAS spectroscopy of biopsy tissues. Magnetic Resonance in Medicine 2008; 60(3):510-6</w:t>
      </w:r>
    </w:p>
    <w:p w14:paraId="2902133F" w14:textId="77777777" w:rsidR="00957F89" w:rsidRPr="00C73849" w:rsidRDefault="00957F89">
      <w:pPr>
        <w:spacing w:before="10"/>
        <w:rPr>
          <w:rFonts w:ascii="Times New Roman" w:eastAsia="Times New Roman" w:hAnsi="Times New Roman" w:cs="Times New Roman"/>
          <w:sz w:val="20"/>
          <w:szCs w:val="20"/>
        </w:rPr>
      </w:pPr>
    </w:p>
    <w:p w14:paraId="4FA92F07" w14:textId="77777777" w:rsidR="00957F89" w:rsidRPr="00C73849" w:rsidRDefault="00D92D87">
      <w:pPr>
        <w:pStyle w:val="BodyText"/>
        <w:ind w:right="311"/>
      </w:pPr>
      <w:r w:rsidRPr="00C73849">
        <w:t xml:space="preserve">Thorn W, Gercken G, </w:t>
      </w:r>
      <w:proofErr w:type="spellStart"/>
      <w:r w:rsidRPr="00C73849">
        <w:t>Hürter</w:t>
      </w:r>
      <w:proofErr w:type="spellEnd"/>
      <w:r w:rsidRPr="00C73849">
        <w:t xml:space="preserve"> P. Function, substrate supply, and metabolite content of rabbit</w:t>
      </w:r>
      <w:r w:rsidRPr="00C73849">
        <w:rPr>
          <w:w w:val="99"/>
        </w:rPr>
        <w:t xml:space="preserve"> </w:t>
      </w:r>
      <w:r w:rsidRPr="00C73849">
        <w:t xml:space="preserve">heart </w:t>
      </w:r>
      <w:r w:rsidRPr="00C73849">
        <w:lastRenderedPageBreak/>
        <w:t>perfused in situ. American Journal of Physiology 1968</w:t>
      </w:r>
      <w:r w:rsidR="00F61776" w:rsidRPr="00C73849">
        <w:t>; 214</w:t>
      </w:r>
      <w:r w:rsidRPr="00C73849">
        <w:t>(1):139-145</w:t>
      </w:r>
    </w:p>
    <w:p w14:paraId="287E02E6" w14:textId="77777777" w:rsidR="00957F89" w:rsidRPr="00C73849" w:rsidRDefault="00957F89">
      <w:pPr>
        <w:spacing w:before="10"/>
        <w:rPr>
          <w:rFonts w:ascii="Times New Roman" w:eastAsia="Times New Roman" w:hAnsi="Times New Roman" w:cs="Times New Roman"/>
          <w:sz w:val="20"/>
          <w:szCs w:val="20"/>
        </w:rPr>
      </w:pPr>
    </w:p>
    <w:p w14:paraId="054205DA" w14:textId="77777777" w:rsidR="00957F89" w:rsidRPr="00C73849" w:rsidRDefault="00D92D87">
      <w:pPr>
        <w:pStyle w:val="BodyText"/>
        <w:ind w:right="899"/>
      </w:pPr>
      <w:r w:rsidRPr="00C73849">
        <w:t>Thorn W, Petkova I, Mateva L. Efficacy and tolerance of sodium pyruvate infusions in</w:t>
      </w:r>
      <w:r w:rsidRPr="00C73849">
        <w:rPr>
          <w:w w:val="99"/>
        </w:rPr>
        <w:t xml:space="preserve"> </w:t>
      </w:r>
      <w:r w:rsidRPr="00C73849">
        <w:t>patients with chronic liver diseases. GIT Labo-</w:t>
      </w:r>
      <w:proofErr w:type="spellStart"/>
      <w:r w:rsidRPr="00C73849">
        <w:t>Medizin</w:t>
      </w:r>
      <w:proofErr w:type="spellEnd"/>
      <w:r w:rsidRPr="00C73849">
        <w:t xml:space="preserve"> 1996</w:t>
      </w:r>
      <w:r w:rsidR="00F61776" w:rsidRPr="00C73849">
        <w:t>; 3:98</w:t>
      </w:r>
      <w:r w:rsidRPr="00C73849">
        <w:t>-104</w:t>
      </w:r>
    </w:p>
    <w:p w14:paraId="50E73CEF" w14:textId="77777777" w:rsidR="00957F89" w:rsidRDefault="00957F89">
      <w:pPr>
        <w:spacing w:before="10"/>
        <w:rPr>
          <w:rFonts w:ascii="Times New Roman" w:eastAsia="Times New Roman" w:hAnsi="Times New Roman" w:cs="Times New Roman"/>
          <w:sz w:val="20"/>
          <w:szCs w:val="20"/>
        </w:rPr>
      </w:pPr>
    </w:p>
    <w:p w14:paraId="52197444" w14:textId="5F7D4862" w:rsidR="005E7AF2" w:rsidRDefault="005E7AF2" w:rsidP="005E7AF2">
      <w:pPr>
        <w:rPr>
          <w:noProof/>
        </w:rPr>
      </w:pPr>
      <w:r>
        <w:rPr>
          <w:noProof/>
        </w:rPr>
        <w:t xml:space="preserve">Wiesinger F, Weidl E, Menzel MI, et al. IDEAL spiral CSI for dynamic metabolic MR imaging of hyperpolarized [1-13C]pyruvate. Magnetic </w:t>
      </w:r>
      <w:r w:rsidR="0057585B">
        <w:rPr>
          <w:noProof/>
        </w:rPr>
        <w:t>R</w:t>
      </w:r>
      <w:r>
        <w:rPr>
          <w:noProof/>
        </w:rPr>
        <w:t xml:space="preserve">esonance in </w:t>
      </w:r>
      <w:r w:rsidR="0057585B">
        <w:rPr>
          <w:noProof/>
        </w:rPr>
        <w:t>M</w:t>
      </w:r>
      <w:r>
        <w:rPr>
          <w:noProof/>
        </w:rPr>
        <w:t>edicine. 2012; 68: 8-16.</w:t>
      </w:r>
    </w:p>
    <w:p w14:paraId="358E2D92" w14:textId="77777777" w:rsidR="005E7AF2" w:rsidRPr="00C73849" w:rsidRDefault="005E7AF2">
      <w:pPr>
        <w:spacing w:before="10"/>
        <w:rPr>
          <w:rFonts w:ascii="Times New Roman" w:eastAsia="Times New Roman" w:hAnsi="Times New Roman" w:cs="Times New Roman"/>
          <w:sz w:val="20"/>
          <w:szCs w:val="20"/>
        </w:rPr>
      </w:pPr>
    </w:p>
    <w:p w14:paraId="2A76FDDA" w14:textId="77777777" w:rsidR="00957F89" w:rsidRDefault="00D92D87">
      <w:pPr>
        <w:pStyle w:val="BodyText"/>
        <w:ind w:right="151"/>
      </w:pPr>
      <w:r w:rsidRPr="00C73849">
        <w:t>Yanos J, Patti MJ, Stanko RT. Hemodynamic effects of intravenous pyruvate in the intact,</w:t>
      </w:r>
      <w:r w:rsidRPr="00C73849">
        <w:rPr>
          <w:w w:val="99"/>
        </w:rPr>
        <w:t xml:space="preserve"> </w:t>
      </w:r>
      <w:r w:rsidRPr="00C73849">
        <w:t>anesthetized dog. Critical Care Medicine 1994</w:t>
      </w:r>
      <w:r w:rsidR="00F61776" w:rsidRPr="00C73849">
        <w:t>; 22</w:t>
      </w:r>
      <w:r w:rsidRPr="00C73849">
        <w:t>(5):844-850</w:t>
      </w:r>
    </w:p>
    <w:p w14:paraId="31F5566F" w14:textId="77777777" w:rsidR="00F61776" w:rsidRPr="00C73849" w:rsidRDefault="00F61776">
      <w:pPr>
        <w:pStyle w:val="BodyText"/>
        <w:ind w:right="151"/>
      </w:pPr>
    </w:p>
    <w:p w14:paraId="2C01A9AE" w14:textId="77777777" w:rsidR="00957F89" w:rsidRPr="00C73849" w:rsidRDefault="00D92D87" w:rsidP="00F61776">
      <w:pPr>
        <w:pStyle w:val="BodyText"/>
        <w:ind w:right="691"/>
      </w:pPr>
      <w:r w:rsidRPr="00C73849">
        <w:t xml:space="preserve">Yen YF. GE-101-Pyruvate: Improvement of Hyperpolarized </w:t>
      </w:r>
      <w:r w:rsidRPr="00C73849">
        <w:rPr>
          <w:position w:val="11"/>
          <w:sz w:val="16"/>
        </w:rPr>
        <w:t>13</w:t>
      </w:r>
      <w:r w:rsidRPr="00C73849">
        <w:t>C Imaging Methods 2006</w:t>
      </w:r>
      <w:r w:rsidR="001E1911">
        <w:t xml:space="preserve"> </w:t>
      </w:r>
      <w:r w:rsidRPr="00C73849">
        <w:t>Yi JS, Kim TY, Kyu Kim D, Koh JY. Systemic pyruvate administration markedly reduces</w:t>
      </w:r>
      <w:r w:rsidR="00F61776">
        <w:t xml:space="preserve"> </w:t>
      </w:r>
      <w:r w:rsidRPr="00C73849">
        <w:t>infarcts and motor deficits in rat models of transient and permanent focal cerebral ischemia. Neurobiology of Disease 2007</w:t>
      </w:r>
      <w:r w:rsidR="00F61776" w:rsidRPr="00C73849">
        <w:t>; 26</w:t>
      </w:r>
      <w:r w:rsidRPr="00C73849">
        <w:t>(1):94-104</w:t>
      </w:r>
    </w:p>
    <w:p w14:paraId="56D74B61" w14:textId="77777777" w:rsidR="00957F89" w:rsidRPr="00C73849" w:rsidRDefault="00957F89">
      <w:pPr>
        <w:spacing w:before="10"/>
        <w:rPr>
          <w:rFonts w:ascii="Times New Roman" w:eastAsia="Times New Roman" w:hAnsi="Times New Roman" w:cs="Times New Roman"/>
          <w:sz w:val="20"/>
          <w:szCs w:val="20"/>
        </w:rPr>
      </w:pPr>
    </w:p>
    <w:p w14:paraId="1C73B9E8" w14:textId="77777777" w:rsidR="00957F89" w:rsidRPr="00C73849" w:rsidRDefault="00D92D87">
      <w:pPr>
        <w:pStyle w:val="BodyText"/>
        <w:ind w:right="151"/>
      </w:pPr>
      <w:r w:rsidRPr="00C73849">
        <w:t xml:space="preserve">Zhou Z, Lasley RD, Hegge JO, </w:t>
      </w:r>
      <w:proofErr w:type="spellStart"/>
      <w:r w:rsidRPr="00C73849">
        <w:t>Bünger</w:t>
      </w:r>
      <w:proofErr w:type="spellEnd"/>
      <w:r w:rsidRPr="00C73849">
        <w:t xml:space="preserve"> R, Mentzer RM Jr. Myocardial stunning: a therapeutic</w:t>
      </w:r>
      <w:r w:rsidRPr="00C73849">
        <w:rPr>
          <w:w w:val="99"/>
        </w:rPr>
        <w:t xml:space="preserve"> </w:t>
      </w:r>
      <w:r w:rsidRPr="00C73849">
        <w:t>conundrum. The Journal of Thoracic and Cardiovascular Surgery 1995</w:t>
      </w:r>
      <w:r w:rsidR="00F61776" w:rsidRPr="00C73849">
        <w:t>; 110</w:t>
      </w:r>
      <w:r w:rsidRPr="00C73849">
        <w:t>(5):1391-400</w:t>
      </w:r>
    </w:p>
    <w:p w14:paraId="1EAFC1D0" w14:textId="77777777" w:rsidR="00957F89" w:rsidRPr="00C73849" w:rsidRDefault="00957F89">
      <w:pPr>
        <w:spacing w:before="10"/>
        <w:rPr>
          <w:rFonts w:ascii="Times New Roman" w:eastAsia="Times New Roman" w:hAnsi="Times New Roman" w:cs="Times New Roman"/>
          <w:sz w:val="20"/>
          <w:szCs w:val="20"/>
        </w:rPr>
      </w:pPr>
    </w:p>
    <w:p w14:paraId="57AB1BCF" w14:textId="77777777" w:rsidR="00957F89" w:rsidRPr="00C73849" w:rsidRDefault="00D92D87">
      <w:pPr>
        <w:pStyle w:val="BodyText"/>
        <w:ind w:right="422"/>
      </w:pPr>
      <w:r w:rsidRPr="00C73849">
        <w:t xml:space="preserve">Zlotnik A, Gurevich B, </w:t>
      </w:r>
      <w:proofErr w:type="spellStart"/>
      <w:r w:rsidRPr="00C73849">
        <w:t>Cherniavsky</w:t>
      </w:r>
      <w:proofErr w:type="spellEnd"/>
      <w:r w:rsidRPr="00C73849">
        <w:t xml:space="preserve"> E, Tkachov S, </w:t>
      </w:r>
      <w:proofErr w:type="spellStart"/>
      <w:r w:rsidRPr="00C73849">
        <w:t>Matuzani</w:t>
      </w:r>
      <w:proofErr w:type="spellEnd"/>
      <w:r w:rsidRPr="00C73849">
        <w:t xml:space="preserve">-Ruban A, Leon A, Shapira Y, </w:t>
      </w:r>
      <w:proofErr w:type="spellStart"/>
      <w:r w:rsidRPr="00C73849">
        <w:t>Teichberg</w:t>
      </w:r>
      <w:proofErr w:type="spellEnd"/>
      <w:r w:rsidRPr="00C73849">
        <w:t xml:space="preserve"> VI. The contribution of the blood glutamate scavenging activity of pyruvate to its</w:t>
      </w:r>
      <w:r w:rsidRPr="00C73849">
        <w:rPr>
          <w:w w:val="99"/>
        </w:rPr>
        <w:t xml:space="preserve"> </w:t>
      </w:r>
      <w:r w:rsidRPr="00C73849">
        <w:t>neuroprotective properties in a rat model of closed head injury. Neurochemical Research</w:t>
      </w:r>
      <w:r w:rsidRPr="00C73849">
        <w:rPr>
          <w:w w:val="99"/>
        </w:rPr>
        <w:t xml:space="preserve"> </w:t>
      </w:r>
      <w:r w:rsidRPr="00C73849">
        <w:t>2008</w:t>
      </w:r>
      <w:r w:rsidR="00F61776" w:rsidRPr="00C73849">
        <w:t>; 33</w:t>
      </w:r>
      <w:r w:rsidRPr="00C73849">
        <w:t>(6):1044-50</w:t>
      </w:r>
    </w:p>
    <w:p w14:paraId="5A56A678" w14:textId="77777777" w:rsidR="00957F89" w:rsidRPr="00C73849" w:rsidRDefault="00957F89">
      <w:pPr>
        <w:rPr>
          <w:rFonts w:ascii="Times New Roman" w:eastAsia="Times New Roman" w:hAnsi="Times New Roman" w:cs="Times New Roman"/>
          <w:sz w:val="20"/>
          <w:szCs w:val="20"/>
        </w:rPr>
      </w:pPr>
    </w:p>
    <w:p w14:paraId="493D345E" w14:textId="77777777" w:rsidR="00202CBB" w:rsidRDefault="00202CBB">
      <w:pPr>
        <w:rPr>
          <w:rFonts w:ascii="Times New Roman" w:eastAsia="Times New Roman" w:hAnsi="Times New Roman" w:cs="Times New Roman"/>
          <w:sz w:val="20"/>
          <w:szCs w:val="20"/>
        </w:rPr>
      </w:pPr>
      <w:bookmarkStart w:id="160" w:name="_bookmark8"/>
      <w:bookmarkEnd w:id="160"/>
      <w:r>
        <w:rPr>
          <w:rFonts w:ascii="Times New Roman" w:eastAsia="Times New Roman" w:hAnsi="Times New Roman" w:cs="Times New Roman"/>
          <w:sz w:val="20"/>
          <w:szCs w:val="20"/>
        </w:rPr>
        <w:br w:type="page"/>
      </w:r>
    </w:p>
    <w:p w14:paraId="4C0ECDC5" w14:textId="77777777" w:rsidR="00957F89" w:rsidRPr="00C73849" w:rsidRDefault="00D92D87" w:rsidP="001B7E10">
      <w:pPr>
        <w:pStyle w:val="Heading1"/>
        <w:rPr>
          <w:rFonts w:cs="Times New Roman"/>
          <w:szCs w:val="28"/>
        </w:rPr>
      </w:pPr>
      <w:bookmarkStart w:id="161" w:name="_Toc34899995"/>
      <w:bookmarkStart w:id="162" w:name="_Toc33702524"/>
      <w:bookmarkStart w:id="163" w:name="_Toc176276951"/>
      <w:r w:rsidRPr="00C73849">
        <w:lastRenderedPageBreak/>
        <w:t>EFFECTS IN HUMANS</w:t>
      </w:r>
      <w:bookmarkEnd w:id="161"/>
      <w:bookmarkEnd w:id="162"/>
      <w:bookmarkEnd w:id="163"/>
    </w:p>
    <w:p w14:paraId="6EF8CD50" w14:textId="77777777" w:rsidR="00957F89" w:rsidRPr="00C73849" w:rsidRDefault="0058353A">
      <w:pPr>
        <w:pStyle w:val="Heading2"/>
        <w:rPr>
          <w:rFonts w:eastAsia="Times New Roman" w:hAnsi="Times New Roman" w:cs="Times New Roman"/>
          <w:szCs w:val="28"/>
        </w:rPr>
      </w:pPr>
      <w:bookmarkStart w:id="164" w:name="_Toc34899996"/>
      <w:bookmarkStart w:id="165" w:name="_Toc33702525"/>
      <w:bookmarkStart w:id="166" w:name="_Toc176276952"/>
      <w:r w:rsidRPr="00C73849">
        <w:t xml:space="preserve">6.1 </w:t>
      </w:r>
      <w:r w:rsidRPr="00C73849">
        <w:tab/>
        <w:t xml:space="preserve"> </w:t>
      </w:r>
      <w:r w:rsidR="00D92D87" w:rsidRPr="00C73849">
        <w:t>Beneficial effects of pyruvate infusions in patients</w:t>
      </w:r>
      <w:bookmarkEnd w:id="164"/>
      <w:bookmarkEnd w:id="165"/>
      <w:bookmarkEnd w:id="166"/>
    </w:p>
    <w:p w14:paraId="59E97298" w14:textId="77777777" w:rsidR="00957F89" w:rsidRPr="00C73849" w:rsidRDefault="00D92D87">
      <w:pPr>
        <w:pStyle w:val="BodyText"/>
        <w:spacing w:before="233"/>
        <w:ind w:right="343"/>
      </w:pPr>
      <w:r w:rsidRPr="00C73849">
        <w:t>Pyruvate is reported to have several beneficial effects in humans when administered at</w:t>
      </w:r>
      <w:r w:rsidRPr="00C73849">
        <w:rPr>
          <w:w w:val="99"/>
        </w:rPr>
        <w:t xml:space="preserve"> </w:t>
      </w:r>
      <w:r w:rsidRPr="00C73849">
        <w:t>supraphysiological concentrations. It appears to hold promise as a safe, effective ionotropic</w:t>
      </w:r>
      <w:r w:rsidRPr="00C73849">
        <w:rPr>
          <w:w w:val="99"/>
        </w:rPr>
        <w:t xml:space="preserve"> </w:t>
      </w:r>
      <w:r w:rsidRPr="00C73849">
        <w:t xml:space="preserve">agent for treatment of hearts that have been reversibly injured (stunned) by </w:t>
      </w:r>
      <w:r w:rsidR="00F61776" w:rsidRPr="00C73849">
        <w:t>ischemia</w:t>
      </w:r>
      <w:r w:rsidRPr="00C73849">
        <w:t>/reperfusion stress. Pyruvate enhancement of cardiac function may result from one</w:t>
      </w:r>
      <w:r w:rsidRPr="00C73849">
        <w:rPr>
          <w:w w:val="99"/>
        </w:rPr>
        <w:t xml:space="preserve"> </w:t>
      </w:r>
      <w:r w:rsidRPr="00C73849">
        <w:t>or more of the following mechanisms: increased cytosolic ATP phosphorylation potential and</w:t>
      </w:r>
      <w:r w:rsidRPr="00C73849">
        <w:rPr>
          <w:w w:val="99"/>
        </w:rPr>
        <w:t xml:space="preserve"> </w:t>
      </w:r>
      <w:r w:rsidRPr="00C73849">
        <w:t>Gibbs free energy of ATP hydrolysis, enhanced sarcoplasmic reticular calcium ion uptake and</w:t>
      </w:r>
      <w:r w:rsidRPr="00C73849">
        <w:rPr>
          <w:w w:val="99"/>
        </w:rPr>
        <w:t xml:space="preserve"> </w:t>
      </w:r>
      <w:r w:rsidRPr="00C73849">
        <w:t>release, decreased cytosolic inorganic phosphate concentration, oxyradical scavenging via</w:t>
      </w:r>
      <w:r w:rsidRPr="00C73849">
        <w:rPr>
          <w:w w:val="99"/>
        </w:rPr>
        <w:t xml:space="preserve"> </w:t>
      </w:r>
      <w:r w:rsidRPr="00C73849">
        <w:t xml:space="preserve">direct </w:t>
      </w:r>
      <w:r w:rsidR="00F61776" w:rsidRPr="00C73849">
        <w:t>neutralization</w:t>
      </w:r>
      <w:r w:rsidRPr="00C73849">
        <w:t xml:space="preserve"> of peroxides and/or enhancement of the intracellular glutathione/NADPH antioxidant system, and/or closure of mitochondrial permeability transition pores (for review, see Mallet [2002]). Pyruvate infusion in patients with alcoholic liver disease has also shown good therapeutic effectiveness, possibly due to the rapid gain of ATP and GTP, required to</w:t>
      </w:r>
      <w:r w:rsidRPr="00C73849">
        <w:rPr>
          <w:w w:val="99"/>
        </w:rPr>
        <w:t xml:space="preserve"> </w:t>
      </w:r>
      <w:r w:rsidRPr="00C73849">
        <w:t>redress defective cells, and to the antioxidant action of pyruvate [Petkova et al., 2000].</w:t>
      </w:r>
    </w:p>
    <w:p w14:paraId="6BDE06DC" w14:textId="77777777" w:rsidR="00957F89" w:rsidRPr="00C73849" w:rsidRDefault="00957F89">
      <w:pPr>
        <w:rPr>
          <w:rFonts w:ascii="Times New Roman" w:eastAsia="Times New Roman" w:hAnsi="Times New Roman" w:cs="Times New Roman"/>
          <w:sz w:val="24"/>
          <w:szCs w:val="24"/>
        </w:rPr>
      </w:pPr>
    </w:p>
    <w:p w14:paraId="3FBA175D" w14:textId="77777777" w:rsidR="00957F89" w:rsidRPr="00C73849" w:rsidRDefault="0058353A">
      <w:pPr>
        <w:pStyle w:val="Heading2"/>
      </w:pPr>
      <w:bookmarkStart w:id="167" w:name="_Toc34899997"/>
      <w:bookmarkStart w:id="168" w:name="_Toc33702526"/>
      <w:bookmarkStart w:id="169" w:name="_Toc176276953"/>
      <w:r w:rsidRPr="00C73849">
        <w:t>6.2</w:t>
      </w:r>
      <w:r w:rsidRPr="00C73849">
        <w:tab/>
      </w:r>
      <w:r w:rsidR="00D92D87" w:rsidRPr="00C73849">
        <w:t>Dosage and safety of pyruvate infusions in patients</w:t>
      </w:r>
      <w:bookmarkEnd w:id="167"/>
      <w:bookmarkEnd w:id="168"/>
      <w:bookmarkEnd w:id="169"/>
    </w:p>
    <w:p w14:paraId="611F24EC" w14:textId="77777777" w:rsidR="00957F89" w:rsidRPr="00C73849" w:rsidRDefault="00D92D87">
      <w:pPr>
        <w:pStyle w:val="BodyText"/>
        <w:spacing w:before="233"/>
        <w:ind w:right="466"/>
      </w:pPr>
      <w:r w:rsidRPr="00C73849">
        <w:t xml:space="preserve">Intravenous infusion of </w:t>
      </w:r>
      <w:proofErr w:type="gramStart"/>
      <w:r w:rsidRPr="00C73849">
        <w:t>locally-prepared</w:t>
      </w:r>
      <w:proofErr w:type="gramEnd"/>
      <w:r w:rsidRPr="00C73849">
        <w:t xml:space="preserve"> formulations of sodium pyruvate has been shown to</w:t>
      </w:r>
      <w:r w:rsidRPr="00C73849">
        <w:rPr>
          <w:w w:val="99"/>
        </w:rPr>
        <w:t xml:space="preserve"> </w:t>
      </w:r>
      <w:r w:rsidRPr="00C73849">
        <w:t>be well tolerated by patients with chronic liver diseases at doses up to 86 g/day, and the</w:t>
      </w:r>
      <w:r w:rsidRPr="00C73849">
        <w:rPr>
          <w:w w:val="99"/>
        </w:rPr>
        <w:t xml:space="preserve"> </w:t>
      </w:r>
      <w:r w:rsidRPr="00C73849">
        <w:t>beneficial effect of the treatment on the liver damage was also evident [Mateva et al., 1996;</w:t>
      </w:r>
      <w:r w:rsidRPr="00C73849">
        <w:rPr>
          <w:w w:val="99"/>
        </w:rPr>
        <w:t xml:space="preserve"> </w:t>
      </w:r>
      <w:r w:rsidRPr="00C73849">
        <w:t>Thorn et al., 1996; Petkova et al., 2000].</w:t>
      </w:r>
    </w:p>
    <w:p w14:paraId="02D85F49" w14:textId="77777777" w:rsidR="00957F89" w:rsidRPr="00C73849" w:rsidRDefault="00957F89">
      <w:pPr>
        <w:spacing w:before="2"/>
        <w:rPr>
          <w:rFonts w:ascii="Times New Roman" w:eastAsia="Times New Roman" w:hAnsi="Times New Roman" w:cs="Times New Roman"/>
          <w:sz w:val="21"/>
          <w:szCs w:val="21"/>
        </w:rPr>
      </w:pPr>
    </w:p>
    <w:p w14:paraId="41CC1610" w14:textId="4CA52752" w:rsidR="00957F89" w:rsidRPr="00C73849" w:rsidRDefault="00D92D87" w:rsidP="00996230">
      <w:pPr>
        <w:pStyle w:val="BodyText"/>
        <w:spacing w:line="276" w:lineRule="exact"/>
        <w:ind w:right="173"/>
      </w:pPr>
      <w:r w:rsidRPr="00C73849">
        <w:t>In the study by Mateva et al. [1996], 10 volunteer patients with chronic liver diseases received</w:t>
      </w:r>
      <w:r w:rsidR="001E1911">
        <w:rPr>
          <w:w w:val="99"/>
        </w:rPr>
        <w:t xml:space="preserve"> </w:t>
      </w:r>
      <w:r w:rsidRPr="00C73849">
        <w:t>a 10-day course of intravenous sodium pyruvate infusions with the following regimen: 54 g (150 mg/min, 6 h) on the first day, 72 g daily (150 mg/min, 8 h) on the 2</w:t>
      </w:r>
      <w:r w:rsidRPr="00DC371A">
        <w:rPr>
          <w:vertAlign w:val="superscript"/>
        </w:rPr>
        <w:t xml:space="preserve">nd </w:t>
      </w:r>
      <w:r w:rsidRPr="00DC371A">
        <w:t>t</w:t>
      </w:r>
      <w:r w:rsidRPr="00C73849">
        <w:t>o</w:t>
      </w:r>
      <w:r w:rsidRPr="00DC371A">
        <w:t xml:space="preserve"> 5</w:t>
      </w:r>
      <w:r w:rsidR="00DC371A" w:rsidRPr="00DC371A">
        <w:rPr>
          <w:vertAlign w:val="superscript"/>
        </w:rPr>
        <w:t>th</w:t>
      </w:r>
      <w:r w:rsidRPr="00DC371A">
        <w:t xml:space="preserve"> </w:t>
      </w:r>
      <w:r w:rsidRPr="00C73849">
        <w:t>days, and 72</w:t>
      </w:r>
      <w:r w:rsidR="001E1911">
        <w:t xml:space="preserve"> </w:t>
      </w:r>
      <w:r w:rsidRPr="00C73849">
        <w:t xml:space="preserve">or 86.4 g daily (150 or 180 mg/min, 8 h) on the </w:t>
      </w:r>
      <w:r w:rsidRPr="00DC371A">
        <w:t>6</w:t>
      </w:r>
      <w:r w:rsidR="00DC371A" w:rsidRPr="00DC371A">
        <w:rPr>
          <w:vertAlign w:val="superscript"/>
        </w:rPr>
        <w:t>th</w:t>
      </w:r>
      <w:r w:rsidR="00DC371A">
        <w:t xml:space="preserve"> </w:t>
      </w:r>
      <w:r w:rsidRPr="00DC371A">
        <w:t>to 10</w:t>
      </w:r>
      <w:r w:rsidRPr="00DC371A">
        <w:rPr>
          <w:vertAlign w:val="superscript"/>
        </w:rPr>
        <w:t>th</w:t>
      </w:r>
      <w:r w:rsidR="00DC371A">
        <w:t xml:space="preserve"> </w:t>
      </w:r>
      <w:r w:rsidRPr="00C73849">
        <w:t>days. The first 3 infusions of sodium</w:t>
      </w:r>
      <w:r w:rsidRPr="00C73849">
        <w:rPr>
          <w:w w:val="99"/>
        </w:rPr>
        <w:t xml:space="preserve"> </w:t>
      </w:r>
      <w:r w:rsidRPr="00C73849">
        <w:t>pyruvate produced significant decreases in the serum activities of alanine aminotransferase and aspartate aminotransferase, and 5 infusions resulted in decreases in alkaline phosphatase and</w:t>
      </w:r>
      <w:r w:rsidRPr="00C73849">
        <w:rPr>
          <w:w w:val="99"/>
        </w:rPr>
        <w:t xml:space="preserve"> </w:t>
      </w:r>
      <w:r w:rsidRPr="00C73849">
        <w:t xml:space="preserve">gamma </w:t>
      </w:r>
      <w:proofErr w:type="spellStart"/>
      <w:r w:rsidRPr="00C73849">
        <w:t>glutamyltransferase</w:t>
      </w:r>
      <w:proofErr w:type="spellEnd"/>
      <w:r w:rsidRPr="00C73849">
        <w:t>. Improvement of the severity of liver damage was apparent from</w:t>
      </w:r>
      <w:r w:rsidRPr="00C73849">
        <w:rPr>
          <w:w w:val="99"/>
        </w:rPr>
        <w:t xml:space="preserve"> </w:t>
      </w:r>
      <w:r w:rsidRPr="00C73849">
        <w:t>CCLI (combined clinical and laboratory index), Child’s classification and galactose half-life.</w:t>
      </w:r>
      <w:r w:rsidR="001E1911">
        <w:t xml:space="preserve"> </w:t>
      </w:r>
      <w:r w:rsidRPr="00C73849">
        <w:t>A significant decrease in total and conjugated bilirubin was also established in patients with</w:t>
      </w:r>
      <w:r w:rsidRPr="00C73849">
        <w:rPr>
          <w:w w:val="99"/>
        </w:rPr>
        <w:t xml:space="preserve"> </w:t>
      </w:r>
      <w:r w:rsidRPr="00C73849">
        <w:t>high initial values. Increased pulse rate and blood pressure, thirst, and headache appeared to be</w:t>
      </w:r>
      <w:r w:rsidRPr="00C73849">
        <w:rPr>
          <w:w w:val="99"/>
        </w:rPr>
        <w:t xml:space="preserve"> </w:t>
      </w:r>
      <w:r w:rsidRPr="00C73849">
        <w:t>the most frequent side-effects of the treatment. Nausea, singultus, discomfort, and fever were</w:t>
      </w:r>
      <w:r w:rsidRPr="00C73849">
        <w:rPr>
          <w:w w:val="99"/>
        </w:rPr>
        <w:t xml:space="preserve"> </w:t>
      </w:r>
      <w:r w:rsidRPr="00C73849">
        <w:t xml:space="preserve">rarely observed. No augmentation of the side-effects was found during the study. As </w:t>
      </w:r>
      <w:r w:rsidR="00813977" w:rsidRPr="00C73849">
        <w:t>expected,</w:t>
      </w:r>
      <w:r w:rsidRPr="00C73849">
        <w:rPr>
          <w:w w:val="99"/>
        </w:rPr>
        <w:t xml:space="preserve"> </w:t>
      </w:r>
      <w:r w:rsidRPr="00C73849">
        <w:t>the pyruvate blood concentrations increased during the infusions, but the values returned to the</w:t>
      </w:r>
      <w:r w:rsidRPr="00C73849">
        <w:rPr>
          <w:w w:val="99"/>
        </w:rPr>
        <w:t xml:space="preserve"> </w:t>
      </w:r>
      <w:r w:rsidRPr="00C73849">
        <w:t>reference ranges after the end of the treatment. No significant changes in blood glucose levels</w:t>
      </w:r>
      <w:r w:rsidRPr="00C73849">
        <w:rPr>
          <w:w w:val="99"/>
        </w:rPr>
        <w:t xml:space="preserve"> </w:t>
      </w:r>
      <w:r w:rsidRPr="00C73849">
        <w:t>were found. Increased initial serum lactate values (mean 1.66 mmol) were found, but this result was, according to the authors, possibly conditioned by the severity of the disease and</w:t>
      </w:r>
      <w:r w:rsidRPr="00C73849">
        <w:rPr>
          <w:w w:val="99"/>
        </w:rPr>
        <w:t xml:space="preserve"> </w:t>
      </w:r>
      <w:r w:rsidRPr="00C73849">
        <w:t>was not considered to represent a tendency toward increased serum lactate as such; one day after the last infusion the initial level was restored.</w:t>
      </w:r>
    </w:p>
    <w:p w14:paraId="4D77338A" w14:textId="77777777" w:rsidR="00957F89" w:rsidRPr="00C73849" w:rsidRDefault="00957F89">
      <w:pPr>
        <w:rPr>
          <w:rFonts w:ascii="Times New Roman" w:eastAsia="Times New Roman" w:hAnsi="Times New Roman" w:cs="Times New Roman"/>
          <w:sz w:val="20"/>
          <w:szCs w:val="20"/>
        </w:rPr>
      </w:pPr>
    </w:p>
    <w:p w14:paraId="710109CD" w14:textId="644ECC7D" w:rsidR="00957F89" w:rsidRPr="00C73849" w:rsidRDefault="00D92D87" w:rsidP="00996230">
      <w:pPr>
        <w:pStyle w:val="BodyText"/>
        <w:spacing w:before="69"/>
      </w:pPr>
      <w:r w:rsidRPr="00C73849">
        <w:t>In the study by Thorn et al. [1996], sodium pyruvate was infused intravenously (54 or</w:t>
      </w:r>
      <w:r w:rsidR="00202CBB">
        <w:t xml:space="preserve"> </w:t>
      </w:r>
      <w:r w:rsidRPr="00C73849">
        <w:t>64 g/day, 150 or 180 mg/min) for 3 days in 12 volunteers (1 healthy person and 11 persons with chronic liver disease). Examinations including liver enzymes, bilirubin, total protein, albumin, prothrombin time tests and specific tests (galactose tolerance), serum and urine</w:t>
      </w:r>
      <w:r w:rsidRPr="00C73849">
        <w:rPr>
          <w:w w:val="99"/>
        </w:rPr>
        <w:t xml:space="preserve"> </w:t>
      </w:r>
      <w:r w:rsidRPr="00C73849">
        <w:t>contents of pyruvate, lactate, glucose, and sodium were measured daily before and after</w:t>
      </w:r>
      <w:r w:rsidRPr="00C73849">
        <w:rPr>
          <w:w w:val="99"/>
        </w:rPr>
        <w:t xml:space="preserve"> </w:t>
      </w:r>
      <w:r w:rsidRPr="00C73849">
        <w:t>infusion. Side-effects were facial flush, thirst, headache, increased pulse rate and blood</w:t>
      </w:r>
      <w:r w:rsidRPr="00C73849">
        <w:rPr>
          <w:w w:val="99"/>
        </w:rPr>
        <w:t xml:space="preserve"> </w:t>
      </w:r>
      <w:r w:rsidRPr="00C73849">
        <w:t xml:space="preserve">pressure, and dizziness. Abdominal pain, vomiting, </w:t>
      </w:r>
      <w:r w:rsidRPr="00C73849">
        <w:lastRenderedPageBreak/>
        <w:t>retrosternal oppression, muscle pain, back</w:t>
      </w:r>
      <w:r w:rsidRPr="00C73849">
        <w:rPr>
          <w:w w:val="99"/>
        </w:rPr>
        <w:t xml:space="preserve"> </w:t>
      </w:r>
      <w:r w:rsidRPr="00C73849">
        <w:t xml:space="preserve">pain, mild peripheral </w:t>
      </w:r>
      <w:r w:rsidR="00DC371A" w:rsidRPr="00C73849">
        <w:t>edema</w:t>
      </w:r>
      <w:r w:rsidRPr="00C73849">
        <w:t xml:space="preserve"> </w:t>
      </w:r>
      <w:proofErr w:type="gramStart"/>
      <w:r w:rsidRPr="00C73849">
        <w:t>were</w:t>
      </w:r>
      <w:proofErr w:type="gramEnd"/>
      <w:r w:rsidRPr="00C73849">
        <w:t xml:space="preserve"> occasionally observed. Blood pyruvate and lactate</w:t>
      </w:r>
      <w:r w:rsidRPr="00C73849">
        <w:rPr>
          <w:w w:val="99"/>
        </w:rPr>
        <w:t xml:space="preserve"> </w:t>
      </w:r>
      <w:r w:rsidRPr="00C73849">
        <w:t>increased significantly after each infusion and decreased to the reference values on the next</w:t>
      </w:r>
      <w:r w:rsidRPr="00C73849">
        <w:rPr>
          <w:w w:val="99"/>
        </w:rPr>
        <w:t xml:space="preserve"> </w:t>
      </w:r>
      <w:r w:rsidRPr="00C73849">
        <w:t>morning. It is concluded that pyruvate infusions were well tolerated despite som</w:t>
      </w:r>
      <w:r w:rsidR="00202CBB">
        <w:t xml:space="preserve">e </w:t>
      </w:r>
      <w:r w:rsidRPr="00C73849">
        <w:t>side-effects, probably depending on the severity of the liver and other diseases.</w:t>
      </w:r>
    </w:p>
    <w:p w14:paraId="4FE1E10D" w14:textId="77777777" w:rsidR="00957F89" w:rsidRPr="00C73849" w:rsidRDefault="00957F89">
      <w:pPr>
        <w:spacing w:before="2"/>
        <w:rPr>
          <w:rFonts w:ascii="Times New Roman" w:eastAsia="Times New Roman" w:hAnsi="Times New Roman" w:cs="Times New Roman"/>
          <w:sz w:val="21"/>
          <w:szCs w:val="21"/>
        </w:rPr>
      </w:pPr>
    </w:p>
    <w:p w14:paraId="27839900" w14:textId="77777777" w:rsidR="00957F89" w:rsidRPr="00C73849" w:rsidRDefault="00D92D87">
      <w:pPr>
        <w:pStyle w:val="BodyText"/>
        <w:spacing w:line="276" w:lineRule="exact"/>
        <w:ind w:right="171"/>
      </w:pPr>
      <w:r w:rsidRPr="00C73849">
        <w:t>In a pilot study to investigate the therapeutic effectiveness of sodium pyruvate infusions in</w:t>
      </w:r>
      <w:r w:rsidRPr="00C73849">
        <w:rPr>
          <w:w w:val="99"/>
        </w:rPr>
        <w:t xml:space="preserve"> </w:t>
      </w:r>
      <w:r w:rsidRPr="00C73849">
        <w:t>patients with alcoholic liver disease, seven patients were infused intravenously for 15 days with</w:t>
      </w:r>
      <w:r w:rsidRPr="00C73849">
        <w:rPr>
          <w:w w:val="99"/>
        </w:rPr>
        <w:t xml:space="preserve"> </w:t>
      </w:r>
      <w:r w:rsidRPr="00C73849">
        <w:t>50 or 54 g/day of sodium pyruvate (100 mg/min) [Petkova et al., 2000]. Further, 8 patients were treated for 10 days with 54 g/day sodium pyruvate (150 mg/min in 6 h) on the 1</w:t>
      </w:r>
      <w:r w:rsidR="00DC371A" w:rsidRPr="00DC371A">
        <w:rPr>
          <w:vertAlign w:val="superscript"/>
        </w:rPr>
        <w:t>st</w:t>
      </w:r>
      <w:r w:rsidR="00DC371A">
        <w:t xml:space="preserve"> </w:t>
      </w:r>
      <w:r w:rsidRPr="00C73849">
        <w:t>day, and</w:t>
      </w:r>
      <w:r w:rsidRPr="00C73849">
        <w:rPr>
          <w:w w:val="99"/>
        </w:rPr>
        <w:t xml:space="preserve"> </w:t>
      </w:r>
      <w:r w:rsidRPr="00C73849">
        <w:t>72 or 86.4 g/day (150 or 180 mg/min in 6 – 8 h) on the 2</w:t>
      </w:r>
      <w:r w:rsidR="00DC371A" w:rsidRPr="00DC371A">
        <w:rPr>
          <w:vertAlign w:val="superscript"/>
        </w:rPr>
        <w:t>nd</w:t>
      </w:r>
      <w:r w:rsidR="00DC371A">
        <w:t xml:space="preserve"> </w:t>
      </w:r>
      <w:r w:rsidRPr="00C73849">
        <w:t>to 10</w:t>
      </w:r>
      <w:r w:rsidRPr="00DC371A">
        <w:rPr>
          <w:vertAlign w:val="superscript"/>
        </w:rPr>
        <w:t xml:space="preserve">th </w:t>
      </w:r>
      <w:r w:rsidRPr="00C73849">
        <w:t xml:space="preserve">days. Three subjects dropped out of the study; 2 subjects because of phlebitis in the infusion vein (possibly </w:t>
      </w:r>
      <w:proofErr w:type="gramStart"/>
      <w:r w:rsidRPr="00C73849">
        <w:t>as a</w:t>
      </w:r>
      <w:r w:rsidRPr="00C73849">
        <w:rPr>
          <w:w w:val="99"/>
        </w:rPr>
        <w:t xml:space="preserve"> </w:t>
      </w:r>
      <w:r w:rsidRPr="00C73849">
        <w:t>result of</w:t>
      </w:r>
      <w:proofErr w:type="gramEnd"/>
      <w:r w:rsidRPr="00C73849">
        <w:t xml:space="preserve"> the injection of sodium and the hyperosmolarity of the infusion solution) and 1 subject</w:t>
      </w:r>
      <w:r w:rsidRPr="00C73849">
        <w:rPr>
          <w:w w:val="99"/>
        </w:rPr>
        <w:t xml:space="preserve"> </w:t>
      </w:r>
      <w:r w:rsidRPr="00C73849">
        <w:t xml:space="preserve">due to ascites and peripheral </w:t>
      </w:r>
      <w:r w:rsidR="00DA01B2" w:rsidRPr="00C73849">
        <w:t>edema</w:t>
      </w:r>
      <w:r w:rsidRPr="00C73849">
        <w:t>. During the study, 69% of the infusions were well</w:t>
      </w:r>
      <w:r w:rsidRPr="00C73849">
        <w:rPr>
          <w:w w:val="99"/>
        </w:rPr>
        <w:t xml:space="preserve"> </w:t>
      </w:r>
      <w:r w:rsidRPr="00C73849">
        <w:t>tolerated and 26% very well tolerated. Increases in pulse rate and blood pressure within the</w:t>
      </w:r>
      <w:r w:rsidRPr="00C73849">
        <w:rPr>
          <w:w w:val="99"/>
        </w:rPr>
        <w:t xml:space="preserve"> </w:t>
      </w:r>
      <w:r w:rsidRPr="00C73849">
        <w:t>reference ranges were noted but could be explained by the sodium- and volume-loading.</w:t>
      </w:r>
    </w:p>
    <w:p w14:paraId="7E915057" w14:textId="77777777" w:rsidR="00957F89" w:rsidRPr="00C73849" w:rsidRDefault="00957F89">
      <w:pPr>
        <w:spacing w:before="7"/>
        <w:rPr>
          <w:rFonts w:ascii="Times New Roman" w:eastAsia="Times New Roman" w:hAnsi="Times New Roman" w:cs="Times New Roman"/>
          <w:sz w:val="20"/>
          <w:szCs w:val="20"/>
        </w:rPr>
      </w:pPr>
    </w:p>
    <w:p w14:paraId="27C4146A" w14:textId="77777777" w:rsidR="00957F89" w:rsidRPr="00C73849" w:rsidRDefault="00D92D87">
      <w:pPr>
        <w:pStyle w:val="BodyText"/>
        <w:ind w:right="167"/>
        <w:jc w:val="both"/>
      </w:pPr>
      <w:r w:rsidRPr="00C73849">
        <w:t>Serum activities of alanine aminotransferase, aspartate aminotransferase, and concentrations of total bilirubin significantly decreased after treatment with sodium pyruvate. Non-liver clinical</w:t>
      </w:r>
      <w:r w:rsidRPr="00C73849">
        <w:rPr>
          <w:w w:val="99"/>
        </w:rPr>
        <w:t xml:space="preserve"> </w:t>
      </w:r>
      <w:r w:rsidRPr="00C73849">
        <w:t xml:space="preserve">tests including creatinine, </w:t>
      </w:r>
      <w:r w:rsidR="00DA01B2" w:rsidRPr="00C73849">
        <w:t>hemoglobin</w:t>
      </w:r>
      <w:r w:rsidRPr="00C73849">
        <w:t xml:space="preserve">, </w:t>
      </w:r>
      <w:r w:rsidR="00DA01B2" w:rsidRPr="00C73849">
        <w:t>hematocrit</w:t>
      </w:r>
      <w:r w:rsidRPr="00C73849">
        <w:t>, and blood count were also examined and</w:t>
      </w:r>
      <w:r w:rsidRPr="00C73849">
        <w:rPr>
          <w:w w:val="99"/>
        </w:rPr>
        <w:t xml:space="preserve"> </w:t>
      </w:r>
      <w:r w:rsidRPr="00C73849">
        <w:t>no significant changes were found. No significant changes in serum and urine pyruvate, lactate</w:t>
      </w:r>
      <w:r w:rsidRPr="00C73849">
        <w:rPr>
          <w:w w:val="99"/>
        </w:rPr>
        <w:t xml:space="preserve"> </w:t>
      </w:r>
      <w:r w:rsidRPr="00C73849">
        <w:t>or glucose levels were found during and after the treatment.</w:t>
      </w:r>
    </w:p>
    <w:p w14:paraId="284FF542" w14:textId="77777777" w:rsidR="00957F89" w:rsidRPr="00C73849" w:rsidRDefault="00957F89">
      <w:pPr>
        <w:spacing w:before="8"/>
        <w:rPr>
          <w:rFonts w:ascii="Times New Roman" w:eastAsia="Times New Roman" w:hAnsi="Times New Roman" w:cs="Times New Roman"/>
          <w:sz w:val="20"/>
          <w:szCs w:val="20"/>
        </w:rPr>
      </w:pPr>
    </w:p>
    <w:p w14:paraId="1E80BB25" w14:textId="77777777" w:rsidR="00957F89" w:rsidRPr="00C73849" w:rsidRDefault="00D92D87">
      <w:pPr>
        <w:pStyle w:val="BodyText"/>
        <w:ind w:right="311"/>
      </w:pPr>
      <w:r w:rsidRPr="00C73849">
        <w:t>Cardiac hypertrophy, induced by chronic pressure or volume overload, is associated with</w:t>
      </w:r>
      <w:r w:rsidRPr="00C73849">
        <w:rPr>
          <w:w w:val="99"/>
        </w:rPr>
        <w:t xml:space="preserve"> </w:t>
      </w:r>
      <w:r w:rsidRPr="00C73849">
        <w:t>abnormalities in energy metabolism as well as characteristic increases in muscle mass and</w:t>
      </w:r>
      <w:r w:rsidRPr="00C73849">
        <w:rPr>
          <w:w w:val="99"/>
        </w:rPr>
        <w:t xml:space="preserve"> </w:t>
      </w:r>
      <w:r w:rsidRPr="00C73849">
        <w:t>alterations in the structure of the heart. Hypertrophied hearts display increased rates of glycolysis and overall glucose utili</w:t>
      </w:r>
      <w:r w:rsidR="00D35970">
        <w:t>z</w:t>
      </w:r>
      <w:r w:rsidRPr="00C73849">
        <w:t>ation, but rates of pyruvate oxidation do not rise in step</w:t>
      </w:r>
      <w:r w:rsidRPr="00C73849">
        <w:rPr>
          <w:w w:val="99"/>
        </w:rPr>
        <w:t xml:space="preserve"> </w:t>
      </w:r>
      <w:r w:rsidRPr="00C73849">
        <w:t>with rates of pyruvate generation, resulting in increased level of pyruvate. However, the exact</w:t>
      </w:r>
      <w:r w:rsidRPr="00C73849">
        <w:rPr>
          <w:w w:val="99"/>
        </w:rPr>
        <w:t xml:space="preserve"> </w:t>
      </w:r>
      <w:r w:rsidRPr="00C73849">
        <w:t>level of pyruvate in hypertrophied hearts is not reported [Leong et al., 2003].</w:t>
      </w:r>
    </w:p>
    <w:p w14:paraId="4B984FEF" w14:textId="77777777" w:rsidR="00957F89" w:rsidRPr="00C73849" w:rsidRDefault="00957F89">
      <w:pPr>
        <w:spacing w:before="10"/>
        <w:rPr>
          <w:rFonts w:ascii="Times New Roman" w:eastAsia="Times New Roman" w:hAnsi="Times New Roman" w:cs="Times New Roman"/>
          <w:sz w:val="20"/>
          <w:szCs w:val="20"/>
        </w:rPr>
      </w:pPr>
    </w:p>
    <w:p w14:paraId="2D3F6755" w14:textId="77777777" w:rsidR="00957F89" w:rsidRPr="00C73849" w:rsidRDefault="00D92D87" w:rsidP="002131A0">
      <w:pPr>
        <w:pStyle w:val="BodyText"/>
        <w:ind w:right="899"/>
      </w:pPr>
      <w:r w:rsidRPr="00C73849">
        <w:t>In a study by Hermann et al. [1999], hemodynamic effects of intracoronary pyruvate in</w:t>
      </w:r>
      <w:r w:rsidRPr="00C73849">
        <w:rPr>
          <w:w w:val="99"/>
        </w:rPr>
        <w:t xml:space="preserve"> </w:t>
      </w:r>
      <w:r w:rsidRPr="00C73849">
        <w:t>patients with dilated cardiomyopathy and heart failure were investigated. Pyruvate</w:t>
      </w:r>
      <w:r w:rsidR="00DA01B2">
        <w:t xml:space="preserve"> </w:t>
      </w:r>
      <w:r w:rsidRPr="00C73849">
        <w:t>(150 mmol/l) was infused into the left main coronary artery at 370 ml/h for 15 min, then at</w:t>
      </w:r>
      <w:r w:rsidRPr="00C73849">
        <w:rPr>
          <w:w w:val="99"/>
        </w:rPr>
        <w:t xml:space="preserve"> </w:t>
      </w:r>
      <w:r w:rsidRPr="00C73849">
        <w:t>740 ml/h for 15 min. Pyruvate at supraphysiological concentrations increased stroke-volume</w:t>
      </w:r>
      <w:r w:rsidRPr="00C73849">
        <w:rPr>
          <w:w w:val="99"/>
        </w:rPr>
        <w:t xml:space="preserve"> </w:t>
      </w:r>
      <w:r w:rsidRPr="00C73849">
        <w:t>index by 38% and decreased pulmonary capillary-wedge pressure by 36% in each patient.</w:t>
      </w:r>
      <w:r w:rsidR="00D35970">
        <w:t xml:space="preserve"> </w:t>
      </w:r>
      <w:r w:rsidRPr="00C73849">
        <w:t>Heart rate decreased by 11%. Pyruvate significantly reduced mean artery pressure and</w:t>
      </w:r>
      <w:r w:rsidRPr="00C73849">
        <w:rPr>
          <w:w w:val="99"/>
        </w:rPr>
        <w:t xml:space="preserve"> </w:t>
      </w:r>
      <w:r w:rsidRPr="00C73849">
        <w:t>pulmonary vascular resistance whereas mean aortic pressure and systemic resistance did not</w:t>
      </w:r>
      <w:r w:rsidRPr="00C73849">
        <w:rPr>
          <w:w w:val="99"/>
        </w:rPr>
        <w:t xml:space="preserve"> </w:t>
      </w:r>
      <w:r w:rsidRPr="00C73849">
        <w:t>change. Femoral artery pyruvate concentrations were 0.04 mmol/l at baseline, and 0.13 mmol/l</w:t>
      </w:r>
      <w:r w:rsidRPr="00C73849">
        <w:rPr>
          <w:w w:val="99"/>
        </w:rPr>
        <w:t xml:space="preserve"> </w:t>
      </w:r>
      <w:r w:rsidRPr="00C73849">
        <w:t>during pyruvate infusion. Lactate levels did not change during pyruvate infusion. No</w:t>
      </w:r>
      <w:r w:rsidR="00D35970">
        <w:t xml:space="preserve"> </w:t>
      </w:r>
      <w:r w:rsidRPr="00C73849">
        <w:t>side-effects were observed. The effects of pyruvate may especially help failing hearts, on the</w:t>
      </w:r>
      <w:r w:rsidRPr="00C73849">
        <w:rPr>
          <w:w w:val="99"/>
        </w:rPr>
        <w:t xml:space="preserve"> </w:t>
      </w:r>
      <w:r w:rsidRPr="00C73849">
        <w:t>assumption that energy starvation contributes to myocardial failure.</w:t>
      </w:r>
    </w:p>
    <w:p w14:paraId="746BE3BE" w14:textId="77777777" w:rsidR="00957F89" w:rsidRPr="00C73849" w:rsidRDefault="00D92D87" w:rsidP="00996230">
      <w:pPr>
        <w:pStyle w:val="BodyText"/>
        <w:spacing w:before="69"/>
        <w:ind w:right="158"/>
      </w:pPr>
      <w:r w:rsidRPr="00C73849">
        <w:t>One fatal outcome in a 9-year-old boy with the diagnosis restrictive cardiomyopathy is</w:t>
      </w:r>
      <w:r w:rsidR="001E1911">
        <w:rPr>
          <w:w w:val="99"/>
        </w:rPr>
        <w:t xml:space="preserve"> </w:t>
      </w:r>
      <w:r w:rsidRPr="00C73849">
        <w:t>reported [Matthys et al., 1991] after performance of the pyruvate loading test [Dijkstra et al.,</w:t>
      </w:r>
      <w:r w:rsidRPr="00C73849">
        <w:rPr>
          <w:w w:val="99"/>
        </w:rPr>
        <w:t xml:space="preserve"> </w:t>
      </w:r>
      <w:r w:rsidRPr="00C73849">
        <w:t xml:space="preserve">1984; Van Erven et al., 1987a; Van Erven et al., 1987b; Van Erven et al., 1989; </w:t>
      </w:r>
      <w:proofErr w:type="spellStart"/>
      <w:r w:rsidRPr="00C73849">
        <w:t>Trijbels</w:t>
      </w:r>
      <w:proofErr w:type="spellEnd"/>
      <w:r w:rsidRPr="00C73849">
        <w:t xml:space="preserve"> et al.,</w:t>
      </w:r>
      <w:r w:rsidRPr="00C73849">
        <w:rPr>
          <w:w w:val="99"/>
        </w:rPr>
        <w:t xml:space="preserve"> </w:t>
      </w:r>
      <w:r w:rsidRPr="00C73849">
        <w:t>1988], which is recommended in the diagnosis of mitochondrial enzyme deficiency. After</w:t>
      </w:r>
      <w:r w:rsidRPr="00C73849">
        <w:rPr>
          <w:w w:val="99"/>
        </w:rPr>
        <w:t xml:space="preserve"> </w:t>
      </w:r>
      <w:r w:rsidRPr="00C73849">
        <w:t xml:space="preserve">overnight fasting a </w:t>
      </w:r>
      <w:proofErr w:type="gramStart"/>
      <w:r w:rsidRPr="00C73849">
        <w:t>locally-prepared</w:t>
      </w:r>
      <w:proofErr w:type="gramEnd"/>
      <w:r w:rsidRPr="00C73849">
        <w:t xml:space="preserve"> intravenous infusion of sodium pyruvate (0.5 g/kg </w:t>
      </w:r>
      <w:proofErr w:type="spellStart"/>
      <w:r w:rsidRPr="00C73849">
        <w:t>bw</w:t>
      </w:r>
      <w:proofErr w:type="spellEnd"/>
      <w:r w:rsidRPr="00C73849">
        <w:t>) was given over 10 min. Since cardiac monitoring was not done, it is unclear whether the cause of death was asystole, ventricular fibrillation, or an abrupt fall in blood pressure.</w:t>
      </w:r>
      <w:r w:rsidR="00D35970">
        <w:t xml:space="preserve"> </w:t>
      </w:r>
      <w:r w:rsidRPr="00C73849">
        <w:t>Lactate/pyruvate ratios were normal, but it is concluded that a sudden and severe increase in</w:t>
      </w:r>
      <w:r w:rsidRPr="00C73849">
        <w:rPr>
          <w:w w:val="99"/>
        </w:rPr>
        <w:t xml:space="preserve"> </w:t>
      </w:r>
      <w:r w:rsidRPr="00C73849">
        <w:t>lactate concentration (10.4 mmol after 5 min and 9.7 mmol after 12 min) was probably not</w:t>
      </w:r>
      <w:r w:rsidRPr="00C73849">
        <w:rPr>
          <w:w w:val="99"/>
        </w:rPr>
        <w:t xml:space="preserve"> </w:t>
      </w:r>
      <w:r w:rsidRPr="00C73849">
        <w:t>tolerated in this child with cardiomyopathy. Another patient with clinical and</w:t>
      </w:r>
      <w:r w:rsidRPr="00C73849">
        <w:rPr>
          <w:w w:val="99"/>
        </w:rPr>
        <w:t xml:space="preserve"> </w:t>
      </w:r>
      <w:r w:rsidRPr="00C73849">
        <w:t xml:space="preserve">neuroradiological evidence of Leigh’s syndrome had normal blood </w:t>
      </w:r>
      <w:r w:rsidRPr="00C73849">
        <w:lastRenderedPageBreak/>
        <w:t>concentrations of lactate</w:t>
      </w:r>
      <w:r w:rsidRPr="00C73849">
        <w:rPr>
          <w:w w:val="99"/>
        </w:rPr>
        <w:t xml:space="preserve"> </w:t>
      </w:r>
      <w:r w:rsidRPr="00C73849">
        <w:t>and pyruvate but, after intravenous injection of pyruvate, values of lactate and pyruvate</w:t>
      </w:r>
      <w:r w:rsidRPr="00C73849">
        <w:rPr>
          <w:w w:val="99"/>
        </w:rPr>
        <w:t xml:space="preserve"> </w:t>
      </w:r>
      <w:r w:rsidRPr="00C73849">
        <w:t>increased by 3 and 5 standard deviations, respectively, confirming the diagnostic usefulness of this test in screening for defects of pyruvate metabolism [Matthys et al., 1991]. The authors</w:t>
      </w:r>
      <w:r w:rsidRPr="00C73849">
        <w:rPr>
          <w:w w:val="99"/>
        </w:rPr>
        <w:t xml:space="preserve"> </w:t>
      </w:r>
      <w:r w:rsidRPr="00C73849">
        <w:t>recommend that the test should not be done when cardiac function is decreased.</w:t>
      </w:r>
    </w:p>
    <w:p w14:paraId="6A0CF53E" w14:textId="77777777" w:rsidR="00957F89" w:rsidRPr="00C73849" w:rsidRDefault="00957F89">
      <w:pPr>
        <w:rPr>
          <w:rFonts w:ascii="Times New Roman" w:eastAsia="Times New Roman" w:hAnsi="Times New Roman" w:cs="Times New Roman"/>
          <w:sz w:val="24"/>
          <w:szCs w:val="24"/>
        </w:rPr>
      </w:pPr>
    </w:p>
    <w:p w14:paraId="0E294A3B" w14:textId="77777777" w:rsidR="00957F89" w:rsidRPr="00C73849" w:rsidRDefault="0058353A">
      <w:pPr>
        <w:pStyle w:val="Heading2"/>
        <w:rPr>
          <w:rFonts w:eastAsia="Times New Roman" w:hAnsi="Times New Roman" w:cs="Times New Roman"/>
          <w:szCs w:val="28"/>
        </w:rPr>
      </w:pPr>
      <w:bookmarkStart w:id="170" w:name="_Toc34899998"/>
      <w:bookmarkStart w:id="171" w:name="_Toc33702527"/>
      <w:bookmarkStart w:id="172" w:name="_Toc176276954"/>
      <w:r w:rsidRPr="00C73849">
        <w:t xml:space="preserve">6.3 </w:t>
      </w:r>
      <w:r w:rsidR="00D35970">
        <w:tab/>
      </w:r>
      <w:r w:rsidR="00D92D87" w:rsidRPr="00C73849">
        <w:t>Clinical studies with Pyruvate Injection</w:t>
      </w:r>
      <w:bookmarkEnd w:id="170"/>
      <w:bookmarkEnd w:id="171"/>
      <w:bookmarkEnd w:id="172"/>
    </w:p>
    <w:p w14:paraId="611172D4" w14:textId="6875597F" w:rsidR="00957F89" w:rsidRPr="00C73849" w:rsidRDefault="00D92D87">
      <w:pPr>
        <w:pStyle w:val="BodyText"/>
        <w:spacing w:before="233"/>
        <w:ind w:right="151"/>
      </w:pPr>
      <w:r w:rsidRPr="00C73849">
        <w:t xml:space="preserve">Two clinical studies in </w:t>
      </w:r>
      <w:r w:rsidR="00D35970">
        <w:t xml:space="preserve">healthy </w:t>
      </w:r>
      <w:r w:rsidRPr="00C73849">
        <w:t>humans have been completed, one in 36 healthy male and female</w:t>
      </w:r>
      <w:r w:rsidRPr="00C73849">
        <w:rPr>
          <w:w w:val="99"/>
        </w:rPr>
        <w:t xml:space="preserve"> </w:t>
      </w:r>
      <w:r w:rsidRPr="00C73849">
        <w:t>volunteers (GE-101-001) and one in 30 elderly male and female volunteers (GE-101-003). The</w:t>
      </w:r>
      <w:r w:rsidRPr="00C73849">
        <w:rPr>
          <w:w w:val="99"/>
        </w:rPr>
        <w:t xml:space="preserve"> </w:t>
      </w:r>
      <w:r w:rsidRPr="00C73849">
        <w:t>studies were conducted in accordance with the Declaration of Helsinki and Good Clinical</w:t>
      </w:r>
      <w:r w:rsidRPr="00C73849">
        <w:rPr>
          <w:w w:val="99"/>
        </w:rPr>
        <w:t xml:space="preserve"> </w:t>
      </w:r>
      <w:r w:rsidRPr="00C73849">
        <w:t>Practice (GCP).</w:t>
      </w:r>
    </w:p>
    <w:p w14:paraId="756F0E19" w14:textId="77777777" w:rsidR="00957F89" w:rsidRPr="00C73849" w:rsidRDefault="00957F89">
      <w:pPr>
        <w:rPr>
          <w:rFonts w:ascii="Times New Roman" w:eastAsia="Times New Roman" w:hAnsi="Times New Roman" w:cs="Times New Roman"/>
          <w:sz w:val="24"/>
          <w:szCs w:val="24"/>
        </w:rPr>
      </w:pPr>
    </w:p>
    <w:p w14:paraId="407CC22E" w14:textId="77777777" w:rsidR="00957F89" w:rsidRPr="00C73849" w:rsidRDefault="00D92D87" w:rsidP="002131A0">
      <w:pPr>
        <w:pStyle w:val="Heading3"/>
        <w:rPr>
          <w:rFonts w:eastAsia="Times New Roman" w:hAnsi="Times New Roman" w:cs="Times New Roman"/>
          <w:szCs w:val="24"/>
        </w:rPr>
      </w:pPr>
      <w:bookmarkStart w:id="173" w:name="_Toc34899999"/>
      <w:bookmarkStart w:id="174" w:name="_Toc33702528"/>
      <w:bookmarkStart w:id="175" w:name="_Toc176276955"/>
      <w:r w:rsidRPr="00C73849">
        <w:t>6.3.1</w:t>
      </w:r>
      <w:r w:rsidRPr="00C73849">
        <w:tab/>
        <w:t xml:space="preserve">A phase 1, placebo-controlled, </w:t>
      </w:r>
      <w:r w:rsidR="00FD4E71" w:rsidRPr="00C73849">
        <w:t>randomized</w:t>
      </w:r>
      <w:r w:rsidRPr="00C73849">
        <w:t>, ascending-dose study to assess the safety and tolerability of Pyruvate Injection in healthy male and female</w:t>
      </w:r>
      <w:r w:rsidRPr="00C73849">
        <w:rPr>
          <w:w w:val="99"/>
        </w:rPr>
        <w:t xml:space="preserve"> </w:t>
      </w:r>
      <w:r w:rsidRPr="00C73849">
        <w:t>volunteers (GE-101-001)</w:t>
      </w:r>
      <w:bookmarkEnd w:id="173"/>
      <w:bookmarkEnd w:id="174"/>
      <w:bookmarkEnd w:id="175"/>
    </w:p>
    <w:p w14:paraId="0D32242C" w14:textId="77777777" w:rsidR="00957F89" w:rsidRPr="00C73849" w:rsidRDefault="00957F89">
      <w:pPr>
        <w:spacing w:before="5"/>
        <w:rPr>
          <w:rFonts w:ascii="Times New Roman" w:eastAsia="Times New Roman" w:hAnsi="Times New Roman" w:cs="Times New Roman"/>
          <w:b/>
          <w:bCs/>
          <w:sz w:val="20"/>
          <w:szCs w:val="20"/>
        </w:rPr>
      </w:pPr>
    </w:p>
    <w:p w14:paraId="57A26E12" w14:textId="77777777" w:rsidR="00957F89" w:rsidRPr="00C73849" w:rsidRDefault="00D92D87">
      <w:pPr>
        <w:pStyle w:val="BodyText"/>
        <w:ind w:right="311"/>
      </w:pPr>
      <w:r w:rsidRPr="00C73849">
        <w:t>The available preclinical data indicated sufficiently good safety margins to support testing the</w:t>
      </w:r>
      <w:r w:rsidRPr="00C73849">
        <w:rPr>
          <w:w w:val="99"/>
        </w:rPr>
        <w:t xml:space="preserve"> </w:t>
      </w:r>
      <w:r w:rsidRPr="00C73849">
        <w:t xml:space="preserve">safety and tolerability of a 250 mM formulation of Pyruvate Injection containing </w:t>
      </w:r>
      <w:r w:rsidR="009C238C" w:rsidRPr="00C73849">
        <w:t>250 mM</w:t>
      </w:r>
      <w:r w:rsidRPr="00C73849">
        <w:t xml:space="preserve"> EPA (i.e., 22.0 mg/ml of pyruvate and 4.6 </w:t>
      </w:r>
      <w:r w:rsidRPr="00C73849">
        <w:rPr>
          <w:rFonts w:ascii="Symbol" w:eastAsia="Symbol" w:hAnsi="Symbol" w:cs="Symbol"/>
        </w:rPr>
        <w:t></w:t>
      </w:r>
      <w:r w:rsidRPr="00C73849">
        <w:t xml:space="preserve">g/ml of EPA) in healthy </w:t>
      </w:r>
      <w:r w:rsidR="009927A8">
        <w:t xml:space="preserve">non-elderly </w:t>
      </w:r>
      <w:r w:rsidRPr="00C73849">
        <w:t xml:space="preserve">human volunteers in this phase 1 dose-escalating study up to doses of 40 ml/70-kg volunteer (i.e., up to 12.6 mg/kg </w:t>
      </w:r>
      <w:proofErr w:type="spellStart"/>
      <w:r w:rsidRPr="00C73849">
        <w:t>bw</w:t>
      </w:r>
      <w:proofErr w:type="spellEnd"/>
      <w:r w:rsidRPr="00C73849">
        <w:t xml:space="preserve"> of pyruvate and 2.6 </w:t>
      </w:r>
      <w:r w:rsidRPr="00C73849">
        <w:rPr>
          <w:rFonts w:ascii="Symbol" w:eastAsia="Symbol" w:hAnsi="Symbol" w:cs="Symbol"/>
        </w:rPr>
        <w:t></w:t>
      </w:r>
      <w:r w:rsidRPr="00C73849">
        <w:t xml:space="preserve">g/kg </w:t>
      </w:r>
      <w:proofErr w:type="spellStart"/>
      <w:r w:rsidRPr="00C73849">
        <w:t>bw</w:t>
      </w:r>
      <w:proofErr w:type="spellEnd"/>
      <w:r w:rsidRPr="00C73849">
        <w:t xml:space="preserve"> of EPA). The data from the preclinical studies in conscious and</w:t>
      </w:r>
      <w:r w:rsidRPr="00C73849">
        <w:rPr>
          <w:w w:val="99"/>
        </w:rPr>
        <w:t xml:space="preserve"> </w:t>
      </w:r>
      <w:r w:rsidR="00DA01B2" w:rsidRPr="00C73849">
        <w:t>anaesthetized</w:t>
      </w:r>
      <w:r w:rsidRPr="00C73849">
        <w:t xml:space="preserve"> dogs indicated that special attention should be paid to the possibility of mild</w:t>
      </w:r>
      <w:r w:rsidRPr="00C73849">
        <w:rPr>
          <w:w w:val="99"/>
        </w:rPr>
        <w:t xml:space="preserve"> </w:t>
      </w:r>
      <w:r w:rsidRPr="00C73849">
        <w:t xml:space="preserve">cardiovascular effects occurring, </w:t>
      </w:r>
      <w:proofErr w:type="gramStart"/>
      <w:r w:rsidRPr="00C73849">
        <w:t>similar to</w:t>
      </w:r>
      <w:proofErr w:type="gramEnd"/>
      <w:r w:rsidRPr="00C73849">
        <w:t xml:space="preserve"> those reported when Pyruvate Injection was administered rapidly at large volumes to conscious dogs (increases in heart rate) and</w:t>
      </w:r>
      <w:r w:rsidRPr="00C73849">
        <w:rPr>
          <w:w w:val="99"/>
        </w:rPr>
        <w:t xml:space="preserve"> </w:t>
      </w:r>
      <w:r w:rsidR="00DA01B2" w:rsidRPr="00C73849">
        <w:t>anaesthetized</w:t>
      </w:r>
      <w:r w:rsidRPr="00C73849">
        <w:t xml:space="preserve"> dogs (vasodilatation leading to small, short-lasting but significant reductions in</w:t>
      </w:r>
      <w:r w:rsidRPr="00C73849">
        <w:rPr>
          <w:w w:val="99"/>
        </w:rPr>
        <w:t xml:space="preserve"> </w:t>
      </w:r>
      <w:r w:rsidRPr="00C73849">
        <w:t>blood pressure and compensatory increases in heart rate).</w:t>
      </w:r>
    </w:p>
    <w:p w14:paraId="0D658A53" w14:textId="77777777" w:rsidR="00957F89" w:rsidRPr="00C73849" w:rsidRDefault="00957F89">
      <w:pPr>
        <w:spacing w:before="10"/>
        <w:rPr>
          <w:rFonts w:ascii="Times New Roman" w:eastAsia="Times New Roman" w:hAnsi="Times New Roman" w:cs="Times New Roman"/>
          <w:sz w:val="20"/>
          <w:szCs w:val="20"/>
        </w:rPr>
      </w:pPr>
    </w:p>
    <w:p w14:paraId="0B784735" w14:textId="77777777" w:rsidR="00957F89" w:rsidRPr="00C73849" w:rsidRDefault="00D92D87">
      <w:pPr>
        <w:pStyle w:val="BodyText"/>
        <w:ind w:right="411"/>
      </w:pPr>
      <w:r w:rsidRPr="00C73849">
        <w:t>The primary objective of this trial was to determine the safety of Pyruvate Injection in a</w:t>
      </w:r>
      <w:r w:rsidRPr="00C73849">
        <w:rPr>
          <w:w w:val="99"/>
        </w:rPr>
        <w:t xml:space="preserve"> </w:t>
      </w:r>
      <w:r w:rsidRPr="00C73849">
        <w:t xml:space="preserve">dose-ascending manner (0.07, 0.14, 0.28, 0.43, and 0.57 ml/kg </w:t>
      </w:r>
      <w:proofErr w:type="spellStart"/>
      <w:r w:rsidRPr="00C73849">
        <w:t>bw</w:t>
      </w:r>
      <w:proofErr w:type="spellEnd"/>
      <w:r w:rsidRPr="00C73849">
        <w:t>) in healthy adult male and</w:t>
      </w:r>
      <w:r w:rsidRPr="00C73849">
        <w:rPr>
          <w:w w:val="99"/>
        </w:rPr>
        <w:t xml:space="preserve"> </w:t>
      </w:r>
      <w:r w:rsidRPr="00C73849">
        <w:t>female volunteers, starting with the lowest of the 5 dose levels and using appropriate</w:t>
      </w:r>
      <w:r w:rsidRPr="00C73849">
        <w:rPr>
          <w:w w:val="99"/>
        </w:rPr>
        <w:t xml:space="preserve"> </w:t>
      </w:r>
      <w:r w:rsidRPr="00C73849">
        <w:t>placebo-treated controls.</w:t>
      </w:r>
    </w:p>
    <w:p w14:paraId="20506072" w14:textId="77777777" w:rsidR="00957F89" w:rsidRPr="00C73849" w:rsidRDefault="00957F89">
      <w:pPr>
        <w:spacing w:before="10"/>
        <w:rPr>
          <w:rFonts w:ascii="Times New Roman" w:eastAsia="Times New Roman" w:hAnsi="Times New Roman" w:cs="Times New Roman"/>
          <w:sz w:val="20"/>
          <w:szCs w:val="20"/>
        </w:rPr>
      </w:pPr>
    </w:p>
    <w:p w14:paraId="4690C4FD" w14:textId="77777777" w:rsidR="00957F89" w:rsidRPr="00C73849" w:rsidRDefault="00D92D87">
      <w:pPr>
        <w:pStyle w:val="BodyText"/>
        <w:ind w:right="899"/>
      </w:pPr>
      <w:r w:rsidRPr="00C73849">
        <w:t>The study was conducted at the phase 1 unit: Clinical Research Services Turku, Turku,</w:t>
      </w:r>
      <w:r w:rsidRPr="00C73849">
        <w:rPr>
          <w:w w:val="99"/>
        </w:rPr>
        <w:t xml:space="preserve"> </w:t>
      </w:r>
      <w:r w:rsidRPr="00C73849">
        <w:t>Finland. The subjects were recruited from a volunteer panel and by advertisement.</w:t>
      </w:r>
    </w:p>
    <w:p w14:paraId="3AE1F401" w14:textId="77777777" w:rsidR="00957F89" w:rsidRPr="00C73849" w:rsidRDefault="00957F89">
      <w:pPr>
        <w:rPr>
          <w:rFonts w:ascii="Times New Roman" w:eastAsia="Times New Roman" w:hAnsi="Times New Roman" w:cs="Times New Roman"/>
          <w:sz w:val="20"/>
          <w:szCs w:val="20"/>
        </w:rPr>
      </w:pPr>
    </w:p>
    <w:p w14:paraId="095A98E4" w14:textId="77777777" w:rsidR="00957F89" w:rsidRPr="00C73849" w:rsidRDefault="00D92D87">
      <w:pPr>
        <w:pStyle w:val="BodyText"/>
        <w:spacing w:before="69"/>
      </w:pPr>
      <w:r w:rsidRPr="00C73849">
        <w:t>Thirty-six subjects were enrolled into 6 dose groups; the 6th dose group was a repeat of the</w:t>
      </w:r>
    </w:p>
    <w:p w14:paraId="73A82416" w14:textId="77777777" w:rsidR="00957F89" w:rsidRPr="00C73849" w:rsidRDefault="00D92D87">
      <w:pPr>
        <w:pStyle w:val="BodyText"/>
        <w:ind w:right="352"/>
      </w:pPr>
      <w:r w:rsidRPr="00C73849">
        <w:t>0.43 ml/kg dose (i.e., the 4th dose-group dose). Each group contained 6 subjects (4 received</w:t>
      </w:r>
      <w:r w:rsidRPr="00C73849">
        <w:rPr>
          <w:w w:val="99"/>
        </w:rPr>
        <w:t xml:space="preserve"> </w:t>
      </w:r>
      <w:r w:rsidRPr="00C73849">
        <w:t xml:space="preserve">Pyruvate Injection and 2 received placebo). Doses from 0.07 to 0.57 ml/kg </w:t>
      </w:r>
      <w:proofErr w:type="spellStart"/>
      <w:r w:rsidRPr="00C73849">
        <w:t>bw</w:t>
      </w:r>
      <w:proofErr w:type="spellEnd"/>
      <w:r w:rsidRPr="00C73849">
        <w:t xml:space="preserve"> of a 250 mM</w:t>
      </w:r>
      <w:r w:rsidRPr="00C73849">
        <w:rPr>
          <w:w w:val="99"/>
        </w:rPr>
        <w:t xml:space="preserve"> </w:t>
      </w:r>
      <w:r w:rsidRPr="00C73849">
        <w:t>formulation of Pyruvate Injection were intravenously injected at a rate of 5 ml/second. At the</w:t>
      </w:r>
      <w:r w:rsidRPr="00C73849">
        <w:rPr>
          <w:w w:val="99"/>
        </w:rPr>
        <w:t xml:space="preserve"> </w:t>
      </w:r>
      <w:r w:rsidRPr="00C73849">
        <w:t xml:space="preserve">highest dose-level, subjects received 12.6 mg/kg </w:t>
      </w:r>
      <w:proofErr w:type="spellStart"/>
      <w:r w:rsidRPr="00C73849">
        <w:t>bw</w:t>
      </w:r>
      <w:proofErr w:type="spellEnd"/>
      <w:r w:rsidRPr="00C73849">
        <w:t xml:space="preserve"> of pyruvate and 2.6 </w:t>
      </w:r>
      <w:r w:rsidRPr="00C73849">
        <w:rPr>
          <w:rFonts w:ascii="Symbol" w:eastAsia="Symbol" w:hAnsi="Symbol" w:cs="Symbol"/>
        </w:rPr>
        <w:t></w:t>
      </w:r>
      <w:r w:rsidRPr="00C73849">
        <w:t xml:space="preserve">g/kg </w:t>
      </w:r>
      <w:proofErr w:type="spellStart"/>
      <w:r w:rsidRPr="00C73849">
        <w:t>bw</w:t>
      </w:r>
      <w:proofErr w:type="spellEnd"/>
      <w:r w:rsidRPr="00C73849">
        <w:t xml:space="preserve"> of EPA. The study commenced at the lowest dose of 0.07 ml/kg </w:t>
      </w:r>
      <w:proofErr w:type="spellStart"/>
      <w:r w:rsidRPr="00C73849">
        <w:t>bw</w:t>
      </w:r>
      <w:proofErr w:type="spellEnd"/>
      <w:r w:rsidRPr="00C73849">
        <w:t xml:space="preserve"> (5 ml for a 70-kg subject</w:t>
      </w:r>
      <w:proofErr w:type="gramStart"/>
      <w:r w:rsidRPr="00C73849">
        <w:t>)</w:t>
      </w:r>
      <w:proofErr w:type="gramEnd"/>
      <w:r w:rsidRPr="00C73849">
        <w:t xml:space="preserve"> and the</w:t>
      </w:r>
      <w:r w:rsidRPr="00C73849">
        <w:rPr>
          <w:w w:val="99"/>
        </w:rPr>
        <w:t xml:space="preserve"> </w:t>
      </w:r>
      <w:r w:rsidRPr="00C73849">
        <w:t xml:space="preserve">highest dose was 0.57 ml/kg </w:t>
      </w:r>
      <w:proofErr w:type="spellStart"/>
      <w:r w:rsidRPr="00C73849">
        <w:t>bw</w:t>
      </w:r>
      <w:proofErr w:type="spellEnd"/>
      <w:r w:rsidRPr="00C73849">
        <w:t xml:space="preserve"> (40 ml for a 70-kg subject). The choice of doses was initially guided by limitations in the maximum volume (~50 ml) of </w:t>
      </w:r>
      <w:r w:rsidR="004A7A84" w:rsidRPr="00C73849">
        <w:t>hyperpolarized</w:t>
      </w:r>
      <w:r w:rsidRPr="00C73849">
        <w:t xml:space="preserve"> Pyruvate Injection</w:t>
      </w:r>
      <w:r w:rsidRPr="00C73849">
        <w:rPr>
          <w:w w:val="99"/>
        </w:rPr>
        <w:t xml:space="preserve"> </w:t>
      </w:r>
      <w:r w:rsidRPr="00C73849">
        <w:t>that can be produced for future imaging studies using the special equipment built for this</w:t>
      </w:r>
      <w:r w:rsidRPr="00C73849">
        <w:rPr>
          <w:w w:val="99"/>
        </w:rPr>
        <w:t xml:space="preserve"> </w:t>
      </w:r>
      <w:r w:rsidRPr="00C73849">
        <w:t>purpose.</w:t>
      </w:r>
    </w:p>
    <w:p w14:paraId="147D6837" w14:textId="77777777" w:rsidR="00957F89" w:rsidRPr="00C73849" w:rsidRDefault="00957F89">
      <w:pPr>
        <w:spacing w:before="10"/>
        <w:rPr>
          <w:rFonts w:ascii="Times New Roman" w:eastAsia="Times New Roman" w:hAnsi="Times New Roman" w:cs="Times New Roman"/>
          <w:sz w:val="20"/>
          <w:szCs w:val="20"/>
        </w:rPr>
      </w:pPr>
    </w:p>
    <w:p w14:paraId="2A13C226" w14:textId="77777777" w:rsidR="00957F89" w:rsidRPr="00C73849" w:rsidRDefault="00D92D87">
      <w:pPr>
        <w:pStyle w:val="BodyText"/>
        <w:ind w:right="311"/>
      </w:pPr>
      <w:r w:rsidRPr="00C73849">
        <w:t>The subjects randomized to receive placebo were given an intravenous injection of Sodium</w:t>
      </w:r>
      <w:r w:rsidRPr="00C73849">
        <w:rPr>
          <w:w w:val="99"/>
        </w:rPr>
        <w:t xml:space="preserve"> </w:t>
      </w:r>
      <w:r w:rsidRPr="00C73849">
        <w:t>Chloride Solution for Infusion (0.9% w/v) at an injection rate of 5 ml/second and at a volume</w:t>
      </w:r>
      <w:r w:rsidRPr="00C73849">
        <w:rPr>
          <w:w w:val="99"/>
        </w:rPr>
        <w:t xml:space="preserve"> </w:t>
      </w:r>
      <w:r w:rsidRPr="00C73849">
        <w:t xml:space="preserve">that </w:t>
      </w:r>
      <w:r w:rsidRPr="00C73849">
        <w:lastRenderedPageBreak/>
        <w:t>corresponded with the volume of Pyruvate Injection administered in each dose group.</w:t>
      </w:r>
    </w:p>
    <w:p w14:paraId="530C002C" w14:textId="77777777" w:rsidR="00957F89" w:rsidRPr="00C73849" w:rsidRDefault="00957F89">
      <w:pPr>
        <w:spacing w:before="10"/>
        <w:rPr>
          <w:rFonts w:ascii="Times New Roman" w:eastAsia="Times New Roman" w:hAnsi="Times New Roman" w:cs="Times New Roman"/>
          <w:sz w:val="20"/>
          <w:szCs w:val="20"/>
        </w:rPr>
      </w:pPr>
    </w:p>
    <w:p w14:paraId="0E6F860F" w14:textId="77777777" w:rsidR="00957F89" w:rsidRPr="00C73849" w:rsidRDefault="00D92D87">
      <w:pPr>
        <w:pStyle w:val="BodyText"/>
        <w:ind w:right="222"/>
      </w:pPr>
      <w:r w:rsidRPr="00C73849">
        <w:t>Blood samples for pharmacokinetic assessments were collected at baseline and at various time</w:t>
      </w:r>
      <w:r w:rsidRPr="00C73849">
        <w:rPr>
          <w:w w:val="99"/>
        </w:rPr>
        <w:t xml:space="preserve"> </w:t>
      </w:r>
      <w:r w:rsidRPr="00C73849">
        <w:t xml:space="preserve">points up to 15 minutes after </w:t>
      </w:r>
      <w:r w:rsidR="009927A8">
        <w:t>drug</w:t>
      </w:r>
      <w:r w:rsidRPr="00C73849">
        <w:t xml:space="preserve"> administration. Safety assessments including baseline signs and symptoms, adverse events (AEs), physical examinations, clinical laboratory tests (serum</w:t>
      </w:r>
      <w:r w:rsidRPr="00C73849">
        <w:rPr>
          <w:w w:val="99"/>
        </w:rPr>
        <w:t xml:space="preserve"> </w:t>
      </w:r>
      <w:r w:rsidRPr="00C73849">
        <w:t>biochemistry, hematology, and urinalysis), vital signs (heart rate, systolic and diastolic blood</w:t>
      </w:r>
      <w:r w:rsidRPr="00C73849">
        <w:rPr>
          <w:w w:val="99"/>
        </w:rPr>
        <w:t xml:space="preserve"> </w:t>
      </w:r>
      <w:r w:rsidRPr="00C73849">
        <w:t>pressures, respiration rate, body temperature, and oxygen saturation), and 12-lead ECGs were</w:t>
      </w:r>
      <w:r w:rsidRPr="00C73849">
        <w:rPr>
          <w:w w:val="99"/>
        </w:rPr>
        <w:t xml:space="preserve"> </w:t>
      </w:r>
      <w:r w:rsidRPr="00C73849">
        <w:t>performed at various time points pre- and post-administration. In addition, the site of injection</w:t>
      </w:r>
      <w:r w:rsidRPr="00C73849">
        <w:rPr>
          <w:w w:val="99"/>
        </w:rPr>
        <w:t xml:space="preserve"> </w:t>
      </w:r>
      <w:r w:rsidRPr="00C73849">
        <w:t>was monitored for evidence of local and regional reactions. Changes after administration of Pyruvate Injection were compared to changes after administration of placebo. Safety data up to and including the 2-day post-injection assessment were reviewed before proceeding to the</w:t>
      </w:r>
      <w:r w:rsidRPr="00C73849">
        <w:rPr>
          <w:w w:val="99"/>
        </w:rPr>
        <w:t xml:space="preserve"> </w:t>
      </w:r>
      <w:r w:rsidRPr="00C73849">
        <w:t>next dose level. During the study, safety assessments were performed by an observer who was blinded to the nature (placebo or Pyruvate Injection) of the injection.</w:t>
      </w:r>
    </w:p>
    <w:p w14:paraId="67769A67" w14:textId="77777777" w:rsidR="00957F89" w:rsidRPr="00C73849" w:rsidRDefault="00957F89">
      <w:pPr>
        <w:spacing w:before="10"/>
        <w:rPr>
          <w:rFonts w:ascii="Times New Roman" w:eastAsia="Times New Roman" w:hAnsi="Times New Roman" w:cs="Times New Roman"/>
          <w:sz w:val="20"/>
          <w:szCs w:val="20"/>
        </w:rPr>
      </w:pPr>
    </w:p>
    <w:p w14:paraId="4C0E6105" w14:textId="77777777" w:rsidR="00957F89" w:rsidRPr="00C73849" w:rsidRDefault="00D92D87">
      <w:pPr>
        <w:pStyle w:val="BodyText"/>
        <w:ind w:right="183"/>
      </w:pPr>
      <w:r w:rsidRPr="00C73849">
        <w:t>Increasing to the next dose level occurred after the safety data from the previous dose level had</w:t>
      </w:r>
      <w:r w:rsidRPr="00C73849">
        <w:rPr>
          <w:w w:val="99"/>
        </w:rPr>
        <w:t xml:space="preserve"> </w:t>
      </w:r>
      <w:r w:rsidRPr="00C73849">
        <w:t>been thoroughly evaluated by the sponsor and the principal investigator and both agreed that it</w:t>
      </w:r>
      <w:r w:rsidRPr="00C73849">
        <w:rPr>
          <w:w w:val="99"/>
        </w:rPr>
        <w:t xml:space="preserve"> </w:t>
      </w:r>
      <w:r w:rsidRPr="00C73849">
        <w:t>was safe to continue with the next dose. The study was temporarily stopped by the sponsor after completion of dosing for the 0.57 ml/kg dose group due to the occurrence of non-serious AEs in 2 subjects (‘unresponsiveness’ in subject 001-0026 and ‘flushing’ accompanied by changes in blood pressure and heart rate in subject 001-0030) that the principal investigator</w:t>
      </w:r>
      <w:r w:rsidRPr="00C73849">
        <w:rPr>
          <w:w w:val="99"/>
        </w:rPr>
        <w:t xml:space="preserve"> </w:t>
      </w:r>
      <w:r w:rsidRPr="00C73849">
        <w:t>considered to be concerning and related to the administration of Pyruvate Injection. These</w:t>
      </w:r>
      <w:r w:rsidRPr="00C73849">
        <w:rPr>
          <w:w w:val="99"/>
        </w:rPr>
        <w:t xml:space="preserve"> </w:t>
      </w:r>
      <w:r w:rsidRPr="00C73849">
        <w:t>events occurred in 2 of the 4 subjects in that dose group who received Pyruvate Injection. The</w:t>
      </w:r>
      <w:r w:rsidRPr="00C73849">
        <w:rPr>
          <w:w w:val="99"/>
        </w:rPr>
        <w:t xml:space="preserve"> </w:t>
      </w:r>
      <w:r w:rsidRPr="00C73849">
        <w:t>sponsor decided not to proceed with the planned dose escalation to 0.71 ml/kg. The protocol</w:t>
      </w:r>
      <w:r w:rsidRPr="00C73849">
        <w:rPr>
          <w:w w:val="99"/>
        </w:rPr>
        <w:t xml:space="preserve"> </w:t>
      </w:r>
      <w:r w:rsidRPr="00C73849">
        <w:t>was amended to repeat the 0.43 ml/kg dose group in place of the planned 0.71 ml/kg dose</w:t>
      </w:r>
      <w:r w:rsidR="001E1911">
        <w:t xml:space="preserve"> </w:t>
      </w:r>
      <w:r w:rsidRPr="00C73849">
        <w:t>group to confirm that 0.43 ml/kg was as well tolerated in a second placebo-controlled cohort of 6 healthy volunteers as it was in the first one. Additional safety monitoring was considered but</w:t>
      </w:r>
      <w:r w:rsidRPr="00C73849">
        <w:rPr>
          <w:w w:val="99"/>
        </w:rPr>
        <w:t xml:space="preserve"> </w:t>
      </w:r>
      <w:r w:rsidRPr="00C73849">
        <w:t>was deemed unnecessary.</w:t>
      </w:r>
    </w:p>
    <w:p w14:paraId="5EACE377" w14:textId="77777777" w:rsidR="00957F89" w:rsidRPr="00C73849" w:rsidRDefault="00957F89">
      <w:pPr>
        <w:rPr>
          <w:rFonts w:ascii="Times New Roman" w:eastAsia="Times New Roman" w:hAnsi="Times New Roman" w:cs="Times New Roman"/>
          <w:sz w:val="20"/>
          <w:szCs w:val="20"/>
        </w:rPr>
      </w:pPr>
    </w:p>
    <w:p w14:paraId="299F4697" w14:textId="77777777" w:rsidR="00957F89" w:rsidRPr="00C73849" w:rsidRDefault="00957F89">
      <w:pPr>
        <w:rPr>
          <w:rFonts w:ascii="Times New Roman" w:eastAsia="Times New Roman" w:hAnsi="Times New Roman" w:cs="Times New Roman"/>
          <w:sz w:val="20"/>
          <w:szCs w:val="20"/>
        </w:rPr>
      </w:pPr>
    </w:p>
    <w:p w14:paraId="5E63DA15" w14:textId="77777777" w:rsidR="00957F89" w:rsidRPr="00C73849" w:rsidRDefault="00D92D87" w:rsidP="0058353A">
      <w:pPr>
        <w:keepNext/>
        <w:spacing w:before="69"/>
        <w:ind w:left="222"/>
        <w:rPr>
          <w:rFonts w:ascii="Times New Roman" w:eastAsia="Times New Roman" w:hAnsi="Times New Roman" w:cs="Times New Roman"/>
          <w:sz w:val="24"/>
          <w:szCs w:val="24"/>
        </w:rPr>
      </w:pPr>
      <w:r w:rsidRPr="00C73849">
        <w:rPr>
          <w:rFonts w:ascii="Times New Roman"/>
          <w:b/>
          <w:sz w:val="24"/>
        </w:rPr>
        <w:t>Dose Groups of Investigational Medicinal Product (Pyruvate Injection and Placebo)</w:t>
      </w:r>
    </w:p>
    <w:tbl>
      <w:tblPr>
        <w:tblW w:w="0" w:type="auto"/>
        <w:tblInd w:w="99" w:type="dxa"/>
        <w:tblLayout w:type="fixed"/>
        <w:tblCellMar>
          <w:left w:w="0" w:type="dxa"/>
          <w:right w:w="0" w:type="dxa"/>
        </w:tblCellMar>
        <w:tblLook w:val="01E0" w:firstRow="1" w:lastRow="1" w:firstColumn="1" w:lastColumn="1" w:noHBand="0" w:noVBand="0"/>
      </w:tblPr>
      <w:tblGrid>
        <w:gridCol w:w="816"/>
        <w:gridCol w:w="1277"/>
        <w:gridCol w:w="1277"/>
        <w:gridCol w:w="1558"/>
        <w:gridCol w:w="1277"/>
        <w:gridCol w:w="1135"/>
        <w:gridCol w:w="1416"/>
      </w:tblGrid>
      <w:tr w:rsidR="00957F89" w:rsidRPr="00C73849" w14:paraId="53D42309" w14:textId="77777777">
        <w:trPr>
          <w:trHeight w:hRule="exact" w:val="385"/>
        </w:trPr>
        <w:tc>
          <w:tcPr>
            <w:tcW w:w="816" w:type="dxa"/>
            <w:vMerge w:val="restart"/>
            <w:tcBorders>
              <w:top w:val="single" w:sz="13" w:space="0" w:color="000000"/>
              <w:left w:val="single" w:sz="12" w:space="0" w:color="000000"/>
              <w:right w:val="single" w:sz="5" w:space="0" w:color="000000"/>
            </w:tcBorders>
          </w:tcPr>
          <w:p w14:paraId="37B23F8E" w14:textId="77777777" w:rsidR="00957F89" w:rsidRPr="00C73849" w:rsidRDefault="00957F89">
            <w:pPr>
              <w:pStyle w:val="TableParagraph"/>
              <w:rPr>
                <w:rFonts w:ascii="Times New Roman" w:eastAsia="Times New Roman" w:hAnsi="Times New Roman" w:cs="Times New Roman"/>
                <w:b/>
                <w:bCs/>
                <w:sz w:val="20"/>
                <w:szCs w:val="20"/>
              </w:rPr>
            </w:pPr>
          </w:p>
          <w:p w14:paraId="4C3D01F4" w14:textId="77777777" w:rsidR="00957F89" w:rsidRPr="00C73849" w:rsidRDefault="00D92D87">
            <w:pPr>
              <w:pStyle w:val="TableParagraph"/>
              <w:spacing w:before="127"/>
              <w:ind w:left="92" w:right="136"/>
              <w:rPr>
                <w:rFonts w:ascii="Times New Roman" w:eastAsia="Times New Roman" w:hAnsi="Times New Roman" w:cs="Times New Roman"/>
                <w:sz w:val="20"/>
                <w:szCs w:val="20"/>
              </w:rPr>
            </w:pPr>
            <w:r w:rsidRPr="00C73849">
              <w:rPr>
                <w:rFonts w:ascii="Times New Roman"/>
                <w:b/>
                <w:sz w:val="20"/>
              </w:rPr>
              <w:t>Dose</w:t>
            </w:r>
            <w:r w:rsidRPr="00C73849">
              <w:rPr>
                <w:rFonts w:ascii="Times New Roman"/>
                <w:b/>
                <w:w w:val="99"/>
                <w:sz w:val="20"/>
              </w:rPr>
              <w:t xml:space="preserve"> </w:t>
            </w:r>
            <w:r w:rsidRPr="00C73849">
              <w:rPr>
                <w:rFonts w:ascii="Times New Roman"/>
                <w:b/>
                <w:sz w:val="20"/>
              </w:rPr>
              <w:t>Group</w:t>
            </w:r>
          </w:p>
        </w:tc>
        <w:tc>
          <w:tcPr>
            <w:tcW w:w="6523" w:type="dxa"/>
            <w:gridSpan w:val="5"/>
            <w:tcBorders>
              <w:top w:val="single" w:sz="13" w:space="0" w:color="000000"/>
              <w:left w:val="single" w:sz="5" w:space="0" w:color="000000"/>
              <w:bottom w:val="single" w:sz="5" w:space="0" w:color="000000"/>
              <w:right w:val="single" w:sz="5" w:space="0" w:color="000000"/>
            </w:tcBorders>
          </w:tcPr>
          <w:p w14:paraId="5B80BF89" w14:textId="77777777" w:rsidR="00957F89" w:rsidRPr="00C73849" w:rsidRDefault="00D92D87">
            <w:pPr>
              <w:pStyle w:val="TableParagraph"/>
              <w:spacing w:before="119" w:line="243" w:lineRule="exact"/>
              <w:ind w:left="102"/>
              <w:rPr>
                <w:rFonts w:ascii="Times New Roman" w:eastAsia="Times New Roman" w:hAnsi="Times New Roman" w:cs="Times New Roman"/>
                <w:sz w:val="20"/>
                <w:szCs w:val="20"/>
              </w:rPr>
            </w:pPr>
            <w:r w:rsidRPr="00C73849">
              <w:rPr>
                <w:rFonts w:ascii="Times New Roman" w:eastAsia="Times New Roman" w:hAnsi="Times New Roman" w:cs="Times New Roman"/>
                <w:b/>
                <w:bCs/>
                <w:sz w:val="20"/>
                <w:szCs w:val="20"/>
              </w:rPr>
              <w:t xml:space="preserve">Pyruvate Injection (250 mM Pyruvate + 3 </w:t>
            </w:r>
            <w:r w:rsidRPr="00C73849">
              <w:rPr>
                <w:rFonts w:ascii="Symbol" w:eastAsia="Symbol" w:hAnsi="Symbol" w:cs="Symbol"/>
                <w:sz w:val="20"/>
                <w:szCs w:val="20"/>
              </w:rPr>
              <w:t></w:t>
            </w:r>
            <w:r w:rsidRPr="00C73849">
              <w:rPr>
                <w:rFonts w:ascii="Times New Roman" w:eastAsia="Times New Roman" w:hAnsi="Times New Roman" w:cs="Times New Roman"/>
                <w:b/>
                <w:bCs/>
                <w:sz w:val="20"/>
                <w:szCs w:val="20"/>
              </w:rPr>
              <w:t>M EPA)</w:t>
            </w:r>
          </w:p>
        </w:tc>
        <w:tc>
          <w:tcPr>
            <w:tcW w:w="1416" w:type="dxa"/>
            <w:vMerge w:val="restart"/>
            <w:tcBorders>
              <w:top w:val="single" w:sz="13" w:space="0" w:color="000000"/>
              <w:left w:val="single" w:sz="5" w:space="0" w:color="000000"/>
              <w:right w:val="single" w:sz="12" w:space="0" w:color="000000"/>
            </w:tcBorders>
          </w:tcPr>
          <w:p w14:paraId="7540D910" w14:textId="77777777" w:rsidR="00957F89" w:rsidRPr="00C73849" w:rsidRDefault="00D92D87">
            <w:pPr>
              <w:pStyle w:val="TableParagraph"/>
              <w:spacing w:before="104"/>
              <w:ind w:left="102" w:right="558"/>
              <w:rPr>
                <w:rFonts w:ascii="Times New Roman" w:eastAsia="Times New Roman" w:hAnsi="Times New Roman" w:cs="Times New Roman"/>
                <w:sz w:val="20"/>
                <w:szCs w:val="20"/>
              </w:rPr>
            </w:pPr>
            <w:r w:rsidRPr="00C73849">
              <w:rPr>
                <w:rFonts w:ascii="Times New Roman"/>
                <w:b/>
                <w:w w:val="95"/>
                <w:sz w:val="20"/>
              </w:rPr>
              <w:t>Placebo</w:t>
            </w:r>
            <w:r w:rsidRPr="00C73849">
              <w:rPr>
                <w:rFonts w:ascii="Times New Roman"/>
                <w:b/>
                <w:w w:val="95"/>
                <w:position w:val="9"/>
                <w:sz w:val="13"/>
              </w:rPr>
              <w:t>a</w:t>
            </w:r>
            <w:r w:rsidRPr="00C73849">
              <w:rPr>
                <w:rFonts w:ascii="Times New Roman"/>
                <w:b/>
                <w:w w:val="99"/>
                <w:position w:val="9"/>
                <w:sz w:val="13"/>
              </w:rPr>
              <w:t xml:space="preserve"> </w:t>
            </w:r>
            <w:r w:rsidRPr="00C73849">
              <w:rPr>
                <w:rFonts w:ascii="Times New Roman"/>
                <w:b/>
                <w:sz w:val="20"/>
              </w:rPr>
              <w:t>No. of</w:t>
            </w:r>
            <w:r w:rsidRPr="00C73849">
              <w:rPr>
                <w:rFonts w:ascii="Times New Roman"/>
                <w:b/>
                <w:w w:val="99"/>
                <w:sz w:val="20"/>
              </w:rPr>
              <w:t xml:space="preserve"> </w:t>
            </w:r>
            <w:r w:rsidRPr="00C73849">
              <w:rPr>
                <w:rFonts w:ascii="Times New Roman"/>
                <w:b/>
                <w:sz w:val="20"/>
              </w:rPr>
              <w:t>Subjects</w:t>
            </w:r>
          </w:p>
        </w:tc>
      </w:tr>
      <w:tr w:rsidR="00957F89" w:rsidRPr="00C73849" w14:paraId="7DECF951" w14:textId="77777777">
        <w:trPr>
          <w:trHeight w:hRule="exact" w:val="485"/>
        </w:trPr>
        <w:tc>
          <w:tcPr>
            <w:tcW w:w="816" w:type="dxa"/>
            <w:vMerge/>
            <w:tcBorders>
              <w:left w:val="single" w:sz="12" w:space="0" w:color="000000"/>
              <w:bottom w:val="single" w:sz="5" w:space="0" w:color="000000"/>
              <w:right w:val="single" w:sz="5" w:space="0" w:color="000000"/>
            </w:tcBorders>
          </w:tcPr>
          <w:p w14:paraId="0C510396" w14:textId="77777777" w:rsidR="00957F89" w:rsidRPr="00C73849" w:rsidRDefault="00957F89"/>
        </w:tc>
        <w:tc>
          <w:tcPr>
            <w:tcW w:w="1277" w:type="dxa"/>
            <w:tcBorders>
              <w:top w:val="single" w:sz="5" w:space="0" w:color="000000"/>
              <w:left w:val="single" w:sz="5" w:space="0" w:color="000000"/>
              <w:bottom w:val="single" w:sz="5" w:space="0" w:color="000000"/>
              <w:right w:val="single" w:sz="5" w:space="0" w:color="000000"/>
            </w:tcBorders>
          </w:tcPr>
          <w:p w14:paraId="1B0359E0" w14:textId="77777777" w:rsidR="00957F89" w:rsidRPr="00C73849" w:rsidRDefault="00D92D87">
            <w:pPr>
              <w:pStyle w:val="TableParagraph"/>
              <w:spacing w:before="11"/>
              <w:ind w:left="102" w:right="232"/>
              <w:rPr>
                <w:rFonts w:ascii="Times New Roman" w:eastAsia="Times New Roman" w:hAnsi="Times New Roman" w:cs="Times New Roman"/>
                <w:sz w:val="20"/>
                <w:szCs w:val="20"/>
              </w:rPr>
            </w:pPr>
            <w:r w:rsidRPr="00C73849">
              <w:rPr>
                <w:rFonts w:ascii="Times New Roman"/>
                <w:b/>
                <w:sz w:val="20"/>
              </w:rPr>
              <w:t>Dose</w:t>
            </w:r>
            <w:r w:rsidRPr="00C73849">
              <w:rPr>
                <w:rFonts w:ascii="Times New Roman"/>
                <w:b/>
                <w:w w:val="99"/>
                <w:sz w:val="20"/>
              </w:rPr>
              <w:t xml:space="preserve"> </w:t>
            </w:r>
            <w:r w:rsidRPr="00C73849">
              <w:rPr>
                <w:rFonts w:ascii="Times New Roman"/>
                <w:b/>
                <w:sz w:val="20"/>
              </w:rPr>
              <w:t xml:space="preserve">(ml/kg </w:t>
            </w:r>
            <w:proofErr w:type="spellStart"/>
            <w:r w:rsidRPr="00C73849">
              <w:rPr>
                <w:rFonts w:ascii="Times New Roman"/>
                <w:b/>
                <w:sz w:val="20"/>
              </w:rPr>
              <w:t>bw</w:t>
            </w:r>
            <w:proofErr w:type="spellEnd"/>
            <w:r w:rsidRPr="00C73849">
              <w:rPr>
                <w:rFonts w:ascii="Times New Roman"/>
                <w:b/>
                <w:sz w:val="20"/>
              </w:rPr>
              <w:t>)</w:t>
            </w:r>
          </w:p>
        </w:tc>
        <w:tc>
          <w:tcPr>
            <w:tcW w:w="1277" w:type="dxa"/>
            <w:tcBorders>
              <w:top w:val="single" w:sz="5" w:space="0" w:color="000000"/>
              <w:left w:val="single" w:sz="5" w:space="0" w:color="000000"/>
              <w:bottom w:val="single" w:sz="5" w:space="0" w:color="000000"/>
              <w:right w:val="single" w:sz="5" w:space="0" w:color="000000"/>
            </w:tcBorders>
          </w:tcPr>
          <w:p w14:paraId="6A9BABAE" w14:textId="77777777" w:rsidR="00957F89" w:rsidRPr="00C73849" w:rsidRDefault="00D92D87">
            <w:pPr>
              <w:pStyle w:val="TableParagraph"/>
              <w:spacing w:before="11"/>
              <w:ind w:left="102" w:right="290"/>
              <w:rPr>
                <w:rFonts w:ascii="Times New Roman" w:eastAsia="Times New Roman" w:hAnsi="Times New Roman" w:cs="Times New Roman"/>
                <w:sz w:val="20"/>
                <w:szCs w:val="20"/>
              </w:rPr>
            </w:pPr>
            <w:r w:rsidRPr="00C73849">
              <w:rPr>
                <w:rFonts w:ascii="Times New Roman"/>
                <w:b/>
                <w:sz w:val="20"/>
              </w:rPr>
              <w:t>Dose</w:t>
            </w:r>
            <w:r w:rsidRPr="00C73849">
              <w:rPr>
                <w:rFonts w:ascii="Times New Roman"/>
                <w:b/>
                <w:w w:val="99"/>
                <w:sz w:val="20"/>
              </w:rPr>
              <w:t xml:space="preserve"> </w:t>
            </w:r>
            <w:r w:rsidRPr="00C73849">
              <w:rPr>
                <w:rFonts w:ascii="Times New Roman"/>
                <w:b/>
                <w:sz w:val="20"/>
              </w:rPr>
              <w:t>(ml/70 kg)</w:t>
            </w:r>
          </w:p>
        </w:tc>
        <w:tc>
          <w:tcPr>
            <w:tcW w:w="1558" w:type="dxa"/>
            <w:tcBorders>
              <w:top w:val="single" w:sz="5" w:space="0" w:color="000000"/>
              <w:left w:val="single" w:sz="5" w:space="0" w:color="000000"/>
              <w:bottom w:val="single" w:sz="5" w:space="0" w:color="000000"/>
              <w:right w:val="single" w:sz="5" w:space="0" w:color="000000"/>
            </w:tcBorders>
          </w:tcPr>
          <w:p w14:paraId="71163316" w14:textId="77777777" w:rsidR="00957F89" w:rsidRPr="00C73849" w:rsidRDefault="00D92D87">
            <w:pPr>
              <w:pStyle w:val="TableParagraph"/>
              <w:spacing w:before="11"/>
              <w:ind w:left="102" w:right="201"/>
              <w:rPr>
                <w:rFonts w:ascii="Times New Roman" w:eastAsia="Times New Roman" w:hAnsi="Times New Roman" w:cs="Times New Roman"/>
                <w:sz w:val="20"/>
                <w:szCs w:val="20"/>
              </w:rPr>
            </w:pPr>
            <w:r w:rsidRPr="00C73849">
              <w:rPr>
                <w:rFonts w:ascii="Times New Roman"/>
                <w:b/>
                <w:sz w:val="20"/>
              </w:rPr>
              <w:t>Pyruvate Dose</w:t>
            </w:r>
            <w:r w:rsidRPr="00C73849">
              <w:rPr>
                <w:rFonts w:ascii="Times New Roman"/>
                <w:b/>
                <w:w w:val="99"/>
                <w:sz w:val="20"/>
              </w:rPr>
              <w:t xml:space="preserve"> </w:t>
            </w:r>
            <w:r w:rsidRPr="00C73849">
              <w:rPr>
                <w:rFonts w:ascii="Times New Roman"/>
                <w:b/>
                <w:sz w:val="20"/>
              </w:rPr>
              <w:t xml:space="preserve">(mg/kg </w:t>
            </w:r>
            <w:proofErr w:type="spellStart"/>
            <w:r w:rsidRPr="00C73849">
              <w:rPr>
                <w:rFonts w:ascii="Times New Roman"/>
                <w:b/>
                <w:sz w:val="20"/>
              </w:rPr>
              <w:t>bw</w:t>
            </w:r>
            <w:proofErr w:type="spellEnd"/>
            <w:r w:rsidRPr="00C73849">
              <w:rPr>
                <w:rFonts w:ascii="Times New Roman"/>
                <w:b/>
                <w:sz w:val="20"/>
              </w:rPr>
              <w:t>)</w:t>
            </w:r>
          </w:p>
        </w:tc>
        <w:tc>
          <w:tcPr>
            <w:tcW w:w="1277" w:type="dxa"/>
            <w:tcBorders>
              <w:top w:val="single" w:sz="5" w:space="0" w:color="000000"/>
              <w:left w:val="single" w:sz="5" w:space="0" w:color="000000"/>
              <w:bottom w:val="single" w:sz="5" w:space="0" w:color="000000"/>
              <w:right w:val="single" w:sz="5" w:space="0" w:color="000000"/>
            </w:tcBorders>
          </w:tcPr>
          <w:p w14:paraId="7BB2BD03" w14:textId="77777777" w:rsidR="00957F89" w:rsidRPr="00C73849" w:rsidRDefault="00D92D87">
            <w:pPr>
              <w:pStyle w:val="TableParagraph"/>
              <w:spacing w:line="242" w:lineRule="auto"/>
              <w:ind w:left="102" w:right="240"/>
              <w:rPr>
                <w:rFonts w:ascii="Times New Roman" w:eastAsia="Times New Roman" w:hAnsi="Times New Roman" w:cs="Times New Roman"/>
                <w:sz w:val="20"/>
                <w:szCs w:val="20"/>
              </w:rPr>
            </w:pPr>
            <w:r w:rsidRPr="00C73849">
              <w:rPr>
                <w:rFonts w:ascii="Times New Roman" w:eastAsia="Times New Roman" w:hAnsi="Times New Roman" w:cs="Times New Roman"/>
                <w:b/>
                <w:bCs/>
                <w:sz w:val="20"/>
                <w:szCs w:val="20"/>
              </w:rPr>
              <w:t>EPA Dose</w:t>
            </w:r>
            <w:r w:rsidRPr="00C73849">
              <w:rPr>
                <w:rFonts w:ascii="Times New Roman" w:eastAsia="Times New Roman" w:hAnsi="Times New Roman" w:cs="Times New Roman"/>
                <w:b/>
                <w:bCs/>
                <w:w w:val="99"/>
                <w:sz w:val="20"/>
                <w:szCs w:val="20"/>
              </w:rPr>
              <w:t xml:space="preserve"> </w:t>
            </w:r>
            <w:r w:rsidRPr="00C73849">
              <w:rPr>
                <w:rFonts w:ascii="Times New Roman" w:eastAsia="Times New Roman" w:hAnsi="Times New Roman" w:cs="Times New Roman"/>
                <w:b/>
                <w:bCs/>
                <w:sz w:val="20"/>
                <w:szCs w:val="20"/>
              </w:rPr>
              <w:t>(</w:t>
            </w:r>
            <w:r w:rsidRPr="00C73849">
              <w:rPr>
                <w:rFonts w:ascii="Symbol" w:eastAsia="Symbol" w:hAnsi="Symbol" w:cs="Symbol"/>
                <w:sz w:val="20"/>
                <w:szCs w:val="20"/>
              </w:rPr>
              <w:t></w:t>
            </w:r>
            <w:r w:rsidRPr="00C73849">
              <w:rPr>
                <w:rFonts w:ascii="Times New Roman" w:eastAsia="Times New Roman" w:hAnsi="Times New Roman" w:cs="Times New Roman"/>
                <w:b/>
                <w:bCs/>
                <w:sz w:val="20"/>
                <w:szCs w:val="20"/>
              </w:rPr>
              <w:t xml:space="preserve">g/kg </w:t>
            </w:r>
            <w:proofErr w:type="spellStart"/>
            <w:r w:rsidRPr="00C73849">
              <w:rPr>
                <w:rFonts w:ascii="Times New Roman" w:eastAsia="Times New Roman" w:hAnsi="Times New Roman" w:cs="Times New Roman"/>
                <w:b/>
                <w:bCs/>
                <w:sz w:val="20"/>
                <w:szCs w:val="20"/>
              </w:rPr>
              <w:t>bw</w:t>
            </w:r>
            <w:proofErr w:type="spellEnd"/>
            <w:r w:rsidRPr="00C73849">
              <w:rPr>
                <w:rFonts w:ascii="Times New Roman" w:eastAsia="Times New Roman" w:hAnsi="Times New Roman" w:cs="Times New Roman"/>
                <w:b/>
                <w:bCs/>
                <w:sz w:val="20"/>
                <w:szCs w:val="20"/>
              </w:rPr>
              <w:t>)</w:t>
            </w:r>
          </w:p>
        </w:tc>
        <w:tc>
          <w:tcPr>
            <w:tcW w:w="1135" w:type="dxa"/>
            <w:tcBorders>
              <w:top w:val="single" w:sz="5" w:space="0" w:color="000000"/>
              <w:left w:val="single" w:sz="5" w:space="0" w:color="000000"/>
              <w:bottom w:val="single" w:sz="5" w:space="0" w:color="000000"/>
              <w:right w:val="single" w:sz="5" w:space="0" w:color="000000"/>
            </w:tcBorders>
          </w:tcPr>
          <w:p w14:paraId="130A1D32" w14:textId="77777777" w:rsidR="00957F89" w:rsidRPr="00C73849" w:rsidRDefault="00D92D87">
            <w:pPr>
              <w:pStyle w:val="TableParagraph"/>
              <w:spacing w:before="11"/>
              <w:ind w:left="102" w:right="299"/>
              <w:rPr>
                <w:rFonts w:ascii="Times New Roman" w:eastAsia="Times New Roman" w:hAnsi="Times New Roman" w:cs="Times New Roman"/>
                <w:sz w:val="20"/>
                <w:szCs w:val="20"/>
              </w:rPr>
            </w:pPr>
            <w:r w:rsidRPr="00C73849">
              <w:rPr>
                <w:rFonts w:ascii="Times New Roman"/>
                <w:b/>
                <w:sz w:val="20"/>
              </w:rPr>
              <w:t>No. of</w:t>
            </w:r>
            <w:r w:rsidRPr="00C73849">
              <w:rPr>
                <w:rFonts w:ascii="Times New Roman"/>
                <w:b/>
                <w:w w:val="99"/>
                <w:sz w:val="20"/>
              </w:rPr>
              <w:t xml:space="preserve"> </w:t>
            </w:r>
            <w:r w:rsidRPr="00C73849">
              <w:rPr>
                <w:rFonts w:ascii="Times New Roman"/>
                <w:b/>
                <w:sz w:val="20"/>
              </w:rPr>
              <w:t>Subjects</w:t>
            </w:r>
          </w:p>
        </w:tc>
        <w:tc>
          <w:tcPr>
            <w:tcW w:w="1416" w:type="dxa"/>
            <w:vMerge/>
            <w:tcBorders>
              <w:left w:val="single" w:sz="5" w:space="0" w:color="000000"/>
              <w:bottom w:val="single" w:sz="5" w:space="0" w:color="000000"/>
              <w:right w:val="single" w:sz="12" w:space="0" w:color="000000"/>
            </w:tcBorders>
          </w:tcPr>
          <w:p w14:paraId="060EB972" w14:textId="77777777" w:rsidR="00957F89" w:rsidRPr="00C73849" w:rsidRDefault="00957F89"/>
        </w:tc>
      </w:tr>
      <w:tr w:rsidR="00957F89" w:rsidRPr="00C73849" w14:paraId="2384CF4E" w14:textId="77777777">
        <w:trPr>
          <w:trHeight w:hRule="exact" w:val="240"/>
        </w:trPr>
        <w:tc>
          <w:tcPr>
            <w:tcW w:w="816" w:type="dxa"/>
            <w:tcBorders>
              <w:top w:val="single" w:sz="5" w:space="0" w:color="000000"/>
              <w:left w:val="single" w:sz="12" w:space="0" w:color="000000"/>
              <w:bottom w:val="single" w:sz="5" w:space="0" w:color="000000"/>
              <w:right w:val="single" w:sz="5" w:space="0" w:color="000000"/>
            </w:tcBorders>
          </w:tcPr>
          <w:p w14:paraId="07258D65" w14:textId="77777777" w:rsidR="00957F89" w:rsidRPr="00C73849" w:rsidRDefault="00D92D87">
            <w:pPr>
              <w:pStyle w:val="TableParagraph"/>
              <w:spacing w:line="222" w:lineRule="exact"/>
              <w:ind w:right="8"/>
              <w:jc w:val="center"/>
              <w:rPr>
                <w:rFonts w:ascii="Times New Roman" w:eastAsia="Times New Roman" w:hAnsi="Times New Roman" w:cs="Times New Roman"/>
                <w:sz w:val="20"/>
                <w:szCs w:val="20"/>
              </w:rPr>
            </w:pPr>
            <w:r w:rsidRPr="00C73849">
              <w:rPr>
                <w:rFonts w:ascii="Times New Roman"/>
                <w:sz w:val="20"/>
              </w:rPr>
              <w:t>1</w:t>
            </w:r>
          </w:p>
        </w:tc>
        <w:tc>
          <w:tcPr>
            <w:tcW w:w="1277" w:type="dxa"/>
            <w:tcBorders>
              <w:top w:val="single" w:sz="5" w:space="0" w:color="000000"/>
              <w:left w:val="single" w:sz="5" w:space="0" w:color="000000"/>
              <w:bottom w:val="single" w:sz="5" w:space="0" w:color="000000"/>
              <w:right w:val="single" w:sz="5" w:space="0" w:color="000000"/>
            </w:tcBorders>
          </w:tcPr>
          <w:p w14:paraId="46ADFDA2"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0.07</w:t>
            </w:r>
          </w:p>
        </w:tc>
        <w:tc>
          <w:tcPr>
            <w:tcW w:w="1277" w:type="dxa"/>
            <w:tcBorders>
              <w:top w:val="single" w:sz="5" w:space="0" w:color="000000"/>
              <w:left w:val="single" w:sz="5" w:space="0" w:color="000000"/>
              <w:bottom w:val="single" w:sz="5" w:space="0" w:color="000000"/>
              <w:right w:val="single" w:sz="5" w:space="0" w:color="000000"/>
            </w:tcBorders>
          </w:tcPr>
          <w:p w14:paraId="1BE8148F"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5</w:t>
            </w:r>
          </w:p>
        </w:tc>
        <w:tc>
          <w:tcPr>
            <w:tcW w:w="1558" w:type="dxa"/>
            <w:tcBorders>
              <w:top w:val="single" w:sz="5" w:space="0" w:color="000000"/>
              <w:left w:val="single" w:sz="5" w:space="0" w:color="000000"/>
              <w:bottom w:val="single" w:sz="5" w:space="0" w:color="000000"/>
              <w:right w:val="single" w:sz="5" w:space="0" w:color="000000"/>
            </w:tcBorders>
          </w:tcPr>
          <w:p w14:paraId="31696A39"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1.6</w:t>
            </w:r>
          </w:p>
        </w:tc>
        <w:tc>
          <w:tcPr>
            <w:tcW w:w="1277" w:type="dxa"/>
            <w:tcBorders>
              <w:top w:val="single" w:sz="5" w:space="0" w:color="000000"/>
              <w:left w:val="single" w:sz="5" w:space="0" w:color="000000"/>
              <w:bottom w:val="single" w:sz="5" w:space="0" w:color="000000"/>
              <w:right w:val="single" w:sz="5" w:space="0" w:color="000000"/>
            </w:tcBorders>
          </w:tcPr>
          <w:p w14:paraId="341CCFFE" w14:textId="77777777" w:rsidR="00957F89" w:rsidRPr="00C73849" w:rsidRDefault="00D92D87">
            <w:pPr>
              <w:pStyle w:val="TableParagraph"/>
              <w:spacing w:line="222" w:lineRule="exact"/>
              <w:ind w:right="1"/>
              <w:jc w:val="center"/>
              <w:rPr>
                <w:rFonts w:ascii="Times New Roman" w:eastAsia="Times New Roman" w:hAnsi="Times New Roman" w:cs="Times New Roman"/>
                <w:sz w:val="20"/>
                <w:szCs w:val="20"/>
              </w:rPr>
            </w:pPr>
            <w:r w:rsidRPr="00C73849">
              <w:rPr>
                <w:rFonts w:ascii="Times New Roman"/>
                <w:sz w:val="20"/>
              </w:rPr>
              <w:t>0.3</w:t>
            </w:r>
          </w:p>
        </w:tc>
        <w:tc>
          <w:tcPr>
            <w:tcW w:w="1135" w:type="dxa"/>
            <w:tcBorders>
              <w:top w:val="single" w:sz="5" w:space="0" w:color="000000"/>
              <w:left w:val="single" w:sz="5" w:space="0" w:color="000000"/>
              <w:bottom w:val="single" w:sz="5" w:space="0" w:color="000000"/>
              <w:right w:val="single" w:sz="5" w:space="0" w:color="000000"/>
            </w:tcBorders>
          </w:tcPr>
          <w:p w14:paraId="50642175"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4</w:t>
            </w:r>
          </w:p>
        </w:tc>
        <w:tc>
          <w:tcPr>
            <w:tcW w:w="1416" w:type="dxa"/>
            <w:tcBorders>
              <w:top w:val="single" w:sz="5" w:space="0" w:color="000000"/>
              <w:left w:val="single" w:sz="5" w:space="0" w:color="000000"/>
              <w:bottom w:val="single" w:sz="5" w:space="0" w:color="000000"/>
              <w:right w:val="single" w:sz="12" w:space="0" w:color="000000"/>
            </w:tcBorders>
          </w:tcPr>
          <w:p w14:paraId="2C646BB5" w14:textId="77777777" w:rsidR="00957F89" w:rsidRPr="00C73849" w:rsidRDefault="00D92D87">
            <w:pPr>
              <w:pStyle w:val="TableParagraph"/>
              <w:spacing w:line="222" w:lineRule="exact"/>
              <w:ind w:left="9"/>
              <w:jc w:val="center"/>
              <w:rPr>
                <w:rFonts w:ascii="Times New Roman" w:eastAsia="Times New Roman" w:hAnsi="Times New Roman" w:cs="Times New Roman"/>
                <w:sz w:val="20"/>
                <w:szCs w:val="20"/>
              </w:rPr>
            </w:pPr>
            <w:r w:rsidRPr="00C73849">
              <w:rPr>
                <w:rFonts w:ascii="Times New Roman"/>
                <w:sz w:val="20"/>
              </w:rPr>
              <w:t>2</w:t>
            </w:r>
          </w:p>
        </w:tc>
      </w:tr>
      <w:tr w:rsidR="00957F89" w:rsidRPr="00C73849" w14:paraId="1FBCC0DF" w14:textId="77777777">
        <w:trPr>
          <w:trHeight w:hRule="exact" w:val="240"/>
        </w:trPr>
        <w:tc>
          <w:tcPr>
            <w:tcW w:w="816" w:type="dxa"/>
            <w:tcBorders>
              <w:top w:val="single" w:sz="5" w:space="0" w:color="000000"/>
              <w:left w:val="single" w:sz="12" w:space="0" w:color="000000"/>
              <w:bottom w:val="single" w:sz="5" w:space="0" w:color="000000"/>
              <w:right w:val="single" w:sz="5" w:space="0" w:color="000000"/>
            </w:tcBorders>
          </w:tcPr>
          <w:p w14:paraId="3911A0EE" w14:textId="77777777" w:rsidR="00957F89" w:rsidRPr="00C73849" w:rsidRDefault="00D92D87">
            <w:pPr>
              <w:pStyle w:val="TableParagraph"/>
              <w:spacing w:line="222" w:lineRule="exact"/>
              <w:ind w:right="8"/>
              <w:jc w:val="center"/>
              <w:rPr>
                <w:rFonts w:ascii="Times New Roman" w:eastAsia="Times New Roman" w:hAnsi="Times New Roman" w:cs="Times New Roman"/>
                <w:sz w:val="20"/>
                <w:szCs w:val="20"/>
              </w:rPr>
            </w:pPr>
            <w:r w:rsidRPr="00C73849">
              <w:rPr>
                <w:rFonts w:ascii="Times New Roman"/>
                <w:sz w:val="20"/>
              </w:rPr>
              <w:t>2</w:t>
            </w:r>
          </w:p>
        </w:tc>
        <w:tc>
          <w:tcPr>
            <w:tcW w:w="1277" w:type="dxa"/>
            <w:tcBorders>
              <w:top w:val="single" w:sz="5" w:space="0" w:color="000000"/>
              <w:left w:val="single" w:sz="5" w:space="0" w:color="000000"/>
              <w:bottom w:val="single" w:sz="5" w:space="0" w:color="000000"/>
              <w:right w:val="single" w:sz="5" w:space="0" w:color="000000"/>
            </w:tcBorders>
          </w:tcPr>
          <w:p w14:paraId="745789C6"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0.14</w:t>
            </w:r>
          </w:p>
        </w:tc>
        <w:tc>
          <w:tcPr>
            <w:tcW w:w="1277" w:type="dxa"/>
            <w:tcBorders>
              <w:top w:val="single" w:sz="5" w:space="0" w:color="000000"/>
              <w:left w:val="single" w:sz="5" w:space="0" w:color="000000"/>
              <w:bottom w:val="single" w:sz="5" w:space="0" w:color="000000"/>
              <w:right w:val="single" w:sz="5" w:space="0" w:color="000000"/>
            </w:tcBorders>
          </w:tcPr>
          <w:p w14:paraId="5D4D5D6D"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10</w:t>
            </w:r>
          </w:p>
        </w:tc>
        <w:tc>
          <w:tcPr>
            <w:tcW w:w="1558" w:type="dxa"/>
            <w:tcBorders>
              <w:top w:val="single" w:sz="5" w:space="0" w:color="000000"/>
              <w:left w:val="single" w:sz="5" w:space="0" w:color="000000"/>
              <w:bottom w:val="single" w:sz="5" w:space="0" w:color="000000"/>
              <w:right w:val="single" w:sz="5" w:space="0" w:color="000000"/>
            </w:tcBorders>
          </w:tcPr>
          <w:p w14:paraId="7C05F908"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3.1</w:t>
            </w:r>
          </w:p>
        </w:tc>
        <w:tc>
          <w:tcPr>
            <w:tcW w:w="1277" w:type="dxa"/>
            <w:tcBorders>
              <w:top w:val="single" w:sz="5" w:space="0" w:color="000000"/>
              <w:left w:val="single" w:sz="5" w:space="0" w:color="000000"/>
              <w:bottom w:val="single" w:sz="5" w:space="0" w:color="000000"/>
              <w:right w:val="single" w:sz="5" w:space="0" w:color="000000"/>
            </w:tcBorders>
          </w:tcPr>
          <w:p w14:paraId="0C2FB154" w14:textId="77777777" w:rsidR="00957F89" w:rsidRPr="00C73849" w:rsidRDefault="00D92D87">
            <w:pPr>
              <w:pStyle w:val="TableParagraph"/>
              <w:spacing w:line="222" w:lineRule="exact"/>
              <w:ind w:right="1"/>
              <w:jc w:val="center"/>
              <w:rPr>
                <w:rFonts w:ascii="Times New Roman" w:eastAsia="Times New Roman" w:hAnsi="Times New Roman" w:cs="Times New Roman"/>
                <w:sz w:val="20"/>
                <w:szCs w:val="20"/>
              </w:rPr>
            </w:pPr>
            <w:r w:rsidRPr="00C73849">
              <w:rPr>
                <w:rFonts w:ascii="Times New Roman"/>
                <w:sz w:val="20"/>
              </w:rPr>
              <w:t>0.7</w:t>
            </w:r>
          </w:p>
        </w:tc>
        <w:tc>
          <w:tcPr>
            <w:tcW w:w="1135" w:type="dxa"/>
            <w:tcBorders>
              <w:top w:val="single" w:sz="5" w:space="0" w:color="000000"/>
              <w:left w:val="single" w:sz="5" w:space="0" w:color="000000"/>
              <w:bottom w:val="single" w:sz="5" w:space="0" w:color="000000"/>
              <w:right w:val="single" w:sz="5" w:space="0" w:color="000000"/>
            </w:tcBorders>
          </w:tcPr>
          <w:p w14:paraId="1CB29C17"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4</w:t>
            </w:r>
          </w:p>
        </w:tc>
        <w:tc>
          <w:tcPr>
            <w:tcW w:w="1416" w:type="dxa"/>
            <w:tcBorders>
              <w:top w:val="single" w:sz="5" w:space="0" w:color="000000"/>
              <w:left w:val="single" w:sz="5" w:space="0" w:color="000000"/>
              <w:bottom w:val="single" w:sz="5" w:space="0" w:color="000000"/>
              <w:right w:val="single" w:sz="12" w:space="0" w:color="000000"/>
            </w:tcBorders>
          </w:tcPr>
          <w:p w14:paraId="0B1AD728" w14:textId="77777777" w:rsidR="00957F89" w:rsidRPr="00C73849" w:rsidRDefault="00D92D87">
            <w:pPr>
              <w:pStyle w:val="TableParagraph"/>
              <w:spacing w:line="222" w:lineRule="exact"/>
              <w:ind w:left="9"/>
              <w:jc w:val="center"/>
              <w:rPr>
                <w:rFonts w:ascii="Times New Roman" w:eastAsia="Times New Roman" w:hAnsi="Times New Roman" w:cs="Times New Roman"/>
                <w:sz w:val="20"/>
                <w:szCs w:val="20"/>
              </w:rPr>
            </w:pPr>
            <w:r w:rsidRPr="00C73849">
              <w:rPr>
                <w:rFonts w:ascii="Times New Roman"/>
                <w:sz w:val="20"/>
              </w:rPr>
              <w:t>2</w:t>
            </w:r>
          </w:p>
        </w:tc>
      </w:tr>
      <w:tr w:rsidR="00957F89" w:rsidRPr="00C73849" w14:paraId="4CF647A3" w14:textId="77777777">
        <w:trPr>
          <w:trHeight w:hRule="exact" w:val="240"/>
        </w:trPr>
        <w:tc>
          <w:tcPr>
            <w:tcW w:w="816" w:type="dxa"/>
            <w:tcBorders>
              <w:top w:val="single" w:sz="5" w:space="0" w:color="000000"/>
              <w:left w:val="single" w:sz="12" w:space="0" w:color="000000"/>
              <w:bottom w:val="single" w:sz="5" w:space="0" w:color="000000"/>
              <w:right w:val="single" w:sz="5" w:space="0" w:color="000000"/>
            </w:tcBorders>
          </w:tcPr>
          <w:p w14:paraId="273FEC5A" w14:textId="77777777" w:rsidR="00957F89" w:rsidRPr="00C73849" w:rsidRDefault="00D92D87">
            <w:pPr>
              <w:pStyle w:val="TableParagraph"/>
              <w:spacing w:line="222" w:lineRule="exact"/>
              <w:ind w:right="8"/>
              <w:jc w:val="center"/>
              <w:rPr>
                <w:rFonts w:ascii="Times New Roman" w:eastAsia="Times New Roman" w:hAnsi="Times New Roman" w:cs="Times New Roman"/>
                <w:sz w:val="20"/>
                <w:szCs w:val="20"/>
              </w:rPr>
            </w:pPr>
            <w:r w:rsidRPr="00C73849">
              <w:rPr>
                <w:rFonts w:ascii="Times New Roman"/>
                <w:sz w:val="20"/>
              </w:rPr>
              <w:t>3</w:t>
            </w:r>
          </w:p>
        </w:tc>
        <w:tc>
          <w:tcPr>
            <w:tcW w:w="1277" w:type="dxa"/>
            <w:tcBorders>
              <w:top w:val="single" w:sz="5" w:space="0" w:color="000000"/>
              <w:left w:val="single" w:sz="5" w:space="0" w:color="000000"/>
              <w:bottom w:val="single" w:sz="5" w:space="0" w:color="000000"/>
              <w:right w:val="single" w:sz="5" w:space="0" w:color="000000"/>
            </w:tcBorders>
          </w:tcPr>
          <w:p w14:paraId="5A5AFB28"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0.28</w:t>
            </w:r>
          </w:p>
        </w:tc>
        <w:tc>
          <w:tcPr>
            <w:tcW w:w="1277" w:type="dxa"/>
            <w:tcBorders>
              <w:top w:val="single" w:sz="5" w:space="0" w:color="000000"/>
              <w:left w:val="single" w:sz="5" w:space="0" w:color="000000"/>
              <w:bottom w:val="single" w:sz="5" w:space="0" w:color="000000"/>
              <w:right w:val="single" w:sz="5" w:space="0" w:color="000000"/>
            </w:tcBorders>
          </w:tcPr>
          <w:p w14:paraId="6F620BCA"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20</w:t>
            </w:r>
          </w:p>
        </w:tc>
        <w:tc>
          <w:tcPr>
            <w:tcW w:w="1558" w:type="dxa"/>
            <w:tcBorders>
              <w:top w:val="single" w:sz="5" w:space="0" w:color="000000"/>
              <w:left w:val="single" w:sz="5" w:space="0" w:color="000000"/>
              <w:bottom w:val="single" w:sz="5" w:space="0" w:color="000000"/>
              <w:right w:val="single" w:sz="5" w:space="0" w:color="000000"/>
            </w:tcBorders>
          </w:tcPr>
          <w:p w14:paraId="1F6B318E"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6.3</w:t>
            </w:r>
          </w:p>
        </w:tc>
        <w:tc>
          <w:tcPr>
            <w:tcW w:w="1277" w:type="dxa"/>
            <w:tcBorders>
              <w:top w:val="single" w:sz="5" w:space="0" w:color="000000"/>
              <w:left w:val="single" w:sz="5" w:space="0" w:color="000000"/>
              <w:bottom w:val="single" w:sz="5" w:space="0" w:color="000000"/>
              <w:right w:val="single" w:sz="5" w:space="0" w:color="000000"/>
            </w:tcBorders>
          </w:tcPr>
          <w:p w14:paraId="6E58E116" w14:textId="77777777" w:rsidR="00957F89" w:rsidRPr="00C73849" w:rsidRDefault="00D92D87">
            <w:pPr>
              <w:pStyle w:val="TableParagraph"/>
              <w:spacing w:line="222" w:lineRule="exact"/>
              <w:ind w:right="1"/>
              <w:jc w:val="center"/>
              <w:rPr>
                <w:rFonts w:ascii="Times New Roman" w:eastAsia="Times New Roman" w:hAnsi="Times New Roman" w:cs="Times New Roman"/>
                <w:sz w:val="20"/>
                <w:szCs w:val="20"/>
              </w:rPr>
            </w:pPr>
            <w:r w:rsidRPr="00C73849">
              <w:rPr>
                <w:rFonts w:ascii="Times New Roman"/>
                <w:sz w:val="20"/>
              </w:rPr>
              <w:t>1.3</w:t>
            </w:r>
          </w:p>
        </w:tc>
        <w:tc>
          <w:tcPr>
            <w:tcW w:w="1135" w:type="dxa"/>
            <w:tcBorders>
              <w:top w:val="single" w:sz="5" w:space="0" w:color="000000"/>
              <w:left w:val="single" w:sz="5" w:space="0" w:color="000000"/>
              <w:bottom w:val="single" w:sz="5" w:space="0" w:color="000000"/>
              <w:right w:val="single" w:sz="5" w:space="0" w:color="000000"/>
            </w:tcBorders>
          </w:tcPr>
          <w:p w14:paraId="62BFF44A"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4</w:t>
            </w:r>
          </w:p>
        </w:tc>
        <w:tc>
          <w:tcPr>
            <w:tcW w:w="1416" w:type="dxa"/>
            <w:tcBorders>
              <w:top w:val="single" w:sz="5" w:space="0" w:color="000000"/>
              <w:left w:val="single" w:sz="5" w:space="0" w:color="000000"/>
              <w:bottom w:val="single" w:sz="5" w:space="0" w:color="000000"/>
              <w:right w:val="single" w:sz="12" w:space="0" w:color="000000"/>
            </w:tcBorders>
          </w:tcPr>
          <w:p w14:paraId="790B98EA" w14:textId="77777777" w:rsidR="00957F89" w:rsidRPr="00C73849" w:rsidRDefault="00D92D87">
            <w:pPr>
              <w:pStyle w:val="TableParagraph"/>
              <w:spacing w:line="222" w:lineRule="exact"/>
              <w:ind w:left="9"/>
              <w:jc w:val="center"/>
              <w:rPr>
                <w:rFonts w:ascii="Times New Roman" w:eastAsia="Times New Roman" w:hAnsi="Times New Roman" w:cs="Times New Roman"/>
                <w:sz w:val="20"/>
                <w:szCs w:val="20"/>
              </w:rPr>
            </w:pPr>
            <w:r w:rsidRPr="00C73849">
              <w:rPr>
                <w:rFonts w:ascii="Times New Roman"/>
                <w:sz w:val="20"/>
              </w:rPr>
              <w:t>2</w:t>
            </w:r>
          </w:p>
        </w:tc>
      </w:tr>
      <w:tr w:rsidR="00957F89" w:rsidRPr="00C73849" w14:paraId="36FADF7A" w14:textId="77777777">
        <w:trPr>
          <w:trHeight w:hRule="exact" w:val="240"/>
        </w:trPr>
        <w:tc>
          <w:tcPr>
            <w:tcW w:w="816" w:type="dxa"/>
            <w:tcBorders>
              <w:top w:val="single" w:sz="5" w:space="0" w:color="000000"/>
              <w:left w:val="single" w:sz="12" w:space="0" w:color="000000"/>
              <w:bottom w:val="single" w:sz="5" w:space="0" w:color="000000"/>
              <w:right w:val="single" w:sz="5" w:space="0" w:color="000000"/>
            </w:tcBorders>
          </w:tcPr>
          <w:p w14:paraId="1F271128" w14:textId="77777777" w:rsidR="00957F89" w:rsidRPr="00C73849" w:rsidRDefault="00D92D87">
            <w:pPr>
              <w:pStyle w:val="TableParagraph"/>
              <w:spacing w:line="222" w:lineRule="exact"/>
              <w:ind w:right="8"/>
              <w:jc w:val="center"/>
              <w:rPr>
                <w:rFonts w:ascii="Times New Roman" w:eastAsia="Times New Roman" w:hAnsi="Times New Roman" w:cs="Times New Roman"/>
                <w:sz w:val="20"/>
                <w:szCs w:val="20"/>
              </w:rPr>
            </w:pPr>
            <w:r w:rsidRPr="00C73849">
              <w:rPr>
                <w:rFonts w:ascii="Times New Roman"/>
                <w:sz w:val="20"/>
              </w:rPr>
              <w:t>4</w:t>
            </w:r>
          </w:p>
        </w:tc>
        <w:tc>
          <w:tcPr>
            <w:tcW w:w="1277" w:type="dxa"/>
            <w:tcBorders>
              <w:top w:val="single" w:sz="5" w:space="0" w:color="000000"/>
              <w:left w:val="single" w:sz="5" w:space="0" w:color="000000"/>
              <w:bottom w:val="single" w:sz="5" w:space="0" w:color="000000"/>
              <w:right w:val="single" w:sz="5" w:space="0" w:color="000000"/>
            </w:tcBorders>
          </w:tcPr>
          <w:p w14:paraId="38C9F64F"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0.43</w:t>
            </w:r>
          </w:p>
        </w:tc>
        <w:tc>
          <w:tcPr>
            <w:tcW w:w="1277" w:type="dxa"/>
            <w:tcBorders>
              <w:top w:val="single" w:sz="5" w:space="0" w:color="000000"/>
              <w:left w:val="single" w:sz="5" w:space="0" w:color="000000"/>
              <w:bottom w:val="single" w:sz="5" w:space="0" w:color="000000"/>
              <w:right w:val="single" w:sz="5" w:space="0" w:color="000000"/>
            </w:tcBorders>
          </w:tcPr>
          <w:p w14:paraId="36FB192E"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30</w:t>
            </w:r>
          </w:p>
        </w:tc>
        <w:tc>
          <w:tcPr>
            <w:tcW w:w="1558" w:type="dxa"/>
            <w:tcBorders>
              <w:top w:val="single" w:sz="5" w:space="0" w:color="000000"/>
              <w:left w:val="single" w:sz="5" w:space="0" w:color="000000"/>
              <w:bottom w:val="single" w:sz="5" w:space="0" w:color="000000"/>
              <w:right w:val="single" w:sz="5" w:space="0" w:color="000000"/>
            </w:tcBorders>
          </w:tcPr>
          <w:p w14:paraId="5A01C370"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9.4</w:t>
            </w:r>
          </w:p>
        </w:tc>
        <w:tc>
          <w:tcPr>
            <w:tcW w:w="1277" w:type="dxa"/>
            <w:tcBorders>
              <w:top w:val="single" w:sz="5" w:space="0" w:color="000000"/>
              <w:left w:val="single" w:sz="5" w:space="0" w:color="000000"/>
              <w:bottom w:val="single" w:sz="5" w:space="0" w:color="000000"/>
              <w:right w:val="single" w:sz="5" w:space="0" w:color="000000"/>
            </w:tcBorders>
          </w:tcPr>
          <w:p w14:paraId="10B395B4" w14:textId="77777777" w:rsidR="00957F89" w:rsidRPr="00C73849" w:rsidRDefault="00D92D87">
            <w:pPr>
              <w:pStyle w:val="TableParagraph"/>
              <w:spacing w:line="222" w:lineRule="exact"/>
              <w:ind w:right="1"/>
              <w:jc w:val="center"/>
              <w:rPr>
                <w:rFonts w:ascii="Times New Roman" w:eastAsia="Times New Roman" w:hAnsi="Times New Roman" w:cs="Times New Roman"/>
                <w:sz w:val="20"/>
                <w:szCs w:val="20"/>
              </w:rPr>
            </w:pPr>
            <w:r w:rsidRPr="00C73849">
              <w:rPr>
                <w:rFonts w:ascii="Times New Roman"/>
                <w:sz w:val="20"/>
              </w:rPr>
              <w:t>2.0</w:t>
            </w:r>
          </w:p>
        </w:tc>
        <w:tc>
          <w:tcPr>
            <w:tcW w:w="1135" w:type="dxa"/>
            <w:tcBorders>
              <w:top w:val="single" w:sz="5" w:space="0" w:color="000000"/>
              <w:left w:val="single" w:sz="5" w:space="0" w:color="000000"/>
              <w:bottom w:val="single" w:sz="5" w:space="0" w:color="000000"/>
              <w:right w:val="single" w:sz="5" w:space="0" w:color="000000"/>
            </w:tcBorders>
          </w:tcPr>
          <w:p w14:paraId="5482D116"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4</w:t>
            </w:r>
          </w:p>
        </w:tc>
        <w:tc>
          <w:tcPr>
            <w:tcW w:w="1416" w:type="dxa"/>
            <w:tcBorders>
              <w:top w:val="single" w:sz="5" w:space="0" w:color="000000"/>
              <w:left w:val="single" w:sz="5" w:space="0" w:color="000000"/>
              <w:bottom w:val="single" w:sz="5" w:space="0" w:color="000000"/>
              <w:right w:val="single" w:sz="12" w:space="0" w:color="000000"/>
            </w:tcBorders>
          </w:tcPr>
          <w:p w14:paraId="399C29C3" w14:textId="77777777" w:rsidR="00957F89" w:rsidRPr="00C73849" w:rsidRDefault="00D92D87">
            <w:pPr>
              <w:pStyle w:val="TableParagraph"/>
              <w:spacing w:line="222" w:lineRule="exact"/>
              <w:ind w:left="9"/>
              <w:jc w:val="center"/>
              <w:rPr>
                <w:rFonts w:ascii="Times New Roman" w:eastAsia="Times New Roman" w:hAnsi="Times New Roman" w:cs="Times New Roman"/>
                <w:sz w:val="20"/>
                <w:szCs w:val="20"/>
              </w:rPr>
            </w:pPr>
            <w:r w:rsidRPr="00C73849">
              <w:rPr>
                <w:rFonts w:ascii="Times New Roman"/>
                <w:sz w:val="20"/>
              </w:rPr>
              <w:t>2</w:t>
            </w:r>
          </w:p>
        </w:tc>
      </w:tr>
      <w:tr w:rsidR="00957F89" w:rsidRPr="00C73849" w14:paraId="3323683B" w14:textId="77777777">
        <w:trPr>
          <w:trHeight w:hRule="exact" w:val="240"/>
        </w:trPr>
        <w:tc>
          <w:tcPr>
            <w:tcW w:w="816" w:type="dxa"/>
            <w:tcBorders>
              <w:top w:val="single" w:sz="5" w:space="0" w:color="000000"/>
              <w:left w:val="single" w:sz="12" w:space="0" w:color="000000"/>
              <w:bottom w:val="single" w:sz="5" w:space="0" w:color="000000"/>
              <w:right w:val="single" w:sz="5" w:space="0" w:color="000000"/>
            </w:tcBorders>
          </w:tcPr>
          <w:p w14:paraId="515C29A8" w14:textId="77777777" w:rsidR="00957F89" w:rsidRPr="00C73849" w:rsidRDefault="00D92D87">
            <w:pPr>
              <w:pStyle w:val="TableParagraph"/>
              <w:spacing w:line="222" w:lineRule="exact"/>
              <w:ind w:right="8"/>
              <w:jc w:val="center"/>
              <w:rPr>
                <w:rFonts w:ascii="Times New Roman" w:eastAsia="Times New Roman" w:hAnsi="Times New Roman" w:cs="Times New Roman"/>
                <w:sz w:val="20"/>
                <w:szCs w:val="20"/>
              </w:rPr>
            </w:pPr>
            <w:r w:rsidRPr="00C73849">
              <w:rPr>
                <w:rFonts w:ascii="Times New Roman"/>
                <w:sz w:val="20"/>
              </w:rPr>
              <w:t>5</w:t>
            </w:r>
          </w:p>
        </w:tc>
        <w:tc>
          <w:tcPr>
            <w:tcW w:w="1277" w:type="dxa"/>
            <w:tcBorders>
              <w:top w:val="single" w:sz="5" w:space="0" w:color="000000"/>
              <w:left w:val="single" w:sz="5" w:space="0" w:color="000000"/>
              <w:bottom w:val="single" w:sz="5" w:space="0" w:color="000000"/>
              <w:right w:val="single" w:sz="5" w:space="0" w:color="000000"/>
            </w:tcBorders>
          </w:tcPr>
          <w:p w14:paraId="57B6DFCE"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0.57</w:t>
            </w:r>
          </w:p>
        </w:tc>
        <w:tc>
          <w:tcPr>
            <w:tcW w:w="1277" w:type="dxa"/>
            <w:tcBorders>
              <w:top w:val="single" w:sz="5" w:space="0" w:color="000000"/>
              <w:left w:val="single" w:sz="5" w:space="0" w:color="000000"/>
              <w:bottom w:val="single" w:sz="5" w:space="0" w:color="000000"/>
              <w:right w:val="single" w:sz="5" w:space="0" w:color="000000"/>
            </w:tcBorders>
          </w:tcPr>
          <w:p w14:paraId="1DB4D082"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40</w:t>
            </w:r>
          </w:p>
        </w:tc>
        <w:tc>
          <w:tcPr>
            <w:tcW w:w="1558" w:type="dxa"/>
            <w:tcBorders>
              <w:top w:val="single" w:sz="5" w:space="0" w:color="000000"/>
              <w:left w:val="single" w:sz="5" w:space="0" w:color="000000"/>
              <w:bottom w:val="single" w:sz="5" w:space="0" w:color="000000"/>
              <w:right w:val="single" w:sz="5" w:space="0" w:color="000000"/>
            </w:tcBorders>
          </w:tcPr>
          <w:p w14:paraId="3CAFC991"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12.6</w:t>
            </w:r>
          </w:p>
        </w:tc>
        <w:tc>
          <w:tcPr>
            <w:tcW w:w="1277" w:type="dxa"/>
            <w:tcBorders>
              <w:top w:val="single" w:sz="5" w:space="0" w:color="000000"/>
              <w:left w:val="single" w:sz="5" w:space="0" w:color="000000"/>
              <w:bottom w:val="single" w:sz="5" w:space="0" w:color="000000"/>
              <w:right w:val="single" w:sz="5" w:space="0" w:color="000000"/>
            </w:tcBorders>
          </w:tcPr>
          <w:p w14:paraId="3ED49E50" w14:textId="77777777" w:rsidR="00957F89" w:rsidRPr="00C73849" w:rsidRDefault="00D92D87">
            <w:pPr>
              <w:pStyle w:val="TableParagraph"/>
              <w:spacing w:line="222" w:lineRule="exact"/>
              <w:ind w:right="1"/>
              <w:jc w:val="center"/>
              <w:rPr>
                <w:rFonts w:ascii="Times New Roman" w:eastAsia="Times New Roman" w:hAnsi="Times New Roman" w:cs="Times New Roman"/>
                <w:sz w:val="20"/>
                <w:szCs w:val="20"/>
              </w:rPr>
            </w:pPr>
            <w:r w:rsidRPr="00C73849">
              <w:rPr>
                <w:rFonts w:ascii="Times New Roman"/>
                <w:sz w:val="20"/>
              </w:rPr>
              <w:t>2.6</w:t>
            </w:r>
          </w:p>
        </w:tc>
        <w:tc>
          <w:tcPr>
            <w:tcW w:w="1135" w:type="dxa"/>
            <w:tcBorders>
              <w:top w:val="single" w:sz="5" w:space="0" w:color="000000"/>
              <w:left w:val="single" w:sz="5" w:space="0" w:color="000000"/>
              <w:bottom w:val="single" w:sz="5" w:space="0" w:color="000000"/>
              <w:right w:val="single" w:sz="5" w:space="0" w:color="000000"/>
            </w:tcBorders>
          </w:tcPr>
          <w:p w14:paraId="7DCA2658"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4</w:t>
            </w:r>
          </w:p>
        </w:tc>
        <w:tc>
          <w:tcPr>
            <w:tcW w:w="1416" w:type="dxa"/>
            <w:tcBorders>
              <w:top w:val="single" w:sz="5" w:space="0" w:color="000000"/>
              <w:left w:val="single" w:sz="5" w:space="0" w:color="000000"/>
              <w:bottom w:val="single" w:sz="5" w:space="0" w:color="000000"/>
              <w:right w:val="single" w:sz="12" w:space="0" w:color="000000"/>
            </w:tcBorders>
          </w:tcPr>
          <w:p w14:paraId="4F2E0284" w14:textId="77777777" w:rsidR="00957F89" w:rsidRPr="00C73849" w:rsidRDefault="00D92D87">
            <w:pPr>
              <w:pStyle w:val="TableParagraph"/>
              <w:spacing w:line="222" w:lineRule="exact"/>
              <w:ind w:left="9"/>
              <w:jc w:val="center"/>
              <w:rPr>
                <w:rFonts w:ascii="Times New Roman" w:eastAsia="Times New Roman" w:hAnsi="Times New Roman" w:cs="Times New Roman"/>
                <w:sz w:val="20"/>
                <w:szCs w:val="20"/>
              </w:rPr>
            </w:pPr>
            <w:r w:rsidRPr="00C73849">
              <w:rPr>
                <w:rFonts w:ascii="Times New Roman"/>
                <w:sz w:val="20"/>
              </w:rPr>
              <w:t>2</w:t>
            </w:r>
          </w:p>
        </w:tc>
      </w:tr>
      <w:tr w:rsidR="00957F89" w:rsidRPr="00C73849" w14:paraId="7FF10C6F" w14:textId="77777777">
        <w:trPr>
          <w:trHeight w:hRule="exact" w:val="250"/>
        </w:trPr>
        <w:tc>
          <w:tcPr>
            <w:tcW w:w="816" w:type="dxa"/>
            <w:tcBorders>
              <w:top w:val="single" w:sz="5" w:space="0" w:color="000000"/>
              <w:left w:val="single" w:sz="12" w:space="0" w:color="000000"/>
              <w:bottom w:val="single" w:sz="12" w:space="0" w:color="000000"/>
              <w:right w:val="single" w:sz="5" w:space="0" w:color="000000"/>
            </w:tcBorders>
          </w:tcPr>
          <w:p w14:paraId="706276F2" w14:textId="77777777" w:rsidR="00957F89" w:rsidRPr="00C73849" w:rsidRDefault="00D92D87">
            <w:pPr>
              <w:pStyle w:val="TableParagraph"/>
              <w:spacing w:line="222" w:lineRule="exact"/>
              <w:ind w:right="8"/>
              <w:jc w:val="center"/>
              <w:rPr>
                <w:rFonts w:ascii="Times New Roman" w:eastAsia="Times New Roman" w:hAnsi="Times New Roman" w:cs="Times New Roman"/>
                <w:sz w:val="20"/>
                <w:szCs w:val="20"/>
              </w:rPr>
            </w:pPr>
            <w:r w:rsidRPr="00C73849">
              <w:rPr>
                <w:rFonts w:ascii="Times New Roman"/>
                <w:sz w:val="20"/>
              </w:rPr>
              <w:t>6</w:t>
            </w:r>
          </w:p>
        </w:tc>
        <w:tc>
          <w:tcPr>
            <w:tcW w:w="1277" w:type="dxa"/>
            <w:tcBorders>
              <w:top w:val="single" w:sz="5" w:space="0" w:color="000000"/>
              <w:left w:val="single" w:sz="5" w:space="0" w:color="000000"/>
              <w:bottom w:val="single" w:sz="12" w:space="0" w:color="000000"/>
              <w:right w:val="single" w:sz="5" w:space="0" w:color="000000"/>
            </w:tcBorders>
          </w:tcPr>
          <w:p w14:paraId="0C7A281D"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0.43</w:t>
            </w:r>
          </w:p>
        </w:tc>
        <w:tc>
          <w:tcPr>
            <w:tcW w:w="1277" w:type="dxa"/>
            <w:tcBorders>
              <w:top w:val="single" w:sz="5" w:space="0" w:color="000000"/>
              <w:left w:val="single" w:sz="5" w:space="0" w:color="000000"/>
              <w:bottom w:val="single" w:sz="12" w:space="0" w:color="000000"/>
              <w:right w:val="single" w:sz="5" w:space="0" w:color="000000"/>
            </w:tcBorders>
          </w:tcPr>
          <w:p w14:paraId="4561A04D"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30</w:t>
            </w:r>
          </w:p>
        </w:tc>
        <w:tc>
          <w:tcPr>
            <w:tcW w:w="1558" w:type="dxa"/>
            <w:tcBorders>
              <w:top w:val="single" w:sz="5" w:space="0" w:color="000000"/>
              <w:left w:val="single" w:sz="5" w:space="0" w:color="000000"/>
              <w:bottom w:val="single" w:sz="12" w:space="0" w:color="000000"/>
              <w:right w:val="single" w:sz="5" w:space="0" w:color="000000"/>
            </w:tcBorders>
          </w:tcPr>
          <w:p w14:paraId="4D4F738D"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9.4</w:t>
            </w:r>
          </w:p>
        </w:tc>
        <w:tc>
          <w:tcPr>
            <w:tcW w:w="1277" w:type="dxa"/>
            <w:tcBorders>
              <w:top w:val="single" w:sz="5" w:space="0" w:color="000000"/>
              <w:left w:val="single" w:sz="5" w:space="0" w:color="000000"/>
              <w:bottom w:val="single" w:sz="12" w:space="0" w:color="000000"/>
              <w:right w:val="single" w:sz="5" w:space="0" w:color="000000"/>
            </w:tcBorders>
          </w:tcPr>
          <w:p w14:paraId="7C10D04B" w14:textId="77777777" w:rsidR="00957F89" w:rsidRPr="00C73849" w:rsidRDefault="00D92D87">
            <w:pPr>
              <w:pStyle w:val="TableParagraph"/>
              <w:spacing w:line="222" w:lineRule="exact"/>
              <w:ind w:right="1"/>
              <w:jc w:val="center"/>
              <w:rPr>
                <w:rFonts w:ascii="Times New Roman" w:eastAsia="Times New Roman" w:hAnsi="Times New Roman" w:cs="Times New Roman"/>
                <w:sz w:val="20"/>
                <w:szCs w:val="20"/>
              </w:rPr>
            </w:pPr>
            <w:r w:rsidRPr="00C73849">
              <w:rPr>
                <w:rFonts w:ascii="Times New Roman"/>
                <w:sz w:val="20"/>
              </w:rPr>
              <w:t>2.0</w:t>
            </w:r>
          </w:p>
        </w:tc>
        <w:tc>
          <w:tcPr>
            <w:tcW w:w="1135" w:type="dxa"/>
            <w:tcBorders>
              <w:top w:val="single" w:sz="5" w:space="0" w:color="000000"/>
              <w:left w:val="single" w:sz="5" w:space="0" w:color="000000"/>
              <w:bottom w:val="single" w:sz="12" w:space="0" w:color="000000"/>
              <w:right w:val="single" w:sz="5" w:space="0" w:color="000000"/>
            </w:tcBorders>
          </w:tcPr>
          <w:p w14:paraId="2C13D8EA"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4</w:t>
            </w:r>
          </w:p>
        </w:tc>
        <w:tc>
          <w:tcPr>
            <w:tcW w:w="1416" w:type="dxa"/>
            <w:tcBorders>
              <w:top w:val="single" w:sz="5" w:space="0" w:color="000000"/>
              <w:left w:val="single" w:sz="5" w:space="0" w:color="000000"/>
              <w:bottom w:val="single" w:sz="12" w:space="0" w:color="000000"/>
              <w:right w:val="single" w:sz="12" w:space="0" w:color="000000"/>
            </w:tcBorders>
          </w:tcPr>
          <w:p w14:paraId="107552AA" w14:textId="77777777" w:rsidR="00957F89" w:rsidRPr="00C73849" w:rsidRDefault="00D92D87">
            <w:pPr>
              <w:pStyle w:val="TableParagraph"/>
              <w:spacing w:line="222" w:lineRule="exact"/>
              <w:ind w:left="9"/>
              <w:jc w:val="center"/>
              <w:rPr>
                <w:rFonts w:ascii="Times New Roman" w:eastAsia="Times New Roman" w:hAnsi="Times New Roman" w:cs="Times New Roman"/>
                <w:sz w:val="20"/>
                <w:szCs w:val="20"/>
              </w:rPr>
            </w:pPr>
            <w:r w:rsidRPr="00C73849">
              <w:rPr>
                <w:rFonts w:ascii="Times New Roman"/>
                <w:sz w:val="20"/>
              </w:rPr>
              <w:t>2</w:t>
            </w:r>
          </w:p>
        </w:tc>
      </w:tr>
    </w:tbl>
    <w:p w14:paraId="5D7705DE" w14:textId="77777777" w:rsidR="00957F89" w:rsidRPr="00C73849" w:rsidRDefault="00D92D87">
      <w:pPr>
        <w:spacing w:line="213" w:lineRule="exact"/>
        <w:ind w:left="222"/>
        <w:rPr>
          <w:rFonts w:ascii="Times New Roman" w:eastAsia="Times New Roman" w:hAnsi="Times New Roman" w:cs="Times New Roman"/>
          <w:sz w:val="20"/>
          <w:szCs w:val="20"/>
        </w:rPr>
      </w:pPr>
      <w:proofErr w:type="spellStart"/>
      <w:r w:rsidRPr="00C73849">
        <w:rPr>
          <w:rFonts w:ascii="Times New Roman"/>
          <w:sz w:val="20"/>
        </w:rPr>
        <w:t>bw</w:t>
      </w:r>
      <w:proofErr w:type="spellEnd"/>
      <w:r w:rsidRPr="00C73849">
        <w:rPr>
          <w:rFonts w:ascii="Times New Roman"/>
          <w:sz w:val="20"/>
        </w:rPr>
        <w:t xml:space="preserve"> = body weight; w/v = weight in volume; EPA = electron paramagnetic agent.</w:t>
      </w:r>
    </w:p>
    <w:p w14:paraId="3A29061E" w14:textId="77777777" w:rsidR="00957F89" w:rsidRPr="00C73849" w:rsidRDefault="00D92D87">
      <w:pPr>
        <w:spacing w:line="243" w:lineRule="exact"/>
        <w:ind w:left="222"/>
        <w:rPr>
          <w:rFonts w:ascii="Times New Roman" w:eastAsia="Times New Roman" w:hAnsi="Times New Roman" w:cs="Times New Roman"/>
          <w:sz w:val="20"/>
          <w:szCs w:val="20"/>
        </w:rPr>
      </w:pPr>
      <w:proofErr w:type="spellStart"/>
      <w:r w:rsidRPr="00C73849">
        <w:rPr>
          <w:rFonts w:ascii="Times New Roman"/>
          <w:b/>
          <w:position w:val="9"/>
          <w:sz w:val="13"/>
        </w:rPr>
        <w:t>a</w:t>
      </w:r>
      <w:proofErr w:type="spellEnd"/>
      <w:r w:rsidRPr="00C73849">
        <w:rPr>
          <w:rFonts w:ascii="Times New Roman"/>
          <w:sz w:val="20"/>
        </w:rPr>
        <w:t>equivalent volume of saline: Sodium Chloride Solution for Infusion (0.9% w/v).</w:t>
      </w:r>
    </w:p>
    <w:p w14:paraId="52DC7906" w14:textId="77777777" w:rsidR="00957F89" w:rsidRPr="00C73849" w:rsidRDefault="00957F89">
      <w:pPr>
        <w:rPr>
          <w:rFonts w:ascii="Times New Roman" w:eastAsia="Times New Roman" w:hAnsi="Times New Roman" w:cs="Times New Roman"/>
          <w:sz w:val="20"/>
          <w:szCs w:val="20"/>
        </w:rPr>
      </w:pPr>
    </w:p>
    <w:p w14:paraId="6F1BC9FF" w14:textId="77777777" w:rsidR="00957F89" w:rsidRPr="00C73849" w:rsidRDefault="00957F89">
      <w:pPr>
        <w:spacing w:before="11"/>
        <w:rPr>
          <w:rFonts w:ascii="Times New Roman" w:eastAsia="Times New Roman" w:hAnsi="Times New Roman" w:cs="Times New Roman"/>
          <w:sz w:val="18"/>
          <w:szCs w:val="18"/>
        </w:rPr>
      </w:pPr>
    </w:p>
    <w:p w14:paraId="18212E48" w14:textId="77777777" w:rsidR="00957F89" w:rsidRPr="00C73849" w:rsidRDefault="00D92D87" w:rsidP="00B90474">
      <w:pPr>
        <w:keepNext/>
        <w:spacing w:before="69"/>
        <w:ind w:left="222"/>
        <w:rPr>
          <w:rFonts w:ascii="Times New Roman" w:eastAsia="Times New Roman" w:hAnsi="Times New Roman" w:cs="Times New Roman"/>
          <w:sz w:val="24"/>
          <w:szCs w:val="24"/>
        </w:rPr>
      </w:pPr>
      <w:r w:rsidRPr="00C73849">
        <w:rPr>
          <w:rFonts w:ascii="Times New Roman"/>
          <w:b/>
          <w:sz w:val="24"/>
        </w:rPr>
        <w:lastRenderedPageBreak/>
        <w:t>Demographics</w:t>
      </w:r>
    </w:p>
    <w:p w14:paraId="4BF93056" w14:textId="77777777" w:rsidR="00957F89" w:rsidRPr="00C73849" w:rsidRDefault="00957F89" w:rsidP="00B90474">
      <w:pPr>
        <w:keepNext/>
        <w:spacing w:before="4"/>
        <w:rPr>
          <w:rFonts w:ascii="Times New Roman" w:eastAsia="Times New Roman" w:hAnsi="Times New Roman" w:cs="Times New Roman"/>
          <w:b/>
          <w:bCs/>
          <w:sz w:val="31"/>
          <w:szCs w:val="31"/>
        </w:rPr>
      </w:pPr>
    </w:p>
    <w:p w14:paraId="31C02537" w14:textId="77777777" w:rsidR="00957F89" w:rsidRPr="00C73849" w:rsidRDefault="00D92D87" w:rsidP="00B90474">
      <w:pPr>
        <w:keepNext/>
        <w:ind w:left="222"/>
        <w:rPr>
          <w:rFonts w:ascii="Times New Roman" w:eastAsia="Times New Roman" w:hAnsi="Times New Roman" w:cs="Times New Roman"/>
          <w:sz w:val="24"/>
          <w:szCs w:val="24"/>
        </w:rPr>
      </w:pPr>
      <w:r w:rsidRPr="00C73849">
        <w:rPr>
          <w:rFonts w:ascii="Times New Roman"/>
          <w:b/>
          <w:sz w:val="24"/>
        </w:rPr>
        <w:t>Summary Statistics for Baseline Demographic Characteristics by Treatment Group</w:t>
      </w:r>
    </w:p>
    <w:p w14:paraId="33607DE2" w14:textId="77777777" w:rsidR="00957F89" w:rsidRPr="00C73849" w:rsidRDefault="00957F89" w:rsidP="00B90474">
      <w:pPr>
        <w:keepNext/>
        <w:spacing w:before="7"/>
        <w:rPr>
          <w:rFonts w:ascii="Times New Roman" w:eastAsia="Times New Roman" w:hAnsi="Times New Roman" w:cs="Times New Roman"/>
          <w:b/>
          <w:bCs/>
          <w:sz w:val="10"/>
          <w:szCs w:val="10"/>
        </w:rPr>
      </w:pPr>
    </w:p>
    <w:tbl>
      <w:tblPr>
        <w:tblW w:w="0" w:type="auto"/>
        <w:tblInd w:w="99" w:type="dxa"/>
        <w:tblLayout w:type="fixed"/>
        <w:tblCellMar>
          <w:left w:w="0" w:type="dxa"/>
          <w:right w:w="0" w:type="dxa"/>
        </w:tblCellMar>
        <w:tblLook w:val="01E0" w:firstRow="1" w:lastRow="1" w:firstColumn="1" w:lastColumn="1" w:noHBand="0" w:noVBand="0"/>
      </w:tblPr>
      <w:tblGrid>
        <w:gridCol w:w="960"/>
        <w:gridCol w:w="1699"/>
        <w:gridCol w:w="1049"/>
        <w:gridCol w:w="1051"/>
        <w:gridCol w:w="1049"/>
        <w:gridCol w:w="1049"/>
        <w:gridCol w:w="1049"/>
        <w:gridCol w:w="1133"/>
      </w:tblGrid>
      <w:tr w:rsidR="00957F89" w:rsidRPr="00C73849" w14:paraId="0569FFC1" w14:textId="77777777">
        <w:trPr>
          <w:trHeight w:hRule="exact" w:val="240"/>
        </w:trPr>
        <w:tc>
          <w:tcPr>
            <w:tcW w:w="2659" w:type="dxa"/>
            <w:gridSpan w:val="2"/>
            <w:vMerge w:val="restart"/>
            <w:tcBorders>
              <w:top w:val="single" w:sz="5" w:space="0" w:color="000000"/>
              <w:left w:val="single" w:sz="12" w:space="0" w:color="000000"/>
              <w:right w:val="single" w:sz="5" w:space="0" w:color="000000"/>
            </w:tcBorders>
          </w:tcPr>
          <w:p w14:paraId="17CA04D8" w14:textId="77777777" w:rsidR="00957F89" w:rsidRPr="00C73849" w:rsidRDefault="00957F89" w:rsidP="00B90474">
            <w:pPr>
              <w:pStyle w:val="TableParagraph"/>
              <w:keepNext/>
              <w:rPr>
                <w:rFonts w:ascii="Times New Roman" w:eastAsia="Times New Roman" w:hAnsi="Times New Roman" w:cs="Times New Roman"/>
                <w:b/>
                <w:bCs/>
                <w:sz w:val="20"/>
                <w:szCs w:val="20"/>
              </w:rPr>
            </w:pPr>
          </w:p>
          <w:p w14:paraId="3C289FB8" w14:textId="77777777" w:rsidR="00957F89" w:rsidRPr="00C73849" w:rsidRDefault="00957F89" w:rsidP="00B90474">
            <w:pPr>
              <w:pStyle w:val="TableParagraph"/>
              <w:keepNext/>
              <w:rPr>
                <w:rFonts w:ascii="Times New Roman" w:eastAsia="Times New Roman" w:hAnsi="Times New Roman" w:cs="Times New Roman"/>
                <w:b/>
                <w:bCs/>
                <w:sz w:val="20"/>
                <w:szCs w:val="20"/>
              </w:rPr>
            </w:pPr>
          </w:p>
          <w:p w14:paraId="7D843A18" w14:textId="77777777" w:rsidR="00957F89" w:rsidRPr="00C73849" w:rsidRDefault="00957F89" w:rsidP="00B90474">
            <w:pPr>
              <w:pStyle w:val="TableParagraph"/>
              <w:keepNext/>
              <w:rPr>
                <w:rFonts w:ascii="Times New Roman" w:eastAsia="Times New Roman" w:hAnsi="Times New Roman" w:cs="Times New Roman"/>
                <w:b/>
                <w:bCs/>
                <w:sz w:val="20"/>
                <w:szCs w:val="20"/>
              </w:rPr>
            </w:pPr>
          </w:p>
          <w:p w14:paraId="54B5AC45" w14:textId="77777777" w:rsidR="00957F89" w:rsidRPr="00C73849" w:rsidRDefault="00957F89" w:rsidP="00B90474">
            <w:pPr>
              <w:pStyle w:val="TableParagraph"/>
              <w:keepNext/>
              <w:spacing w:before="8"/>
              <w:rPr>
                <w:rFonts w:ascii="Times New Roman" w:eastAsia="Times New Roman" w:hAnsi="Times New Roman" w:cs="Times New Roman"/>
                <w:b/>
                <w:bCs/>
                <w:sz w:val="20"/>
                <w:szCs w:val="20"/>
              </w:rPr>
            </w:pPr>
          </w:p>
          <w:p w14:paraId="589EAF27" w14:textId="77777777" w:rsidR="00957F89" w:rsidRPr="00C73849" w:rsidRDefault="00D92D87" w:rsidP="00B90474">
            <w:pPr>
              <w:pStyle w:val="TableParagraph"/>
              <w:keepNext/>
              <w:ind w:right="7"/>
              <w:jc w:val="center"/>
              <w:rPr>
                <w:rFonts w:ascii="Times New Roman" w:eastAsia="Times New Roman" w:hAnsi="Times New Roman" w:cs="Times New Roman"/>
                <w:sz w:val="20"/>
                <w:szCs w:val="20"/>
              </w:rPr>
            </w:pPr>
            <w:r w:rsidRPr="00C73849">
              <w:rPr>
                <w:rFonts w:ascii="Times New Roman"/>
                <w:b/>
                <w:sz w:val="20"/>
              </w:rPr>
              <w:t>Variable</w:t>
            </w:r>
          </w:p>
        </w:tc>
        <w:tc>
          <w:tcPr>
            <w:tcW w:w="6379" w:type="dxa"/>
            <w:gridSpan w:val="6"/>
            <w:tcBorders>
              <w:top w:val="single" w:sz="5" w:space="0" w:color="000000"/>
              <w:left w:val="single" w:sz="5" w:space="0" w:color="000000"/>
              <w:bottom w:val="single" w:sz="5" w:space="0" w:color="000000"/>
              <w:right w:val="single" w:sz="12" w:space="0" w:color="000000"/>
            </w:tcBorders>
          </w:tcPr>
          <w:p w14:paraId="5AB24E12" w14:textId="77777777" w:rsidR="00957F89" w:rsidRPr="00C73849" w:rsidRDefault="00D92D87" w:rsidP="00B90474">
            <w:pPr>
              <w:pStyle w:val="TableParagraph"/>
              <w:keepNext/>
              <w:spacing w:line="227" w:lineRule="exact"/>
              <w:ind w:left="7"/>
              <w:jc w:val="center"/>
              <w:rPr>
                <w:rFonts w:ascii="Times New Roman" w:eastAsia="Times New Roman" w:hAnsi="Times New Roman" w:cs="Times New Roman"/>
                <w:sz w:val="20"/>
                <w:szCs w:val="20"/>
              </w:rPr>
            </w:pPr>
            <w:r w:rsidRPr="00C73849">
              <w:rPr>
                <w:rFonts w:ascii="Times New Roman"/>
                <w:b/>
                <w:sz w:val="20"/>
              </w:rPr>
              <w:t>Dose Group</w:t>
            </w:r>
          </w:p>
        </w:tc>
      </w:tr>
      <w:tr w:rsidR="00957F89" w:rsidRPr="00C73849" w14:paraId="1B443045" w14:textId="77777777">
        <w:trPr>
          <w:trHeight w:hRule="exact" w:val="240"/>
        </w:trPr>
        <w:tc>
          <w:tcPr>
            <w:tcW w:w="2659" w:type="dxa"/>
            <w:gridSpan w:val="2"/>
            <w:vMerge/>
            <w:tcBorders>
              <w:left w:val="single" w:sz="12" w:space="0" w:color="000000"/>
              <w:right w:val="single" w:sz="5" w:space="0" w:color="000000"/>
            </w:tcBorders>
          </w:tcPr>
          <w:p w14:paraId="4E854237" w14:textId="77777777" w:rsidR="00957F89" w:rsidRPr="00C73849" w:rsidRDefault="00957F89" w:rsidP="00B90474">
            <w:pPr>
              <w:keepNext/>
            </w:pPr>
          </w:p>
        </w:tc>
        <w:tc>
          <w:tcPr>
            <w:tcW w:w="5246" w:type="dxa"/>
            <w:gridSpan w:val="5"/>
            <w:tcBorders>
              <w:top w:val="single" w:sz="5" w:space="0" w:color="000000"/>
              <w:left w:val="single" w:sz="5" w:space="0" w:color="000000"/>
              <w:bottom w:val="single" w:sz="5" w:space="0" w:color="000000"/>
              <w:right w:val="single" w:sz="5" w:space="0" w:color="000000"/>
            </w:tcBorders>
          </w:tcPr>
          <w:p w14:paraId="694A0D2C" w14:textId="77777777" w:rsidR="00957F89" w:rsidRPr="00C73849" w:rsidRDefault="00D92D87" w:rsidP="00B90474">
            <w:pPr>
              <w:pStyle w:val="TableParagraph"/>
              <w:keepNext/>
              <w:spacing w:line="227" w:lineRule="exact"/>
              <w:ind w:right="1"/>
              <w:jc w:val="center"/>
              <w:rPr>
                <w:rFonts w:ascii="Times New Roman" w:eastAsia="Times New Roman" w:hAnsi="Times New Roman" w:cs="Times New Roman"/>
                <w:sz w:val="20"/>
                <w:szCs w:val="20"/>
              </w:rPr>
            </w:pPr>
            <w:r w:rsidRPr="00C73849">
              <w:rPr>
                <w:rFonts w:ascii="Times New Roman"/>
                <w:b/>
                <w:sz w:val="20"/>
              </w:rPr>
              <w:t>Pyruvate Injection</w:t>
            </w:r>
          </w:p>
        </w:tc>
        <w:tc>
          <w:tcPr>
            <w:tcW w:w="1133" w:type="dxa"/>
            <w:vMerge w:val="restart"/>
            <w:tcBorders>
              <w:top w:val="single" w:sz="5" w:space="0" w:color="000000"/>
              <w:left w:val="single" w:sz="5" w:space="0" w:color="000000"/>
              <w:right w:val="single" w:sz="12" w:space="0" w:color="000000"/>
            </w:tcBorders>
          </w:tcPr>
          <w:p w14:paraId="58E83EFA" w14:textId="77777777" w:rsidR="00957F89" w:rsidRPr="00C73849" w:rsidRDefault="00957F89" w:rsidP="00B90474">
            <w:pPr>
              <w:pStyle w:val="TableParagraph"/>
              <w:keepNext/>
              <w:rPr>
                <w:rFonts w:ascii="Times New Roman" w:eastAsia="Times New Roman" w:hAnsi="Times New Roman" w:cs="Times New Roman"/>
                <w:b/>
                <w:bCs/>
                <w:sz w:val="20"/>
                <w:szCs w:val="20"/>
              </w:rPr>
            </w:pPr>
          </w:p>
          <w:p w14:paraId="60C4EF89" w14:textId="77777777" w:rsidR="00957F89" w:rsidRPr="00C73849" w:rsidRDefault="00957F89" w:rsidP="00B90474">
            <w:pPr>
              <w:pStyle w:val="TableParagraph"/>
              <w:keepNext/>
              <w:spacing w:before="10"/>
              <w:rPr>
                <w:rFonts w:ascii="Times New Roman" w:eastAsia="Times New Roman" w:hAnsi="Times New Roman" w:cs="Times New Roman"/>
                <w:b/>
                <w:bCs/>
                <w:sz w:val="19"/>
                <w:szCs w:val="19"/>
              </w:rPr>
            </w:pPr>
          </w:p>
          <w:p w14:paraId="7E263820" w14:textId="77777777" w:rsidR="00957F89" w:rsidRPr="00C73849" w:rsidRDefault="00D92D87" w:rsidP="00B90474">
            <w:pPr>
              <w:pStyle w:val="TableParagraph"/>
              <w:keepNext/>
              <w:ind w:left="279" w:right="214" w:hanging="53"/>
              <w:rPr>
                <w:rFonts w:ascii="Times New Roman" w:eastAsia="Times New Roman" w:hAnsi="Times New Roman" w:cs="Times New Roman"/>
                <w:sz w:val="20"/>
                <w:szCs w:val="20"/>
              </w:rPr>
            </w:pPr>
            <w:r w:rsidRPr="00C73849">
              <w:rPr>
                <w:rFonts w:ascii="Times New Roman"/>
                <w:b/>
                <w:sz w:val="20"/>
              </w:rPr>
              <w:t>Placebo</w:t>
            </w:r>
            <w:r w:rsidRPr="00C73849">
              <w:rPr>
                <w:rFonts w:ascii="Times New Roman"/>
                <w:b/>
                <w:w w:val="99"/>
                <w:sz w:val="20"/>
              </w:rPr>
              <w:t xml:space="preserve"> </w:t>
            </w:r>
            <w:r w:rsidRPr="00C73849">
              <w:rPr>
                <w:rFonts w:ascii="Times New Roman"/>
                <w:b/>
                <w:sz w:val="20"/>
              </w:rPr>
              <w:t>N = 12</w:t>
            </w:r>
          </w:p>
        </w:tc>
      </w:tr>
      <w:tr w:rsidR="00957F89" w:rsidRPr="00C73849" w14:paraId="1D7F63E5" w14:textId="77777777">
        <w:trPr>
          <w:trHeight w:hRule="exact" w:val="701"/>
        </w:trPr>
        <w:tc>
          <w:tcPr>
            <w:tcW w:w="2659" w:type="dxa"/>
            <w:gridSpan w:val="2"/>
            <w:vMerge/>
            <w:tcBorders>
              <w:left w:val="single" w:sz="12" w:space="0" w:color="000000"/>
              <w:bottom w:val="single" w:sz="5" w:space="0" w:color="000000"/>
              <w:right w:val="single" w:sz="5" w:space="0" w:color="000000"/>
            </w:tcBorders>
          </w:tcPr>
          <w:p w14:paraId="21FC784C" w14:textId="77777777" w:rsidR="00957F89" w:rsidRPr="00C73849" w:rsidRDefault="00957F89" w:rsidP="00B90474">
            <w:pPr>
              <w:keepNext/>
            </w:pPr>
          </w:p>
        </w:tc>
        <w:tc>
          <w:tcPr>
            <w:tcW w:w="1049" w:type="dxa"/>
            <w:tcBorders>
              <w:top w:val="single" w:sz="5" w:space="0" w:color="000000"/>
              <w:left w:val="single" w:sz="5" w:space="0" w:color="000000"/>
              <w:bottom w:val="single" w:sz="5" w:space="0" w:color="000000"/>
              <w:right w:val="single" w:sz="5" w:space="0" w:color="000000"/>
            </w:tcBorders>
          </w:tcPr>
          <w:p w14:paraId="6D9FBC0C" w14:textId="77777777" w:rsidR="00957F89" w:rsidRPr="00C73849" w:rsidRDefault="00D92D87" w:rsidP="00B90474">
            <w:pPr>
              <w:pStyle w:val="TableParagraph"/>
              <w:keepNext/>
              <w:spacing w:line="227" w:lineRule="exact"/>
              <w:ind w:left="342"/>
              <w:rPr>
                <w:rFonts w:ascii="Times New Roman" w:eastAsia="Times New Roman" w:hAnsi="Times New Roman" w:cs="Times New Roman"/>
                <w:sz w:val="20"/>
                <w:szCs w:val="20"/>
              </w:rPr>
            </w:pPr>
            <w:r w:rsidRPr="00C73849">
              <w:rPr>
                <w:rFonts w:ascii="Times New Roman"/>
                <w:b/>
                <w:sz w:val="20"/>
              </w:rPr>
              <w:t>0.07</w:t>
            </w:r>
          </w:p>
          <w:p w14:paraId="23FDFA4B" w14:textId="77777777" w:rsidR="00957F89" w:rsidRPr="00C73849" w:rsidRDefault="00D92D87" w:rsidP="00B90474">
            <w:pPr>
              <w:pStyle w:val="TableParagraph"/>
              <w:keepNext/>
              <w:ind w:left="289" w:right="274" w:hanging="15"/>
              <w:rPr>
                <w:rFonts w:ascii="Times New Roman" w:eastAsia="Times New Roman" w:hAnsi="Times New Roman" w:cs="Times New Roman"/>
                <w:sz w:val="20"/>
                <w:szCs w:val="20"/>
              </w:rPr>
            </w:pPr>
            <w:r w:rsidRPr="00C73849">
              <w:rPr>
                <w:rFonts w:ascii="Times New Roman"/>
                <w:b/>
                <w:sz w:val="20"/>
              </w:rPr>
              <w:t>ml/kg</w:t>
            </w:r>
            <w:r w:rsidRPr="00C73849">
              <w:rPr>
                <w:rFonts w:ascii="Times New Roman"/>
                <w:b/>
                <w:w w:val="99"/>
                <w:sz w:val="20"/>
              </w:rPr>
              <w:t xml:space="preserve"> </w:t>
            </w:r>
            <w:r w:rsidRPr="00C73849">
              <w:rPr>
                <w:rFonts w:ascii="Times New Roman"/>
                <w:b/>
                <w:sz w:val="20"/>
              </w:rPr>
              <w:t>N = 4</w:t>
            </w:r>
          </w:p>
        </w:tc>
        <w:tc>
          <w:tcPr>
            <w:tcW w:w="1051" w:type="dxa"/>
            <w:tcBorders>
              <w:top w:val="single" w:sz="5" w:space="0" w:color="000000"/>
              <w:left w:val="single" w:sz="5" w:space="0" w:color="000000"/>
              <w:bottom w:val="single" w:sz="5" w:space="0" w:color="000000"/>
              <w:right w:val="single" w:sz="5" w:space="0" w:color="000000"/>
            </w:tcBorders>
          </w:tcPr>
          <w:p w14:paraId="6177D24E" w14:textId="77777777" w:rsidR="00957F89" w:rsidRPr="00C73849" w:rsidRDefault="00D92D87" w:rsidP="00B90474">
            <w:pPr>
              <w:pStyle w:val="TableParagraph"/>
              <w:keepNext/>
              <w:spacing w:line="227" w:lineRule="exact"/>
              <w:ind w:left="342"/>
              <w:rPr>
                <w:rFonts w:ascii="Times New Roman" w:eastAsia="Times New Roman" w:hAnsi="Times New Roman" w:cs="Times New Roman"/>
                <w:sz w:val="20"/>
                <w:szCs w:val="20"/>
              </w:rPr>
            </w:pPr>
            <w:r w:rsidRPr="00C73849">
              <w:rPr>
                <w:rFonts w:ascii="Times New Roman"/>
                <w:b/>
                <w:sz w:val="20"/>
              </w:rPr>
              <w:t>0.14</w:t>
            </w:r>
          </w:p>
          <w:p w14:paraId="4CCBE9FB" w14:textId="77777777" w:rsidR="00957F89" w:rsidRPr="00C73849" w:rsidRDefault="00D92D87" w:rsidP="00B90474">
            <w:pPr>
              <w:pStyle w:val="TableParagraph"/>
              <w:keepNext/>
              <w:ind w:left="289" w:right="276" w:hanging="15"/>
              <w:rPr>
                <w:rFonts w:ascii="Times New Roman" w:eastAsia="Times New Roman" w:hAnsi="Times New Roman" w:cs="Times New Roman"/>
                <w:sz w:val="20"/>
                <w:szCs w:val="20"/>
              </w:rPr>
            </w:pPr>
            <w:r w:rsidRPr="00C73849">
              <w:rPr>
                <w:rFonts w:ascii="Times New Roman"/>
                <w:b/>
                <w:sz w:val="20"/>
              </w:rPr>
              <w:t>ml/kg</w:t>
            </w:r>
            <w:r w:rsidRPr="00C73849">
              <w:rPr>
                <w:rFonts w:ascii="Times New Roman"/>
                <w:b/>
                <w:w w:val="99"/>
                <w:sz w:val="20"/>
              </w:rPr>
              <w:t xml:space="preserve"> </w:t>
            </w:r>
            <w:r w:rsidRPr="00C73849">
              <w:rPr>
                <w:rFonts w:ascii="Times New Roman"/>
                <w:b/>
                <w:sz w:val="20"/>
              </w:rPr>
              <w:t>N = 4</w:t>
            </w:r>
          </w:p>
        </w:tc>
        <w:tc>
          <w:tcPr>
            <w:tcW w:w="1049" w:type="dxa"/>
            <w:tcBorders>
              <w:top w:val="single" w:sz="5" w:space="0" w:color="000000"/>
              <w:left w:val="single" w:sz="5" w:space="0" w:color="000000"/>
              <w:bottom w:val="single" w:sz="5" w:space="0" w:color="000000"/>
              <w:right w:val="single" w:sz="5" w:space="0" w:color="000000"/>
            </w:tcBorders>
          </w:tcPr>
          <w:p w14:paraId="45DC0E63" w14:textId="77777777" w:rsidR="00957F89" w:rsidRPr="00C73849" w:rsidRDefault="00D92D87" w:rsidP="00B90474">
            <w:pPr>
              <w:pStyle w:val="TableParagraph"/>
              <w:keepNext/>
              <w:spacing w:line="227" w:lineRule="exact"/>
              <w:ind w:left="342"/>
              <w:rPr>
                <w:rFonts w:ascii="Times New Roman" w:eastAsia="Times New Roman" w:hAnsi="Times New Roman" w:cs="Times New Roman"/>
                <w:sz w:val="20"/>
                <w:szCs w:val="20"/>
              </w:rPr>
            </w:pPr>
            <w:r w:rsidRPr="00C73849">
              <w:rPr>
                <w:rFonts w:ascii="Times New Roman"/>
                <w:b/>
                <w:sz w:val="20"/>
              </w:rPr>
              <w:t>0.28</w:t>
            </w:r>
          </w:p>
          <w:p w14:paraId="2620BB64" w14:textId="77777777" w:rsidR="00957F89" w:rsidRPr="00C73849" w:rsidRDefault="00D92D87" w:rsidP="00B90474">
            <w:pPr>
              <w:pStyle w:val="TableParagraph"/>
              <w:keepNext/>
              <w:ind w:left="289" w:right="274" w:hanging="15"/>
              <w:rPr>
                <w:rFonts w:ascii="Times New Roman" w:eastAsia="Times New Roman" w:hAnsi="Times New Roman" w:cs="Times New Roman"/>
                <w:sz w:val="20"/>
                <w:szCs w:val="20"/>
              </w:rPr>
            </w:pPr>
            <w:r w:rsidRPr="00C73849">
              <w:rPr>
                <w:rFonts w:ascii="Times New Roman"/>
                <w:b/>
                <w:sz w:val="20"/>
              </w:rPr>
              <w:t>ml/kg</w:t>
            </w:r>
            <w:r w:rsidRPr="00C73849">
              <w:rPr>
                <w:rFonts w:ascii="Times New Roman"/>
                <w:b/>
                <w:w w:val="99"/>
                <w:sz w:val="20"/>
              </w:rPr>
              <w:t xml:space="preserve"> </w:t>
            </w:r>
            <w:r w:rsidRPr="00C73849">
              <w:rPr>
                <w:rFonts w:ascii="Times New Roman"/>
                <w:b/>
                <w:sz w:val="20"/>
              </w:rPr>
              <w:t>N = 4</w:t>
            </w:r>
          </w:p>
        </w:tc>
        <w:tc>
          <w:tcPr>
            <w:tcW w:w="1049" w:type="dxa"/>
            <w:tcBorders>
              <w:top w:val="single" w:sz="5" w:space="0" w:color="000000"/>
              <w:left w:val="single" w:sz="5" w:space="0" w:color="000000"/>
              <w:bottom w:val="single" w:sz="5" w:space="0" w:color="000000"/>
              <w:right w:val="single" w:sz="5" w:space="0" w:color="000000"/>
            </w:tcBorders>
          </w:tcPr>
          <w:p w14:paraId="50C1B37C" w14:textId="77777777" w:rsidR="00957F89" w:rsidRPr="00C73849" w:rsidRDefault="00D92D87" w:rsidP="00B90474">
            <w:pPr>
              <w:pStyle w:val="TableParagraph"/>
              <w:keepNext/>
              <w:spacing w:line="228" w:lineRule="exact"/>
              <w:ind w:left="342"/>
              <w:rPr>
                <w:rFonts w:ascii="Times New Roman" w:eastAsia="Times New Roman" w:hAnsi="Times New Roman" w:cs="Times New Roman"/>
                <w:sz w:val="20"/>
                <w:szCs w:val="20"/>
              </w:rPr>
            </w:pPr>
            <w:r w:rsidRPr="00C73849">
              <w:rPr>
                <w:rFonts w:ascii="Times New Roman"/>
                <w:b/>
                <w:sz w:val="20"/>
              </w:rPr>
              <w:t>0.43</w:t>
            </w:r>
          </w:p>
          <w:p w14:paraId="320F72D1" w14:textId="77777777" w:rsidR="00957F89" w:rsidRPr="00C73849" w:rsidRDefault="00D92D87" w:rsidP="00B90474">
            <w:pPr>
              <w:pStyle w:val="TableParagraph"/>
              <w:keepNext/>
              <w:ind w:left="289" w:right="274" w:hanging="15"/>
              <w:rPr>
                <w:rFonts w:ascii="Times New Roman" w:eastAsia="Times New Roman" w:hAnsi="Times New Roman" w:cs="Times New Roman"/>
                <w:sz w:val="20"/>
                <w:szCs w:val="20"/>
              </w:rPr>
            </w:pPr>
            <w:r w:rsidRPr="00C73849">
              <w:rPr>
                <w:rFonts w:ascii="Times New Roman"/>
                <w:b/>
                <w:sz w:val="20"/>
              </w:rPr>
              <w:t>ml/kg</w:t>
            </w:r>
            <w:r w:rsidRPr="00C73849">
              <w:rPr>
                <w:rFonts w:ascii="Times New Roman"/>
                <w:b/>
                <w:w w:val="99"/>
                <w:sz w:val="20"/>
              </w:rPr>
              <w:t xml:space="preserve"> </w:t>
            </w:r>
            <w:r w:rsidRPr="00C73849">
              <w:rPr>
                <w:rFonts w:ascii="Times New Roman"/>
                <w:b/>
                <w:sz w:val="20"/>
              </w:rPr>
              <w:t>N = 8</w:t>
            </w:r>
          </w:p>
        </w:tc>
        <w:tc>
          <w:tcPr>
            <w:tcW w:w="1049" w:type="dxa"/>
            <w:tcBorders>
              <w:top w:val="single" w:sz="5" w:space="0" w:color="000000"/>
              <w:left w:val="single" w:sz="5" w:space="0" w:color="000000"/>
              <w:bottom w:val="single" w:sz="5" w:space="0" w:color="000000"/>
              <w:right w:val="single" w:sz="5" w:space="0" w:color="000000"/>
            </w:tcBorders>
          </w:tcPr>
          <w:p w14:paraId="15B47C71" w14:textId="77777777" w:rsidR="00957F89" w:rsidRPr="00C73849" w:rsidRDefault="00D92D87" w:rsidP="00B90474">
            <w:pPr>
              <w:pStyle w:val="TableParagraph"/>
              <w:keepNext/>
              <w:spacing w:line="228" w:lineRule="exact"/>
              <w:ind w:left="342"/>
              <w:rPr>
                <w:rFonts w:ascii="Times New Roman" w:eastAsia="Times New Roman" w:hAnsi="Times New Roman" w:cs="Times New Roman"/>
                <w:sz w:val="20"/>
                <w:szCs w:val="20"/>
              </w:rPr>
            </w:pPr>
            <w:r w:rsidRPr="00C73849">
              <w:rPr>
                <w:rFonts w:ascii="Times New Roman"/>
                <w:b/>
                <w:sz w:val="20"/>
              </w:rPr>
              <w:t>0.57</w:t>
            </w:r>
          </w:p>
          <w:p w14:paraId="4816BD96" w14:textId="77777777" w:rsidR="00957F89" w:rsidRPr="00C73849" w:rsidRDefault="00D92D87" w:rsidP="00B90474">
            <w:pPr>
              <w:pStyle w:val="TableParagraph"/>
              <w:keepNext/>
              <w:ind w:left="289" w:right="274" w:hanging="15"/>
              <w:rPr>
                <w:rFonts w:ascii="Times New Roman" w:eastAsia="Times New Roman" w:hAnsi="Times New Roman" w:cs="Times New Roman"/>
                <w:sz w:val="20"/>
                <w:szCs w:val="20"/>
              </w:rPr>
            </w:pPr>
            <w:r w:rsidRPr="00C73849">
              <w:rPr>
                <w:rFonts w:ascii="Times New Roman"/>
                <w:b/>
                <w:sz w:val="20"/>
              </w:rPr>
              <w:t>ml/kg</w:t>
            </w:r>
            <w:r w:rsidRPr="00C73849">
              <w:rPr>
                <w:rFonts w:ascii="Times New Roman"/>
                <w:b/>
                <w:w w:val="99"/>
                <w:sz w:val="20"/>
              </w:rPr>
              <w:t xml:space="preserve"> </w:t>
            </w:r>
            <w:r w:rsidRPr="00C73849">
              <w:rPr>
                <w:rFonts w:ascii="Times New Roman"/>
                <w:b/>
                <w:sz w:val="20"/>
              </w:rPr>
              <w:t>N = 4</w:t>
            </w:r>
          </w:p>
        </w:tc>
        <w:tc>
          <w:tcPr>
            <w:tcW w:w="1133" w:type="dxa"/>
            <w:vMerge/>
            <w:tcBorders>
              <w:left w:val="single" w:sz="5" w:space="0" w:color="000000"/>
              <w:bottom w:val="single" w:sz="5" w:space="0" w:color="000000"/>
              <w:right w:val="single" w:sz="12" w:space="0" w:color="000000"/>
            </w:tcBorders>
          </w:tcPr>
          <w:p w14:paraId="2B7408B9" w14:textId="77777777" w:rsidR="00957F89" w:rsidRPr="00C73849" w:rsidRDefault="00957F89" w:rsidP="00B90474">
            <w:pPr>
              <w:keepNext/>
            </w:pPr>
          </w:p>
        </w:tc>
      </w:tr>
      <w:tr w:rsidR="00957F89" w:rsidRPr="00C73849" w14:paraId="76E4D1CB" w14:textId="77777777">
        <w:trPr>
          <w:trHeight w:hRule="exact" w:val="240"/>
        </w:trPr>
        <w:tc>
          <w:tcPr>
            <w:tcW w:w="960" w:type="dxa"/>
            <w:vMerge w:val="restart"/>
            <w:tcBorders>
              <w:top w:val="single" w:sz="5" w:space="0" w:color="000000"/>
              <w:left w:val="single" w:sz="12" w:space="0" w:color="000000"/>
              <w:right w:val="single" w:sz="5" w:space="0" w:color="000000"/>
            </w:tcBorders>
          </w:tcPr>
          <w:p w14:paraId="3B2814FE" w14:textId="77777777" w:rsidR="00957F89" w:rsidRPr="00C73849" w:rsidRDefault="00D92D87" w:rsidP="00B90474">
            <w:pPr>
              <w:pStyle w:val="TableParagraph"/>
              <w:keepNext/>
              <w:spacing w:line="222" w:lineRule="exact"/>
              <w:ind w:left="92"/>
              <w:rPr>
                <w:rFonts w:ascii="Times New Roman" w:eastAsia="Times New Roman" w:hAnsi="Times New Roman" w:cs="Times New Roman"/>
                <w:sz w:val="20"/>
                <w:szCs w:val="20"/>
              </w:rPr>
            </w:pPr>
            <w:r w:rsidRPr="00C73849">
              <w:rPr>
                <w:rFonts w:ascii="Times New Roman"/>
                <w:sz w:val="20"/>
              </w:rPr>
              <w:t>Gender</w:t>
            </w:r>
          </w:p>
        </w:tc>
        <w:tc>
          <w:tcPr>
            <w:tcW w:w="1699" w:type="dxa"/>
            <w:tcBorders>
              <w:top w:val="single" w:sz="5" w:space="0" w:color="000000"/>
              <w:left w:val="single" w:sz="5" w:space="0" w:color="000000"/>
              <w:bottom w:val="single" w:sz="5" w:space="0" w:color="000000"/>
              <w:right w:val="single" w:sz="5" w:space="0" w:color="000000"/>
            </w:tcBorders>
          </w:tcPr>
          <w:p w14:paraId="0BBA3516" w14:textId="77777777" w:rsidR="00957F89" w:rsidRPr="00C73849" w:rsidRDefault="00D92D87" w:rsidP="00B90474">
            <w:pPr>
              <w:pStyle w:val="TableParagraph"/>
              <w:keepNext/>
              <w:spacing w:line="222" w:lineRule="exact"/>
              <w:ind w:left="102"/>
              <w:rPr>
                <w:rFonts w:ascii="Times New Roman" w:eastAsia="Times New Roman" w:hAnsi="Times New Roman" w:cs="Times New Roman"/>
                <w:sz w:val="20"/>
                <w:szCs w:val="20"/>
              </w:rPr>
            </w:pPr>
            <w:r w:rsidRPr="00C73849">
              <w:rPr>
                <w:rFonts w:ascii="Times New Roman"/>
                <w:sz w:val="20"/>
              </w:rPr>
              <w:t>Male</w:t>
            </w:r>
          </w:p>
        </w:tc>
        <w:tc>
          <w:tcPr>
            <w:tcW w:w="1049" w:type="dxa"/>
            <w:tcBorders>
              <w:top w:val="single" w:sz="5" w:space="0" w:color="000000"/>
              <w:left w:val="single" w:sz="5" w:space="0" w:color="000000"/>
              <w:bottom w:val="single" w:sz="5" w:space="0" w:color="000000"/>
              <w:right w:val="single" w:sz="5" w:space="0" w:color="000000"/>
            </w:tcBorders>
          </w:tcPr>
          <w:p w14:paraId="0193342F" w14:textId="77777777" w:rsidR="00957F89" w:rsidRPr="00C73849" w:rsidRDefault="00D92D87" w:rsidP="00B90474">
            <w:pPr>
              <w:pStyle w:val="TableParagraph"/>
              <w:keepNext/>
              <w:spacing w:line="222" w:lineRule="exact"/>
              <w:ind w:left="192"/>
              <w:rPr>
                <w:rFonts w:ascii="Times New Roman" w:eastAsia="Times New Roman" w:hAnsi="Times New Roman" w:cs="Times New Roman"/>
                <w:sz w:val="20"/>
                <w:szCs w:val="20"/>
              </w:rPr>
            </w:pPr>
            <w:r w:rsidRPr="00C73849">
              <w:rPr>
                <w:rFonts w:ascii="Times New Roman"/>
                <w:sz w:val="20"/>
              </w:rPr>
              <w:t>1 (25%)</w:t>
            </w:r>
          </w:p>
        </w:tc>
        <w:tc>
          <w:tcPr>
            <w:tcW w:w="1051" w:type="dxa"/>
            <w:tcBorders>
              <w:top w:val="single" w:sz="5" w:space="0" w:color="000000"/>
              <w:left w:val="single" w:sz="5" w:space="0" w:color="000000"/>
              <w:bottom w:val="single" w:sz="5" w:space="0" w:color="000000"/>
              <w:right w:val="single" w:sz="5" w:space="0" w:color="000000"/>
            </w:tcBorders>
          </w:tcPr>
          <w:p w14:paraId="0745A27B" w14:textId="77777777" w:rsidR="00957F89" w:rsidRPr="00C73849" w:rsidRDefault="00D92D87" w:rsidP="00B90474">
            <w:pPr>
              <w:pStyle w:val="TableParagraph"/>
              <w:keepNext/>
              <w:spacing w:line="222" w:lineRule="exact"/>
              <w:ind w:left="192"/>
              <w:rPr>
                <w:rFonts w:ascii="Times New Roman" w:eastAsia="Times New Roman" w:hAnsi="Times New Roman" w:cs="Times New Roman"/>
                <w:sz w:val="20"/>
                <w:szCs w:val="20"/>
              </w:rPr>
            </w:pPr>
            <w:r w:rsidRPr="00C73849">
              <w:rPr>
                <w:rFonts w:ascii="Times New Roman"/>
                <w:sz w:val="20"/>
              </w:rPr>
              <w:t>1 (25%)</w:t>
            </w:r>
          </w:p>
        </w:tc>
        <w:tc>
          <w:tcPr>
            <w:tcW w:w="1049" w:type="dxa"/>
            <w:tcBorders>
              <w:top w:val="single" w:sz="5" w:space="0" w:color="000000"/>
              <w:left w:val="single" w:sz="5" w:space="0" w:color="000000"/>
              <w:bottom w:val="single" w:sz="5" w:space="0" w:color="000000"/>
              <w:right w:val="single" w:sz="5" w:space="0" w:color="000000"/>
            </w:tcBorders>
          </w:tcPr>
          <w:p w14:paraId="1576ED07" w14:textId="77777777" w:rsidR="00957F89" w:rsidRPr="00C73849" w:rsidRDefault="00D92D87" w:rsidP="00B90474">
            <w:pPr>
              <w:pStyle w:val="TableParagraph"/>
              <w:keepNext/>
              <w:spacing w:line="222" w:lineRule="exact"/>
              <w:ind w:left="192"/>
              <w:rPr>
                <w:rFonts w:ascii="Times New Roman" w:eastAsia="Times New Roman" w:hAnsi="Times New Roman" w:cs="Times New Roman"/>
                <w:sz w:val="20"/>
                <w:szCs w:val="20"/>
              </w:rPr>
            </w:pPr>
            <w:r w:rsidRPr="00C73849">
              <w:rPr>
                <w:rFonts w:ascii="Times New Roman"/>
                <w:sz w:val="20"/>
              </w:rPr>
              <w:t>1 (25%)</w:t>
            </w:r>
          </w:p>
        </w:tc>
        <w:tc>
          <w:tcPr>
            <w:tcW w:w="1049" w:type="dxa"/>
            <w:tcBorders>
              <w:top w:val="single" w:sz="5" w:space="0" w:color="000000"/>
              <w:left w:val="single" w:sz="5" w:space="0" w:color="000000"/>
              <w:bottom w:val="single" w:sz="5" w:space="0" w:color="000000"/>
              <w:right w:val="single" w:sz="5" w:space="0" w:color="000000"/>
            </w:tcBorders>
          </w:tcPr>
          <w:p w14:paraId="0E6FE832" w14:textId="77777777" w:rsidR="00957F89" w:rsidRPr="00C73849" w:rsidRDefault="00D92D87" w:rsidP="00B90474">
            <w:pPr>
              <w:pStyle w:val="TableParagraph"/>
              <w:keepNext/>
              <w:spacing w:line="222" w:lineRule="exact"/>
              <w:ind w:left="191"/>
              <w:rPr>
                <w:rFonts w:ascii="Times New Roman" w:eastAsia="Times New Roman" w:hAnsi="Times New Roman" w:cs="Times New Roman"/>
                <w:sz w:val="20"/>
                <w:szCs w:val="20"/>
              </w:rPr>
            </w:pPr>
            <w:r w:rsidRPr="00C73849">
              <w:rPr>
                <w:rFonts w:ascii="Times New Roman"/>
                <w:sz w:val="20"/>
              </w:rPr>
              <w:t>3 (38%)</w:t>
            </w:r>
          </w:p>
        </w:tc>
        <w:tc>
          <w:tcPr>
            <w:tcW w:w="1049" w:type="dxa"/>
            <w:tcBorders>
              <w:top w:val="single" w:sz="5" w:space="0" w:color="000000"/>
              <w:left w:val="single" w:sz="5" w:space="0" w:color="000000"/>
              <w:bottom w:val="single" w:sz="5" w:space="0" w:color="000000"/>
              <w:right w:val="single" w:sz="5" w:space="0" w:color="000000"/>
            </w:tcBorders>
          </w:tcPr>
          <w:p w14:paraId="762B7C4C" w14:textId="77777777" w:rsidR="00957F89" w:rsidRPr="00C73849" w:rsidRDefault="00D92D87" w:rsidP="00B90474">
            <w:pPr>
              <w:pStyle w:val="TableParagraph"/>
              <w:keepNext/>
              <w:spacing w:line="222" w:lineRule="exact"/>
              <w:ind w:left="191"/>
              <w:rPr>
                <w:rFonts w:ascii="Times New Roman" w:eastAsia="Times New Roman" w:hAnsi="Times New Roman" w:cs="Times New Roman"/>
                <w:sz w:val="20"/>
                <w:szCs w:val="20"/>
              </w:rPr>
            </w:pPr>
            <w:r w:rsidRPr="00C73849">
              <w:rPr>
                <w:rFonts w:ascii="Times New Roman"/>
                <w:sz w:val="20"/>
              </w:rPr>
              <w:t>2 (50%)</w:t>
            </w:r>
          </w:p>
        </w:tc>
        <w:tc>
          <w:tcPr>
            <w:tcW w:w="1133" w:type="dxa"/>
            <w:tcBorders>
              <w:top w:val="single" w:sz="5" w:space="0" w:color="000000"/>
              <w:left w:val="single" w:sz="5" w:space="0" w:color="000000"/>
              <w:bottom w:val="single" w:sz="5" w:space="0" w:color="000000"/>
              <w:right w:val="single" w:sz="12" w:space="0" w:color="000000"/>
            </w:tcBorders>
          </w:tcPr>
          <w:p w14:paraId="7D4C65A8" w14:textId="77777777" w:rsidR="00957F89" w:rsidRPr="00C73849" w:rsidRDefault="00D92D87" w:rsidP="00B90474">
            <w:pPr>
              <w:pStyle w:val="TableParagraph"/>
              <w:keepNext/>
              <w:spacing w:line="222" w:lineRule="exact"/>
              <w:ind w:left="234"/>
              <w:rPr>
                <w:rFonts w:ascii="Times New Roman" w:eastAsia="Times New Roman" w:hAnsi="Times New Roman" w:cs="Times New Roman"/>
                <w:sz w:val="20"/>
                <w:szCs w:val="20"/>
              </w:rPr>
            </w:pPr>
            <w:r w:rsidRPr="00C73849">
              <w:rPr>
                <w:rFonts w:ascii="Times New Roman"/>
                <w:sz w:val="20"/>
              </w:rPr>
              <w:t>4 (33%)</w:t>
            </w:r>
          </w:p>
        </w:tc>
      </w:tr>
      <w:tr w:rsidR="00957F89" w:rsidRPr="00C73849" w14:paraId="5EE51FAE" w14:textId="77777777">
        <w:trPr>
          <w:trHeight w:hRule="exact" w:val="240"/>
        </w:trPr>
        <w:tc>
          <w:tcPr>
            <w:tcW w:w="960" w:type="dxa"/>
            <w:vMerge/>
            <w:tcBorders>
              <w:left w:val="single" w:sz="12" w:space="0" w:color="000000"/>
              <w:bottom w:val="single" w:sz="5" w:space="0" w:color="000000"/>
              <w:right w:val="single" w:sz="5" w:space="0" w:color="000000"/>
            </w:tcBorders>
          </w:tcPr>
          <w:p w14:paraId="43514B03" w14:textId="77777777" w:rsidR="00957F89" w:rsidRPr="00C73849" w:rsidRDefault="00957F89" w:rsidP="00B90474">
            <w:pPr>
              <w:keepNext/>
            </w:pPr>
          </w:p>
        </w:tc>
        <w:tc>
          <w:tcPr>
            <w:tcW w:w="1699" w:type="dxa"/>
            <w:tcBorders>
              <w:top w:val="single" w:sz="5" w:space="0" w:color="000000"/>
              <w:left w:val="single" w:sz="5" w:space="0" w:color="000000"/>
              <w:bottom w:val="single" w:sz="5" w:space="0" w:color="000000"/>
              <w:right w:val="single" w:sz="5" w:space="0" w:color="000000"/>
            </w:tcBorders>
          </w:tcPr>
          <w:p w14:paraId="20B78C15" w14:textId="77777777" w:rsidR="00957F89" w:rsidRPr="00C73849" w:rsidRDefault="00D92D87" w:rsidP="00B90474">
            <w:pPr>
              <w:pStyle w:val="TableParagraph"/>
              <w:keepNext/>
              <w:spacing w:line="222" w:lineRule="exact"/>
              <w:ind w:left="102"/>
              <w:rPr>
                <w:rFonts w:ascii="Times New Roman" w:eastAsia="Times New Roman" w:hAnsi="Times New Roman" w:cs="Times New Roman"/>
                <w:sz w:val="20"/>
                <w:szCs w:val="20"/>
              </w:rPr>
            </w:pPr>
            <w:r w:rsidRPr="00C73849">
              <w:rPr>
                <w:rFonts w:ascii="Times New Roman"/>
                <w:sz w:val="20"/>
              </w:rPr>
              <w:t>Female</w:t>
            </w:r>
          </w:p>
        </w:tc>
        <w:tc>
          <w:tcPr>
            <w:tcW w:w="1049" w:type="dxa"/>
            <w:tcBorders>
              <w:top w:val="single" w:sz="5" w:space="0" w:color="000000"/>
              <w:left w:val="single" w:sz="5" w:space="0" w:color="000000"/>
              <w:bottom w:val="single" w:sz="5" w:space="0" w:color="000000"/>
              <w:right w:val="single" w:sz="5" w:space="0" w:color="000000"/>
            </w:tcBorders>
          </w:tcPr>
          <w:p w14:paraId="3C85BAE0" w14:textId="77777777" w:rsidR="00957F89" w:rsidRPr="00C73849" w:rsidRDefault="00D92D87" w:rsidP="00B90474">
            <w:pPr>
              <w:pStyle w:val="TableParagraph"/>
              <w:keepNext/>
              <w:spacing w:line="222" w:lineRule="exact"/>
              <w:ind w:left="191"/>
              <w:rPr>
                <w:rFonts w:ascii="Times New Roman" w:eastAsia="Times New Roman" w:hAnsi="Times New Roman" w:cs="Times New Roman"/>
                <w:sz w:val="20"/>
                <w:szCs w:val="20"/>
              </w:rPr>
            </w:pPr>
            <w:r w:rsidRPr="00C73849">
              <w:rPr>
                <w:rFonts w:ascii="Times New Roman"/>
                <w:sz w:val="20"/>
              </w:rPr>
              <w:t>3 (75%)</w:t>
            </w:r>
          </w:p>
        </w:tc>
        <w:tc>
          <w:tcPr>
            <w:tcW w:w="1051" w:type="dxa"/>
            <w:tcBorders>
              <w:top w:val="single" w:sz="5" w:space="0" w:color="000000"/>
              <w:left w:val="single" w:sz="5" w:space="0" w:color="000000"/>
              <w:bottom w:val="single" w:sz="5" w:space="0" w:color="000000"/>
              <w:right w:val="single" w:sz="5" w:space="0" w:color="000000"/>
            </w:tcBorders>
          </w:tcPr>
          <w:p w14:paraId="715EF485" w14:textId="77777777" w:rsidR="00957F89" w:rsidRPr="00C73849" w:rsidRDefault="00D92D87" w:rsidP="00B90474">
            <w:pPr>
              <w:pStyle w:val="TableParagraph"/>
              <w:keepNext/>
              <w:spacing w:line="222" w:lineRule="exact"/>
              <w:ind w:left="191"/>
              <w:rPr>
                <w:rFonts w:ascii="Times New Roman" w:eastAsia="Times New Roman" w:hAnsi="Times New Roman" w:cs="Times New Roman"/>
                <w:sz w:val="20"/>
                <w:szCs w:val="20"/>
              </w:rPr>
            </w:pPr>
            <w:r w:rsidRPr="00C73849">
              <w:rPr>
                <w:rFonts w:ascii="Times New Roman"/>
                <w:sz w:val="20"/>
              </w:rPr>
              <w:t>3 (75%)</w:t>
            </w:r>
          </w:p>
        </w:tc>
        <w:tc>
          <w:tcPr>
            <w:tcW w:w="1049" w:type="dxa"/>
            <w:tcBorders>
              <w:top w:val="single" w:sz="5" w:space="0" w:color="000000"/>
              <w:left w:val="single" w:sz="5" w:space="0" w:color="000000"/>
              <w:bottom w:val="single" w:sz="5" w:space="0" w:color="000000"/>
              <w:right w:val="single" w:sz="5" w:space="0" w:color="000000"/>
            </w:tcBorders>
          </w:tcPr>
          <w:p w14:paraId="62D787A7" w14:textId="77777777" w:rsidR="00957F89" w:rsidRPr="00C73849" w:rsidRDefault="00D92D87" w:rsidP="00B90474">
            <w:pPr>
              <w:pStyle w:val="TableParagraph"/>
              <w:keepNext/>
              <w:spacing w:line="222" w:lineRule="exact"/>
              <w:ind w:left="191"/>
              <w:rPr>
                <w:rFonts w:ascii="Times New Roman" w:eastAsia="Times New Roman" w:hAnsi="Times New Roman" w:cs="Times New Roman"/>
                <w:sz w:val="20"/>
                <w:szCs w:val="20"/>
              </w:rPr>
            </w:pPr>
            <w:r w:rsidRPr="00C73849">
              <w:rPr>
                <w:rFonts w:ascii="Times New Roman"/>
                <w:sz w:val="20"/>
              </w:rPr>
              <w:t>3 (75%)</w:t>
            </w:r>
          </w:p>
        </w:tc>
        <w:tc>
          <w:tcPr>
            <w:tcW w:w="1049" w:type="dxa"/>
            <w:tcBorders>
              <w:top w:val="single" w:sz="5" w:space="0" w:color="000000"/>
              <w:left w:val="single" w:sz="5" w:space="0" w:color="000000"/>
              <w:bottom w:val="single" w:sz="5" w:space="0" w:color="000000"/>
              <w:right w:val="single" w:sz="5" w:space="0" w:color="000000"/>
            </w:tcBorders>
          </w:tcPr>
          <w:p w14:paraId="017BFCE5" w14:textId="77777777" w:rsidR="00957F89" w:rsidRPr="00C73849" w:rsidRDefault="00D92D87" w:rsidP="00B90474">
            <w:pPr>
              <w:pStyle w:val="TableParagraph"/>
              <w:keepNext/>
              <w:spacing w:line="222" w:lineRule="exact"/>
              <w:ind w:left="191"/>
              <w:rPr>
                <w:rFonts w:ascii="Times New Roman" w:eastAsia="Times New Roman" w:hAnsi="Times New Roman" w:cs="Times New Roman"/>
                <w:sz w:val="20"/>
                <w:szCs w:val="20"/>
              </w:rPr>
            </w:pPr>
            <w:r w:rsidRPr="00C73849">
              <w:rPr>
                <w:rFonts w:ascii="Times New Roman"/>
                <w:sz w:val="20"/>
              </w:rPr>
              <w:t>5 (62%)</w:t>
            </w:r>
          </w:p>
        </w:tc>
        <w:tc>
          <w:tcPr>
            <w:tcW w:w="1049" w:type="dxa"/>
            <w:tcBorders>
              <w:top w:val="single" w:sz="5" w:space="0" w:color="000000"/>
              <w:left w:val="single" w:sz="5" w:space="0" w:color="000000"/>
              <w:bottom w:val="single" w:sz="5" w:space="0" w:color="000000"/>
              <w:right w:val="single" w:sz="5" w:space="0" w:color="000000"/>
            </w:tcBorders>
          </w:tcPr>
          <w:p w14:paraId="0CA18DE6" w14:textId="77777777" w:rsidR="00957F89" w:rsidRPr="00C73849" w:rsidRDefault="00D92D87" w:rsidP="00B90474">
            <w:pPr>
              <w:pStyle w:val="TableParagraph"/>
              <w:keepNext/>
              <w:spacing w:line="222" w:lineRule="exact"/>
              <w:ind w:left="191"/>
              <w:rPr>
                <w:rFonts w:ascii="Times New Roman" w:eastAsia="Times New Roman" w:hAnsi="Times New Roman" w:cs="Times New Roman"/>
                <w:sz w:val="20"/>
                <w:szCs w:val="20"/>
              </w:rPr>
            </w:pPr>
            <w:r w:rsidRPr="00C73849">
              <w:rPr>
                <w:rFonts w:ascii="Times New Roman"/>
                <w:sz w:val="20"/>
              </w:rPr>
              <w:t>2 (50%)</w:t>
            </w:r>
          </w:p>
        </w:tc>
        <w:tc>
          <w:tcPr>
            <w:tcW w:w="1133" w:type="dxa"/>
            <w:tcBorders>
              <w:top w:val="single" w:sz="5" w:space="0" w:color="000000"/>
              <w:left w:val="single" w:sz="5" w:space="0" w:color="000000"/>
              <w:bottom w:val="single" w:sz="5" w:space="0" w:color="000000"/>
              <w:right w:val="single" w:sz="12" w:space="0" w:color="000000"/>
            </w:tcBorders>
          </w:tcPr>
          <w:p w14:paraId="2CCD6695" w14:textId="77777777" w:rsidR="00957F89" w:rsidRPr="00C73849" w:rsidRDefault="00D92D87" w:rsidP="00B90474">
            <w:pPr>
              <w:pStyle w:val="TableParagraph"/>
              <w:keepNext/>
              <w:spacing w:line="222" w:lineRule="exact"/>
              <w:ind w:left="234"/>
              <w:rPr>
                <w:rFonts w:ascii="Times New Roman" w:eastAsia="Times New Roman" w:hAnsi="Times New Roman" w:cs="Times New Roman"/>
                <w:sz w:val="20"/>
                <w:szCs w:val="20"/>
              </w:rPr>
            </w:pPr>
            <w:r w:rsidRPr="00C73849">
              <w:rPr>
                <w:rFonts w:ascii="Times New Roman"/>
                <w:sz w:val="20"/>
              </w:rPr>
              <w:t>8 (67%)</w:t>
            </w:r>
          </w:p>
        </w:tc>
      </w:tr>
      <w:tr w:rsidR="00957F89" w:rsidRPr="00C73849" w14:paraId="124EF70A" w14:textId="77777777">
        <w:trPr>
          <w:trHeight w:hRule="exact" w:val="240"/>
        </w:trPr>
        <w:tc>
          <w:tcPr>
            <w:tcW w:w="960" w:type="dxa"/>
            <w:tcBorders>
              <w:top w:val="single" w:sz="5" w:space="0" w:color="000000"/>
              <w:left w:val="single" w:sz="12" w:space="0" w:color="000000"/>
              <w:bottom w:val="single" w:sz="5" w:space="0" w:color="000000"/>
              <w:right w:val="single" w:sz="5" w:space="0" w:color="000000"/>
            </w:tcBorders>
          </w:tcPr>
          <w:p w14:paraId="16FD4B97" w14:textId="77777777" w:rsidR="00957F89" w:rsidRPr="00C73849" w:rsidRDefault="00D92D87" w:rsidP="00B90474">
            <w:pPr>
              <w:pStyle w:val="TableParagraph"/>
              <w:keepNext/>
              <w:spacing w:line="222" w:lineRule="exact"/>
              <w:ind w:left="92"/>
              <w:rPr>
                <w:rFonts w:ascii="Times New Roman" w:eastAsia="Times New Roman" w:hAnsi="Times New Roman" w:cs="Times New Roman"/>
                <w:sz w:val="20"/>
                <w:szCs w:val="20"/>
              </w:rPr>
            </w:pPr>
            <w:r w:rsidRPr="00C73849">
              <w:rPr>
                <w:rFonts w:ascii="Times New Roman"/>
                <w:sz w:val="20"/>
              </w:rPr>
              <w:t>Race</w:t>
            </w:r>
          </w:p>
        </w:tc>
        <w:tc>
          <w:tcPr>
            <w:tcW w:w="1699" w:type="dxa"/>
            <w:tcBorders>
              <w:top w:val="single" w:sz="5" w:space="0" w:color="000000"/>
              <w:left w:val="single" w:sz="5" w:space="0" w:color="000000"/>
              <w:bottom w:val="single" w:sz="5" w:space="0" w:color="000000"/>
              <w:right w:val="single" w:sz="5" w:space="0" w:color="000000"/>
            </w:tcBorders>
          </w:tcPr>
          <w:p w14:paraId="0E4994E8" w14:textId="77777777" w:rsidR="00957F89" w:rsidRPr="00C73849" w:rsidRDefault="00D92D87" w:rsidP="00B90474">
            <w:pPr>
              <w:pStyle w:val="TableParagraph"/>
              <w:keepNext/>
              <w:spacing w:line="222" w:lineRule="exact"/>
              <w:ind w:left="103"/>
              <w:rPr>
                <w:rFonts w:ascii="Times New Roman" w:eastAsia="Times New Roman" w:hAnsi="Times New Roman" w:cs="Times New Roman"/>
                <w:sz w:val="20"/>
                <w:szCs w:val="20"/>
              </w:rPr>
            </w:pPr>
            <w:r w:rsidRPr="00C73849">
              <w:rPr>
                <w:rFonts w:ascii="Times New Roman"/>
                <w:sz w:val="20"/>
              </w:rPr>
              <w:t>Caucasian</w:t>
            </w:r>
          </w:p>
        </w:tc>
        <w:tc>
          <w:tcPr>
            <w:tcW w:w="1049" w:type="dxa"/>
            <w:tcBorders>
              <w:top w:val="single" w:sz="5" w:space="0" w:color="000000"/>
              <w:left w:val="single" w:sz="5" w:space="0" w:color="000000"/>
              <w:bottom w:val="single" w:sz="5" w:space="0" w:color="000000"/>
              <w:right w:val="single" w:sz="5" w:space="0" w:color="000000"/>
            </w:tcBorders>
          </w:tcPr>
          <w:p w14:paraId="37E252D6" w14:textId="77777777" w:rsidR="00957F89" w:rsidRPr="00C73849" w:rsidRDefault="00D92D87" w:rsidP="00B90474">
            <w:pPr>
              <w:pStyle w:val="TableParagraph"/>
              <w:keepNext/>
              <w:spacing w:line="222" w:lineRule="exact"/>
              <w:ind w:left="145"/>
              <w:rPr>
                <w:rFonts w:ascii="Times New Roman" w:eastAsia="Times New Roman" w:hAnsi="Times New Roman" w:cs="Times New Roman"/>
                <w:sz w:val="20"/>
                <w:szCs w:val="20"/>
              </w:rPr>
            </w:pPr>
            <w:r w:rsidRPr="00C73849">
              <w:rPr>
                <w:rFonts w:ascii="Times New Roman"/>
                <w:sz w:val="20"/>
              </w:rPr>
              <w:t>4 (100%)</w:t>
            </w:r>
          </w:p>
        </w:tc>
        <w:tc>
          <w:tcPr>
            <w:tcW w:w="1051" w:type="dxa"/>
            <w:tcBorders>
              <w:top w:val="single" w:sz="5" w:space="0" w:color="000000"/>
              <w:left w:val="single" w:sz="5" w:space="0" w:color="000000"/>
              <w:bottom w:val="single" w:sz="5" w:space="0" w:color="000000"/>
              <w:right w:val="single" w:sz="5" w:space="0" w:color="000000"/>
            </w:tcBorders>
          </w:tcPr>
          <w:p w14:paraId="0090AB52" w14:textId="77777777" w:rsidR="00957F89" w:rsidRPr="00C73849" w:rsidRDefault="00D92D87" w:rsidP="00B90474">
            <w:pPr>
              <w:pStyle w:val="TableParagraph"/>
              <w:keepNext/>
              <w:spacing w:line="222" w:lineRule="exact"/>
              <w:ind w:left="145"/>
              <w:rPr>
                <w:rFonts w:ascii="Times New Roman" w:eastAsia="Times New Roman" w:hAnsi="Times New Roman" w:cs="Times New Roman"/>
                <w:sz w:val="20"/>
                <w:szCs w:val="20"/>
              </w:rPr>
            </w:pPr>
            <w:r w:rsidRPr="00C73849">
              <w:rPr>
                <w:rFonts w:ascii="Times New Roman"/>
                <w:sz w:val="20"/>
              </w:rPr>
              <w:t>4 (100%)</w:t>
            </w:r>
          </w:p>
        </w:tc>
        <w:tc>
          <w:tcPr>
            <w:tcW w:w="1049" w:type="dxa"/>
            <w:tcBorders>
              <w:top w:val="single" w:sz="5" w:space="0" w:color="000000"/>
              <w:left w:val="single" w:sz="5" w:space="0" w:color="000000"/>
              <w:bottom w:val="single" w:sz="5" w:space="0" w:color="000000"/>
              <w:right w:val="single" w:sz="5" w:space="0" w:color="000000"/>
            </w:tcBorders>
          </w:tcPr>
          <w:p w14:paraId="49091885" w14:textId="77777777" w:rsidR="00957F89" w:rsidRPr="00C73849" w:rsidRDefault="00D92D87" w:rsidP="00B90474">
            <w:pPr>
              <w:pStyle w:val="TableParagraph"/>
              <w:keepNext/>
              <w:spacing w:line="222" w:lineRule="exact"/>
              <w:ind w:left="145"/>
              <w:rPr>
                <w:rFonts w:ascii="Times New Roman" w:eastAsia="Times New Roman" w:hAnsi="Times New Roman" w:cs="Times New Roman"/>
                <w:sz w:val="20"/>
                <w:szCs w:val="20"/>
              </w:rPr>
            </w:pPr>
            <w:r w:rsidRPr="00C73849">
              <w:rPr>
                <w:rFonts w:ascii="Times New Roman"/>
                <w:sz w:val="20"/>
              </w:rPr>
              <w:t>4 (100%)</w:t>
            </w:r>
          </w:p>
        </w:tc>
        <w:tc>
          <w:tcPr>
            <w:tcW w:w="1049" w:type="dxa"/>
            <w:tcBorders>
              <w:top w:val="single" w:sz="5" w:space="0" w:color="000000"/>
              <w:left w:val="single" w:sz="5" w:space="0" w:color="000000"/>
              <w:bottom w:val="single" w:sz="5" w:space="0" w:color="000000"/>
              <w:right w:val="single" w:sz="5" w:space="0" w:color="000000"/>
            </w:tcBorders>
          </w:tcPr>
          <w:p w14:paraId="7CFE74D7" w14:textId="77777777" w:rsidR="00957F89" w:rsidRPr="00C73849" w:rsidRDefault="00D92D87" w:rsidP="00B90474">
            <w:pPr>
              <w:pStyle w:val="TableParagraph"/>
              <w:keepNext/>
              <w:spacing w:line="222" w:lineRule="exact"/>
              <w:ind w:left="145"/>
              <w:rPr>
                <w:rFonts w:ascii="Times New Roman" w:eastAsia="Times New Roman" w:hAnsi="Times New Roman" w:cs="Times New Roman"/>
                <w:sz w:val="20"/>
                <w:szCs w:val="20"/>
              </w:rPr>
            </w:pPr>
            <w:r w:rsidRPr="00C73849">
              <w:rPr>
                <w:rFonts w:ascii="Times New Roman"/>
                <w:sz w:val="20"/>
              </w:rPr>
              <w:t>8 (100%)</w:t>
            </w:r>
          </w:p>
        </w:tc>
        <w:tc>
          <w:tcPr>
            <w:tcW w:w="1049" w:type="dxa"/>
            <w:tcBorders>
              <w:top w:val="single" w:sz="5" w:space="0" w:color="000000"/>
              <w:left w:val="single" w:sz="5" w:space="0" w:color="000000"/>
              <w:bottom w:val="single" w:sz="5" w:space="0" w:color="000000"/>
              <w:right w:val="single" w:sz="5" w:space="0" w:color="000000"/>
            </w:tcBorders>
          </w:tcPr>
          <w:p w14:paraId="48D54F32" w14:textId="77777777" w:rsidR="00957F89" w:rsidRPr="00C73849" w:rsidRDefault="00D92D87" w:rsidP="00B90474">
            <w:pPr>
              <w:pStyle w:val="TableParagraph"/>
              <w:keepNext/>
              <w:spacing w:line="222" w:lineRule="exact"/>
              <w:ind w:left="145"/>
              <w:rPr>
                <w:rFonts w:ascii="Times New Roman" w:eastAsia="Times New Roman" w:hAnsi="Times New Roman" w:cs="Times New Roman"/>
                <w:sz w:val="20"/>
                <w:szCs w:val="20"/>
              </w:rPr>
            </w:pPr>
            <w:r w:rsidRPr="00C73849">
              <w:rPr>
                <w:rFonts w:ascii="Times New Roman"/>
                <w:sz w:val="20"/>
              </w:rPr>
              <w:t>4 (100%)</w:t>
            </w:r>
          </w:p>
        </w:tc>
        <w:tc>
          <w:tcPr>
            <w:tcW w:w="1133" w:type="dxa"/>
            <w:tcBorders>
              <w:top w:val="single" w:sz="5" w:space="0" w:color="000000"/>
              <w:left w:val="single" w:sz="5" w:space="0" w:color="000000"/>
              <w:bottom w:val="single" w:sz="5" w:space="0" w:color="000000"/>
              <w:right w:val="single" w:sz="12" w:space="0" w:color="000000"/>
            </w:tcBorders>
          </w:tcPr>
          <w:p w14:paraId="3A4C0B01" w14:textId="77777777" w:rsidR="00957F89" w:rsidRPr="00C73849" w:rsidRDefault="00D92D87" w:rsidP="00B90474">
            <w:pPr>
              <w:pStyle w:val="TableParagraph"/>
              <w:keepNext/>
              <w:spacing w:line="222" w:lineRule="exact"/>
              <w:ind w:left="136"/>
              <w:rPr>
                <w:rFonts w:ascii="Times New Roman" w:eastAsia="Times New Roman" w:hAnsi="Times New Roman" w:cs="Times New Roman"/>
                <w:sz w:val="20"/>
                <w:szCs w:val="20"/>
              </w:rPr>
            </w:pPr>
            <w:r w:rsidRPr="00C73849">
              <w:rPr>
                <w:rFonts w:ascii="Times New Roman"/>
                <w:sz w:val="20"/>
              </w:rPr>
              <w:t>12 (100%)</w:t>
            </w:r>
          </w:p>
        </w:tc>
      </w:tr>
      <w:tr w:rsidR="00957F89" w:rsidRPr="00C73849" w14:paraId="6A36DE67" w14:textId="77777777">
        <w:trPr>
          <w:trHeight w:hRule="exact" w:val="240"/>
        </w:trPr>
        <w:tc>
          <w:tcPr>
            <w:tcW w:w="960" w:type="dxa"/>
            <w:vMerge w:val="restart"/>
            <w:tcBorders>
              <w:top w:val="single" w:sz="5" w:space="0" w:color="000000"/>
              <w:left w:val="single" w:sz="12" w:space="0" w:color="000000"/>
              <w:right w:val="single" w:sz="5" w:space="0" w:color="000000"/>
            </w:tcBorders>
          </w:tcPr>
          <w:p w14:paraId="7A67EDA8" w14:textId="77777777" w:rsidR="00957F89" w:rsidRPr="00C73849" w:rsidRDefault="00D92D87" w:rsidP="00B90474">
            <w:pPr>
              <w:pStyle w:val="TableParagraph"/>
              <w:keepNext/>
              <w:ind w:left="92" w:right="245"/>
              <w:rPr>
                <w:rFonts w:ascii="Times New Roman" w:eastAsia="Times New Roman" w:hAnsi="Times New Roman" w:cs="Times New Roman"/>
                <w:sz w:val="20"/>
                <w:szCs w:val="20"/>
              </w:rPr>
            </w:pPr>
            <w:r w:rsidRPr="00C73849">
              <w:rPr>
                <w:rFonts w:ascii="Times New Roman"/>
                <w:sz w:val="20"/>
              </w:rPr>
              <w:t>Age</w:t>
            </w:r>
            <w:r w:rsidRPr="00C73849">
              <w:rPr>
                <w:rFonts w:ascii="Times New Roman"/>
                <w:w w:val="99"/>
                <w:sz w:val="20"/>
              </w:rPr>
              <w:t xml:space="preserve"> </w:t>
            </w:r>
            <w:r w:rsidRPr="00C73849">
              <w:rPr>
                <w:rFonts w:ascii="Times New Roman"/>
                <w:sz w:val="20"/>
              </w:rPr>
              <w:t>(Years)</w:t>
            </w:r>
          </w:p>
        </w:tc>
        <w:tc>
          <w:tcPr>
            <w:tcW w:w="1699" w:type="dxa"/>
            <w:tcBorders>
              <w:top w:val="single" w:sz="5" w:space="0" w:color="000000"/>
              <w:left w:val="single" w:sz="5" w:space="0" w:color="000000"/>
              <w:bottom w:val="single" w:sz="5" w:space="0" w:color="000000"/>
              <w:right w:val="single" w:sz="5" w:space="0" w:color="000000"/>
            </w:tcBorders>
          </w:tcPr>
          <w:p w14:paraId="00153AA0" w14:textId="77777777" w:rsidR="00957F89" w:rsidRPr="00C73849" w:rsidRDefault="00D92D87" w:rsidP="00B90474">
            <w:pPr>
              <w:pStyle w:val="TableParagraph"/>
              <w:keepNext/>
              <w:spacing w:line="222" w:lineRule="exact"/>
              <w:ind w:left="102"/>
              <w:rPr>
                <w:rFonts w:ascii="Times New Roman" w:eastAsia="Times New Roman" w:hAnsi="Times New Roman" w:cs="Times New Roman"/>
                <w:sz w:val="20"/>
                <w:szCs w:val="20"/>
              </w:rPr>
            </w:pPr>
            <w:r w:rsidRPr="00C73849">
              <w:rPr>
                <w:rFonts w:ascii="Times New Roman"/>
                <w:sz w:val="20"/>
              </w:rPr>
              <w:t>Mean</w:t>
            </w:r>
          </w:p>
        </w:tc>
        <w:tc>
          <w:tcPr>
            <w:tcW w:w="1049" w:type="dxa"/>
            <w:tcBorders>
              <w:top w:val="single" w:sz="5" w:space="0" w:color="000000"/>
              <w:left w:val="single" w:sz="5" w:space="0" w:color="000000"/>
              <w:bottom w:val="single" w:sz="5" w:space="0" w:color="000000"/>
              <w:right w:val="single" w:sz="5" w:space="0" w:color="000000"/>
            </w:tcBorders>
          </w:tcPr>
          <w:p w14:paraId="4976B184" w14:textId="77777777" w:rsidR="00957F89" w:rsidRPr="00C73849" w:rsidRDefault="00D92D87" w:rsidP="00B90474">
            <w:pPr>
              <w:pStyle w:val="TableParagraph"/>
              <w:keepNext/>
              <w:spacing w:line="222" w:lineRule="exact"/>
              <w:ind w:left="343"/>
              <w:rPr>
                <w:rFonts w:ascii="Times New Roman" w:eastAsia="Times New Roman" w:hAnsi="Times New Roman" w:cs="Times New Roman"/>
                <w:sz w:val="20"/>
                <w:szCs w:val="20"/>
              </w:rPr>
            </w:pPr>
            <w:r w:rsidRPr="00C73849">
              <w:rPr>
                <w:rFonts w:ascii="Times New Roman"/>
                <w:sz w:val="20"/>
              </w:rPr>
              <w:t>27.5</w:t>
            </w:r>
          </w:p>
        </w:tc>
        <w:tc>
          <w:tcPr>
            <w:tcW w:w="1051" w:type="dxa"/>
            <w:tcBorders>
              <w:top w:val="single" w:sz="5" w:space="0" w:color="000000"/>
              <w:left w:val="single" w:sz="5" w:space="0" w:color="000000"/>
              <w:bottom w:val="single" w:sz="5" w:space="0" w:color="000000"/>
              <w:right w:val="single" w:sz="5" w:space="0" w:color="000000"/>
            </w:tcBorders>
          </w:tcPr>
          <w:p w14:paraId="6984E0EE" w14:textId="77777777" w:rsidR="00957F89" w:rsidRPr="00C73849" w:rsidRDefault="00D92D87" w:rsidP="00B90474">
            <w:pPr>
              <w:pStyle w:val="TableParagraph"/>
              <w:keepNext/>
              <w:spacing w:line="222" w:lineRule="exact"/>
              <w:ind w:left="343"/>
              <w:rPr>
                <w:rFonts w:ascii="Times New Roman" w:eastAsia="Times New Roman" w:hAnsi="Times New Roman" w:cs="Times New Roman"/>
                <w:sz w:val="20"/>
                <w:szCs w:val="20"/>
              </w:rPr>
            </w:pPr>
            <w:r w:rsidRPr="00C73849">
              <w:rPr>
                <w:rFonts w:ascii="Times New Roman"/>
                <w:sz w:val="20"/>
              </w:rPr>
              <w:t>30.0</w:t>
            </w:r>
          </w:p>
        </w:tc>
        <w:tc>
          <w:tcPr>
            <w:tcW w:w="1049" w:type="dxa"/>
            <w:tcBorders>
              <w:top w:val="single" w:sz="5" w:space="0" w:color="000000"/>
              <w:left w:val="single" w:sz="5" w:space="0" w:color="000000"/>
              <w:bottom w:val="single" w:sz="5" w:space="0" w:color="000000"/>
              <w:right w:val="single" w:sz="5" w:space="0" w:color="000000"/>
            </w:tcBorders>
          </w:tcPr>
          <w:p w14:paraId="29B5F8FB" w14:textId="77777777" w:rsidR="00957F89" w:rsidRPr="00C73849" w:rsidRDefault="00D92D87" w:rsidP="00B90474">
            <w:pPr>
              <w:pStyle w:val="TableParagraph"/>
              <w:keepNext/>
              <w:spacing w:line="222" w:lineRule="exact"/>
              <w:ind w:left="343"/>
              <w:rPr>
                <w:rFonts w:ascii="Times New Roman" w:eastAsia="Times New Roman" w:hAnsi="Times New Roman" w:cs="Times New Roman"/>
                <w:sz w:val="20"/>
                <w:szCs w:val="20"/>
              </w:rPr>
            </w:pPr>
            <w:r w:rsidRPr="00C73849">
              <w:rPr>
                <w:rFonts w:ascii="Times New Roman"/>
                <w:sz w:val="20"/>
              </w:rPr>
              <w:t>21.5</w:t>
            </w:r>
          </w:p>
        </w:tc>
        <w:tc>
          <w:tcPr>
            <w:tcW w:w="1049" w:type="dxa"/>
            <w:tcBorders>
              <w:top w:val="single" w:sz="5" w:space="0" w:color="000000"/>
              <w:left w:val="single" w:sz="5" w:space="0" w:color="000000"/>
              <w:bottom w:val="single" w:sz="5" w:space="0" w:color="000000"/>
              <w:right w:val="single" w:sz="5" w:space="0" w:color="000000"/>
            </w:tcBorders>
          </w:tcPr>
          <w:p w14:paraId="451D8BF3" w14:textId="77777777" w:rsidR="00957F89" w:rsidRPr="00C73849" w:rsidRDefault="00D92D87" w:rsidP="00B90474">
            <w:pPr>
              <w:pStyle w:val="TableParagraph"/>
              <w:keepNext/>
              <w:spacing w:line="222" w:lineRule="exact"/>
              <w:ind w:left="343"/>
              <w:rPr>
                <w:rFonts w:ascii="Times New Roman" w:eastAsia="Times New Roman" w:hAnsi="Times New Roman" w:cs="Times New Roman"/>
                <w:sz w:val="20"/>
                <w:szCs w:val="20"/>
              </w:rPr>
            </w:pPr>
            <w:r w:rsidRPr="00C73849">
              <w:rPr>
                <w:rFonts w:ascii="Times New Roman"/>
                <w:sz w:val="20"/>
              </w:rPr>
              <w:t>26.3</w:t>
            </w:r>
          </w:p>
        </w:tc>
        <w:tc>
          <w:tcPr>
            <w:tcW w:w="1049" w:type="dxa"/>
            <w:tcBorders>
              <w:top w:val="single" w:sz="5" w:space="0" w:color="000000"/>
              <w:left w:val="single" w:sz="5" w:space="0" w:color="000000"/>
              <w:bottom w:val="single" w:sz="5" w:space="0" w:color="000000"/>
              <w:right w:val="single" w:sz="5" w:space="0" w:color="000000"/>
            </w:tcBorders>
          </w:tcPr>
          <w:p w14:paraId="198ED028" w14:textId="77777777" w:rsidR="00957F89" w:rsidRPr="00C73849" w:rsidRDefault="00D92D87" w:rsidP="00B90474">
            <w:pPr>
              <w:pStyle w:val="TableParagraph"/>
              <w:keepNext/>
              <w:spacing w:line="222" w:lineRule="exact"/>
              <w:ind w:left="343"/>
              <w:rPr>
                <w:rFonts w:ascii="Times New Roman" w:eastAsia="Times New Roman" w:hAnsi="Times New Roman" w:cs="Times New Roman"/>
                <w:sz w:val="20"/>
                <w:szCs w:val="20"/>
              </w:rPr>
            </w:pPr>
            <w:r w:rsidRPr="00C73849">
              <w:rPr>
                <w:rFonts w:ascii="Times New Roman"/>
                <w:sz w:val="20"/>
              </w:rPr>
              <w:t>23.5</w:t>
            </w:r>
          </w:p>
        </w:tc>
        <w:tc>
          <w:tcPr>
            <w:tcW w:w="1133" w:type="dxa"/>
            <w:tcBorders>
              <w:top w:val="single" w:sz="5" w:space="0" w:color="000000"/>
              <w:left w:val="single" w:sz="5" w:space="0" w:color="000000"/>
              <w:bottom w:val="single" w:sz="5" w:space="0" w:color="000000"/>
              <w:right w:val="single" w:sz="12" w:space="0" w:color="000000"/>
            </w:tcBorders>
          </w:tcPr>
          <w:p w14:paraId="16D45112" w14:textId="77777777" w:rsidR="00957F89" w:rsidRPr="00C73849" w:rsidRDefault="00D92D87" w:rsidP="00B90474">
            <w:pPr>
              <w:pStyle w:val="TableParagraph"/>
              <w:keepNext/>
              <w:spacing w:line="222" w:lineRule="exact"/>
              <w:ind w:left="8"/>
              <w:jc w:val="center"/>
              <w:rPr>
                <w:rFonts w:ascii="Times New Roman" w:eastAsia="Times New Roman" w:hAnsi="Times New Roman" w:cs="Times New Roman"/>
                <w:sz w:val="20"/>
                <w:szCs w:val="20"/>
              </w:rPr>
            </w:pPr>
            <w:r w:rsidRPr="00C73849">
              <w:rPr>
                <w:rFonts w:ascii="Times New Roman"/>
                <w:sz w:val="20"/>
              </w:rPr>
              <w:t>26.3</w:t>
            </w:r>
          </w:p>
        </w:tc>
      </w:tr>
      <w:tr w:rsidR="00957F89" w:rsidRPr="00C73849" w14:paraId="1ADB25E5" w14:textId="77777777">
        <w:trPr>
          <w:trHeight w:hRule="exact" w:val="240"/>
        </w:trPr>
        <w:tc>
          <w:tcPr>
            <w:tcW w:w="960" w:type="dxa"/>
            <w:vMerge/>
            <w:tcBorders>
              <w:left w:val="single" w:sz="12" w:space="0" w:color="000000"/>
              <w:right w:val="single" w:sz="5" w:space="0" w:color="000000"/>
            </w:tcBorders>
          </w:tcPr>
          <w:p w14:paraId="55FEFE77" w14:textId="77777777" w:rsidR="00957F89" w:rsidRPr="00C73849" w:rsidRDefault="00957F89" w:rsidP="00B90474">
            <w:pPr>
              <w:keepNext/>
            </w:pPr>
          </w:p>
        </w:tc>
        <w:tc>
          <w:tcPr>
            <w:tcW w:w="1699" w:type="dxa"/>
            <w:tcBorders>
              <w:top w:val="single" w:sz="5" w:space="0" w:color="000000"/>
              <w:left w:val="single" w:sz="5" w:space="0" w:color="000000"/>
              <w:bottom w:val="single" w:sz="5" w:space="0" w:color="000000"/>
              <w:right w:val="single" w:sz="5" w:space="0" w:color="000000"/>
            </w:tcBorders>
          </w:tcPr>
          <w:p w14:paraId="32750E65" w14:textId="77777777" w:rsidR="00957F89" w:rsidRPr="00C73849" w:rsidRDefault="00D92D87" w:rsidP="00B90474">
            <w:pPr>
              <w:pStyle w:val="TableParagraph"/>
              <w:keepNext/>
              <w:spacing w:line="222" w:lineRule="exact"/>
              <w:ind w:left="102"/>
              <w:rPr>
                <w:rFonts w:ascii="Times New Roman" w:eastAsia="Times New Roman" w:hAnsi="Times New Roman" w:cs="Times New Roman"/>
                <w:sz w:val="20"/>
                <w:szCs w:val="20"/>
              </w:rPr>
            </w:pPr>
            <w:r w:rsidRPr="00C73849">
              <w:rPr>
                <w:rFonts w:ascii="Times New Roman"/>
                <w:sz w:val="20"/>
              </w:rPr>
              <w:t>SD</w:t>
            </w:r>
          </w:p>
        </w:tc>
        <w:tc>
          <w:tcPr>
            <w:tcW w:w="1049" w:type="dxa"/>
            <w:tcBorders>
              <w:top w:val="single" w:sz="5" w:space="0" w:color="000000"/>
              <w:left w:val="single" w:sz="5" w:space="0" w:color="000000"/>
              <w:bottom w:val="single" w:sz="5" w:space="0" w:color="000000"/>
              <w:right w:val="single" w:sz="5" w:space="0" w:color="000000"/>
            </w:tcBorders>
          </w:tcPr>
          <w:p w14:paraId="4FB61980" w14:textId="77777777" w:rsidR="00957F89" w:rsidRPr="00C73849" w:rsidRDefault="00D92D87" w:rsidP="00B90474">
            <w:pPr>
              <w:pStyle w:val="TableParagraph"/>
              <w:keepNext/>
              <w:spacing w:line="222" w:lineRule="exact"/>
              <w:ind w:left="342"/>
              <w:rPr>
                <w:rFonts w:ascii="Times New Roman" w:eastAsia="Times New Roman" w:hAnsi="Times New Roman" w:cs="Times New Roman"/>
                <w:sz w:val="20"/>
                <w:szCs w:val="20"/>
              </w:rPr>
            </w:pPr>
            <w:r w:rsidRPr="00C73849">
              <w:rPr>
                <w:rFonts w:ascii="Times New Roman"/>
                <w:sz w:val="20"/>
              </w:rPr>
              <w:t>5.74</w:t>
            </w:r>
          </w:p>
        </w:tc>
        <w:tc>
          <w:tcPr>
            <w:tcW w:w="1051" w:type="dxa"/>
            <w:tcBorders>
              <w:top w:val="single" w:sz="5" w:space="0" w:color="000000"/>
              <w:left w:val="single" w:sz="5" w:space="0" w:color="000000"/>
              <w:bottom w:val="single" w:sz="5" w:space="0" w:color="000000"/>
              <w:right w:val="single" w:sz="5" w:space="0" w:color="000000"/>
            </w:tcBorders>
          </w:tcPr>
          <w:p w14:paraId="17FD110E" w14:textId="77777777" w:rsidR="00957F89" w:rsidRPr="00C73849" w:rsidRDefault="00D92D87" w:rsidP="00B90474">
            <w:pPr>
              <w:pStyle w:val="TableParagraph"/>
              <w:keepNext/>
              <w:spacing w:line="222" w:lineRule="exact"/>
              <w:ind w:left="342"/>
              <w:rPr>
                <w:rFonts w:ascii="Times New Roman" w:eastAsia="Times New Roman" w:hAnsi="Times New Roman" w:cs="Times New Roman"/>
                <w:sz w:val="20"/>
                <w:szCs w:val="20"/>
              </w:rPr>
            </w:pPr>
            <w:r w:rsidRPr="00C73849">
              <w:rPr>
                <w:rFonts w:ascii="Times New Roman"/>
                <w:sz w:val="20"/>
              </w:rPr>
              <w:t>6.06</w:t>
            </w:r>
          </w:p>
        </w:tc>
        <w:tc>
          <w:tcPr>
            <w:tcW w:w="1049" w:type="dxa"/>
            <w:tcBorders>
              <w:top w:val="single" w:sz="5" w:space="0" w:color="000000"/>
              <w:left w:val="single" w:sz="5" w:space="0" w:color="000000"/>
              <w:bottom w:val="single" w:sz="5" w:space="0" w:color="000000"/>
              <w:right w:val="single" w:sz="5" w:space="0" w:color="000000"/>
            </w:tcBorders>
          </w:tcPr>
          <w:p w14:paraId="6283F97C" w14:textId="77777777" w:rsidR="00957F89" w:rsidRPr="00C73849" w:rsidRDefault="00D92D87" w:rsidP="00B90474">
            <w:pPr>
              <w:pStyle w:val="TableParagraph"/>
              <w:keepNext/>
              <w:spacing w:line="222" w:lineRule="exact"/>
              <w:ind w:left="342"/>
              <w:rPr>
                <w:rFonts w:ascii="Times New Roman" w:eastAsia="Times New Roman" w:hAnsi="Times New Roman" w:cs="Times New Roman"/>
                <w:sz w:val="20"/>
                <w:szCs w:val="20"/>
              </w:rPr>
            </w:pPr>
            <w:r w:rsidRPr="00C73849">
              <w:rPr>
                <w:rFonts w:ascii="Times New Roman"/>
                <w:sz w:val="20"/>
              </w:rPr>
              <w:t>1.29</w:t>
            </w:r>
          </w:p>
        </w:tc>
        <w:tc>
          <w:tcPr>
            <w:tcW w:w="1049" w:type="dxa"/>
            <w:tcBorders>
              <w:top w:val="single" w:sz="5" w:space="0" w:color="000000"/>
              <w:left w:val="single" w:sz="5" w:space="0" w:color="000000"/>
              <w:bottom w:val="single" w:sz="5" w:space="0" w:color="000000"/>
              <w:right w:val="single" w:sz="5" w:space="0" w:color="000000"/>
            </w:tcBorders>
          </w:tcPr>
          <w:p w14:paraId="7C06FB1C" w14:textId="77777777" w:rsidR="00957F89" w:rsidRPr="00C73849" w:rsidRDefault="00D92D87" w:rsidP="00B90474">
            <w:pPr>
              <w:pStyle w:val="TableParagraph"/>
              <w:keepNext/>
              <w:spacing w:line="222" w:lineRule="exact"/>
              <w:ind w:left="342"/>
              <w:rPr>
                <w:rFonts w:ascii="Times New Roman" w:eastAsia="Times New Roman" w:hAnsi="Times New Roman" w:cs="Times New Roman"/>
                <w:sz w:val="20"/>
                <w:szCs w:val="20"/>
              </w:rPr>
            </w:pPr>
            <w:r w:rsidRPr="00C73849">
              <w:rPr>
                <w:rFonts w:ascii="Times New Roman"/>
                <w:sz w:val="20"/>
              </w:rPr>
              <w:t>7.05</w:t>
            </w:r>
          </w:p>
        </w:tc>
        <w:tc>
          <w:tcPr>
            <w:tcW w:w="1049" w:type="dxa"/>
            <w:tcBorders>
              <w:top w:val="single" w:sz="5" w:space="0" w:color="000000"/>
              <w:left w:val="single" w:sz="5" w:space="0" w:color="000000"/>
              <w:bottom w:val="single" w:sz="5" w:space="0" w:color="000000"/>
              <w:right w:val="single" w:sz="5" w:space="0" w:color="000000"/>
            </w:tcBorders>
          </w:tcPr>
          <w:p w14:paraId="32DC650C" w14:textId="77777777" w:rsidR="00957F89" w:rsidRPr="00C73849" w:rsidRDefault="00D92D87" w:rsidP="00B90474">
            <w:pPr>
              <w:pStyle w:val="TableParagraph"/>
              <w:keepNext/>
              <w:spacing w:line="222" w:lineRule="exact"/>
              <w:ind w:left="342"/>
              <w:rPr>
                <w:rFonts w:ascii="Times New Roman" w:eastAsia="Times New Roman" w:hAnsi="Times New Roman" w:cs="Times New Roman"/>
                <w:sz w:val="20"/>
                <w:szCs w:val="20"/>
              </w:rPr>
            </w:pPr>
            <w:r w:rsidRPr="00C73849">
              <w:rPr>
                <w:rFonts w:ascii="Times New Roman"/>
                <w:sz w:val="20"/>
              </w:rPr>
              <w:t>1.73</w:t>
            </w:r>
          </w:p>
        </w:tc>
        <w:tc>
          <w:tcPr>
            <w:tcW w:w="1133" w:type="dxa"/>
            <w:tcBorders>
              <w:top w:val="single" w:sz="5" w:space="0" w:color="000000"/>
              <w:left w:val="single" w:sz="5" w:space="0" w:color="000000"/>
              <w:bottom w:val="single" w:sz="5" w:space="0" w:color="000000"/>
              <w:right w:val="single" w:sz="12" w:space="0" w:color="000000"/>
            </w:tcBorders>
          </w:tcPr>
          <w:p w14:paraId="4C1D4B36" w14:textId="77777777" w:rsidR="00957F89" w:rsidRPr="00C73849" w:rsidRDefault="00D92D87" w:rsidP="00B90474">
            <w:pPr>
              <w:pStyle w:val="TableParagraph"/>
              <w:keepNext/>
              <w:spacing w:line="222" w:lineRule="exact"/>
              <w:ind w:left="8"/>
              <w:jc w:val="center"/>
              <w:rPr>
                <w:rFonts w:ascii="Times New Roman" w:eastAsia="Times New Roman" w:hAnsi="Times New Roman" w:cs="Times New Roman"/>
                <w:sz w:val="20"/>
                <w:szCs w:val="20"/>
              </w:rPr>
            </w:pPr>
            <w:r w:rsidRPr="00C73849">
              <w:rPr>
                <w:rFonts w:ascii="Times New Roman"/>
                <w:sz w:val="20"/>
              </w:rPr>
              <w:t>4.94</w:t>
            </w:r>
          </w:p>
        </w:tc>
      </w:tr>
      <w:tr w:rsidR="00957F89" w:rsidRPr="00C73849" w14:paraId="60516370" w14:textId="77777777">
        <w:trPr>
          <w:trHeight w:hRule="exact" w:val="240"/>
        </w:trPr>
        <w:tc>
          <w:tcPr>
            <w:tcW w:w="960" w:type="dxa"/>
            <w:vMerge/>
            <w:tcBorders>
              <w:left w:val="single" w:sz="12" w:space="0" w:color="000000"/>
              <w:bottom w:val="single" w:sz="5" w:space="0" w:color="000000"/>
              <w:right w:val="single" w:sz="5" w:space="0" w:color="000000"/>
            </w:tcBorders>
          </w:tcPr>
          <w:p w14:paraId="64497C69" w14:textId="77777777" w:rsidR="00957F89" w:rsidRPr="00C73849" w:rsidRDefault="00957F89" w:rsidP="00B90474">
            <w:pPr>
              <w:keepNext/>
            </w:pPr>
          </w:p>
        </w:tc>
        <w:tc>
          <w:tcPr>
            <w:tcW w:w="1699" w:type="dxa"/>
            <w:tcBorders>
              <w:top w:val="single" w:sz="5" w:space="0" w:color="000000"/>
              <w:left w:val="single" w:sz="5" w:space="0" w:color="000000"/>
              <w:bottom w:val="single" w:sz="5" w:space="0" w:color="000000"/>
              <w:right w:val="single" w:sz="5" w:space="0" w:color="000000"/>
            </w:tcBorders>
          </w:tcPr>
          <w:p w14:paraId="7236A727" w14:textId="77777777" w:rsidR="00957F89" w:rsidRPr="00C73849" w:rsidRDefault="00D92D87" w:rsidP="00B90474">
            <w:pPr>
              <w:pStyle w:val="TableParagraph"/>
              <w:keepNext/>
              <w:spacing w:line="222" w:lineRule="exact"/>
              <w:ind w:left="102"/>
              <w:rPr>
                <w:rFonts w:ascii="Times New Roman" w:eastAsia="Times New Roman" w:hAnsi="Times New Roman" w:cs="Times New Roman"/>
                <w:sz w:val="20"/>
                <w:szCs w:val="20"/>
              </w:rPr>
            </w:pPr>
            <w:r w:rsidRPr="00C73849">
              <w:rPr>
                <w:rFonts w:ascii="Times New Roman"/>
                <w:sz w:val="20"/>
              </w:rPr>
              <w:t>Range (min-max)</w:t>
            </w:r>
          </w:p>
        </w:tc>
        <w:tc>
          <w:tcPr>
            <w:tcW w:w="1049" w:type="dxa"/>
            <w:tcBorders>
              <w:top w:val="single" w:sz="5" w:space="0" w:color="000000"/>
              <w:left w:val="single" w:sz="5" w:space="0" w:color="000000"/>
              <w:bottom w:val="single" w:sz="5" w:space="0" w:color="000000"/>
              <w:right w:val="single" w:sz="5" w:space="0" w:color="000000"/>
            </w:tcBorders>
          </w:tcPr>
          <w:p w14:paraId="35B7694C" w14:textId="77777777" w:rsidR="00957F89" w:rsidRPr="00C73849" w:rsidRDefault="00D92D87" w:rsidP="00B90474">
            <w:pPr>
              <w:pStyle w:val="TableParagraph"/>
              <w:keepNext/>
              <w:spacing w:line="222" w:lineRule="exact"/>
              <w:ind w:left="286"/>
              <w:rPr>
                <w:rFonts w:ascii="Times New Roman" w:eastAsia="Times New Roman" w:hAnsi="Times New Roman" w:cs="Times New Roman"/>
                <w:sz w:val="20"/>
                <w:szCs w:val="20"/>
              </w:rPr>
            </w:pPr>
            <w:r w:rsidRPr="00C73849">
              <w:rPr>
                <w:rFonts w:ascii="Times New Roman"/>
                <w:sz w:val="20"/>
              </w:rPr>
              <w:t>21-35</w:t>
            </w:r>
          </w:p>
        </w:tc>
        <w:tc>
          <w:tcPr>
            <w:tcW w:w="1051" w:type="dxa"/>
            <w:tcBorders>
              <w:top w:val="single" w:sz="5" w:space="0" w:color="000000"/>
              <w:left w:val="single" w:sz="5" w:space="0" w:color="000000"/>
              <w:bottom w:val="single" w:sz="5" w:space="0" w:color="000000"/>
              <w:right w:val="single" w:sz="5" w:space="0" w:color="000000"/>
            </w:tcBorders>
          </w:tcPr>
          <w:p w14:paraId="584F5243" w14:textId="77777777" w:rsidR="00957F89" w:rsidRPr="00C73849" w:rsidRDefault="00D92D87" w:rsidP="00B90474">
            <w:pPr>
              <w:pStyle w:val="TableParagraph"/>
              <w:keepNext/>
              <w:spacing w:line="222" w:lineRule="exact"/>
              <w:ind w:left="285"/>
              <w:rPr>
                <w:rFonts w:ascii="Times New Roman" w:eastAsia="Times New Roman" w:hAnsi="Times New Roman" w:cs="Times New Roman"/>
                <w:sz w:val="20"/>
                <w:szCs w:val="20"/>
              </w:rPr>
            </w:pPr>
            <w:r w:rsidRPr="00C73849">
              <w:rPr>
                <w:rFonts w:ascii="Times New Roman"/>
                <w:sz w:val="20"/>
              </w:rPr>
              <w:t>22-36</w:t>
            </w:r>
          </w:p>
        </w:tc>
        <w:tc>
          <w:tcPr>
            <w:tcW w:w="1049" w:type="dxa"/>
            <w:tcBorders>
              <w:top w:val="single" w:sz="5" w:space="0" w:color="000000"/>
              <w:left w:val="single" w:sz="5" w:space="0" w:color="000000"/>
              <w:bottom w:val="single" w:sz="5" w:space="0" w:color="000000"/>
              <w:right w:val="single" w:sz="5" w:space="0" w:color="000000"/>
            </w:tcBorders>
          </w:tcPr>
          <w:p w14:paraId="7613C361" w14:textId="77777777" w:rsidR="00957F89" w:rsidRPr="00C73849" w:rsidRDefault="00D92D87" w:rsidP="00B90474">
            <w:pPr>
              <w:pStyle w:val="TableParagraph"/>
              <w:keepNext/>
              <w:spacing w:line="222" w:lineRule="exact"/>
              <w:ind w:left="285"/>
              <w:rPr>
                <w:rFonts w:ascii="Times New Roman" w:eastAsia="Times New Roman" w:hAnsi="Times New Roman" w:cs="Times New Roman"/>
                <w:sz w:val="20"/>
                <w:szCs w:val="20"/>
              </w:rPr>
            </w:pPr>
            <w:r w:rsidRPr="00C73849">
              <w:rPr>
                <w:rFonts w:ascii="Times New Roman"/>
                <w:sz w:val="20"/>
              </w:rPr>
              <w:t>20-23</w:t>
            </w:r>
          </w:p>
        </w:tc>
        <w:tc>
          <w:tcPr>
            <w:tcW w:w="1049" w:type="dxa"/>
            <w:tcBorders>
              <w:top w:val="single" w:sz="5" w:space="0" w:color="000000"/>
              <w:left w:val="single" w:sz="5" w:space="0" w:color="000000"/>
              <w:bottom w:val="single" w:sz="5" w:space="0" w:color="000000"/>
              <w:right w:val="single" w:sz="5" w:space="0" w:color="000000"/>
            </w:tcBorders>
          </w:tcPr>
          <w:p w14:paraId="6F3B67C8" w14:textId="77777777" w:rsidR="00957F89" w:rsidRPr="00C73849" w:rsidRDefault="00D92D87" w:rsidP="00B90474">
            <w:pPr>
              <w:pStyle w:val="TableParagraph"/>
              <w:keepNext/>
              <w:spacing w:line="222" w:lineRule="exact"/>
              <w:ind w:left="285"/>
              <w:rPr>
                <w:rFonts w:ascii="Times New Roman" w:eastAsia="Times New Roman" w:hAnsi="Times New Roman" w:cs="Times New Roman"/>
                <w:sz w:val="20"/>
                <w:szCs w:val="20"/>
              </w:rPr>
            </w:pPr>
            <w:r w:rsidRPr="00C73849">
              <w:rPr>
                <w:rFonts w:ascii="Times New Roman"/>
                <w:sz w:val="20"/>
              </w:rPr>
              <w:t>19-39</w:t>
            </w:r>
          </w:p>
        </w:tc>
        <w:tc>
          <w:tcPr>
            <w:tcW w:w="1049" w:type="dxa"/>
            <w:tcBorders>
              <w:top w:val="single" w:sz="5" w:space="0" w:color="000000"/>
              <w:left w:val="single" w:sz="5" w:space="0" w:color="000000"/>
              <w:bottom w:val="single" w:sz="5" w:space="0" w:color="000000"/>
              <w:right w:val="single" w:sz="5" w:space="0" w:color="000000"/>
            </w:tcBorders>
          </w:tcPr>
          <w:p w14:paraId="5509541F" w14:textId="77777777" w:rsidR="00957F89" w:rsidRPr="00C73849" w:rsidRDefault="00D92D87" w:rsidP="00B90474">
            <w:pPr>
              <w:pStyle w:val="TableParagraph"/>
              <w:keepNext/>
              <w:spacing w:line="222" w:lineRule="exact"/>
              <w:ind w:left="284"/>
              <w:rPr>
                <w:rFonts w:ascii="Times New Roman" w:eastAsia="Times New Roman" w:hAnsi="Times New Roman" w:cs="Times New Roman"/>
                <w:sz w:val="20"/>
                <w:szCs w:val="20"/>
              </w:rPr>
            </w:pPr>
            <w:r w:rsidRPr="00C73849">
              <w:rPr>
                <w:rFonts w:ascii="Times New Roman"/>
                <w:sz w:val="20"/>
              </w:rPr>
              <w:t>22-26</w:t>
            </w:r>
          </w:p>
        </w:tc>
        <w:tc>
          <w:tcPr>
            <w:tcW w:w="1133" w:type="dxa"/>
            <w:tcBorders>
              <w:top w:val="single" w:sz="5" w:space="0" w:color="000000"/>
              <w:left w:val="single" w:sz="5" w:space="0" w:color="000000"/>
              <w:bottom w:val="single" w:sz="5" w:space="0" w:color="000000"/>
              <w:right w:val="single" w:sz="12" w:space="0" w:color="000000"/>
            </w:tcBorders>
          </w:tcPr>
          <w:p w14:paraId="61ED1BD3" w14:textId="77777777" w:rsidR="00957F89" w:rsidRPr="00C73849" w:rsidRDefault="00D92D87" w:rsidP="00B90474">
            <w:pPr>
              <w:pStyle w:val="TableParagraph"/>
              <w:keepNext/>
              <w:spacing w:line="222" w:lineRule="exact"/>
              <w:ind w:left="325"/>
              <w:rPr>
                <w:rFonts w:ascii="Times New Roman" w:eastAsia="Times New Roman" w:hAnsi="Times New Roman" w:cs="Times New Roman"/>
                <w:sz w:val="20"/>
                <w:szCs w:val="20"/>
              </w:rPr>
            </w:pPr>
            <w:r w:rsidRPr="00C73849">
              <w:rPr>
                <w:rFonts w:ascii="Times New Roman"/>
                <w:sz w:val="20"/>
              </w:rPr>
              <w:t>22-37</w:t>
            </w:r>
          </w:p>
        </w:tc>
      </w:tr>
      <w:tr w:rsidR="00957F89" w:rsidRPr="00C73849" w14:paraId="3ED7FD2D" w14:textId="77777777">
        <w:trPr>
          <w:trHeight w:hRule="exact" w:val="240"/>
        </w:trPr>
        <w:tc>
          <w:tcPr>
            <w:tcW w:w="960" w:type="dxa"/>
            <w:vMerge w:val="restart"/>
            <w:tcBorders>
              <w:top w:val="single" w:sz="5" w:space="0" w:color="000000"/>
              <w:left w:val="single" w:sz="12" w:space="0" w:color="000000"/>
              <w:right w:val="single" w:sz="5" w:space="0" w:color="000000"/>
            </w:tcBorders>
          </w:tcPr>
          <w:p w14:paraId="2D60AE35" w14:textId="77777777" w:rsidR="00957F89" w:rsidRPr="00C73849" w:rsidRDefault="00D92D87" w:rsidP="00B90474">
            <w:pPr>
              <w:pStyle w:val="TableParagraph"/>
              <w:keepNext/>
              <w:ind w:left="92" w:right="259"/>
              <w:rPr>
                <w:rFonts w:ascii="Times New Roman" w:eastAsia="Times New Roman" w:hAnsi="Times New Roman" w:cs="Times New Roman"/>
                <w:sz w:val="20"/>
                <w:szCs w:val="20"/>
              </w:rPr>
            </w:pPr>
            <w:r w:rsidRPr="00C73849">
              <w:rPr>
                <w:rFonts w:ascii="Times New Roman"/>
                <w:sz w:val="20"/>
              </w:rPr>
              <w:t>Weight</w:t>
            </w:r>
            <w:r w:rsidRPr="00C73849">
              <w:rPr>
                <w:rFonts w:ascii="Times New Roman"/>
                <w:w w:val="99"/>
                <w:sz w:val="20"/>
              </w:rPr>
              <w:t xml:space="preserve"> </w:t>
            </w:r>
            <w:r w:rsidRPr="00C73849">
              <w:rPr>
                <w:rFonts w:ascii="Times New Roman"/>
                <w:sz w:val="20"/>
              </w:rPr>
              <w:t>(kg)</w:t>
            </w:r>
          </w:p>
        </w:tc>
        <w:tc>
          <w:tcPr>
            <w:tcW w:w="1699" w:type="dxa"/>
            <w:tcBorders>
              <w:top w:val="single" w:sz="5" w:space="0" w:color="000000"/>
              <w:left w:val="single" w:sz="5" w:space="0" w:color="000000"/>
              <w:bottom w:val="single" w:sz="5" w:space="0" w:color="000000"/>
              <w:right w:val="single" w:sz="5" w:space="0" w:color="000000"/>
            </w:tcBorders>
          </w:tcPr>
          <w:p w14:paraId="7107FE05" w14:textId="77777777" w:rsidR="00957F89" w:rsidRPr="00C73849" w:rsidRDefault="00D92D87" w:rsidP="00B90474">
            <w:pPr>
              <w:pStyle w:val="TableParagraph"/>
              <w:keepNext/>
              <w:spacing w:line="222" w:lineRule="exact"/>
              <w:ind w:left="102"/>
              <w:rPr>
                <w:rFonts w:ascii="Times New Roman" w:eastAsia="Times New Roman" w:hAnsi="Times New Roman" w:cs="Times New Roman"/>
                <w:sz w:val="20"/>
                <w:szCs w:val="20"/>
              </w:rPr>
            </w:pPr>
            <w:r w:rsidRPr="00C73849">
              <w:rPr>
                <w:rFonts w:ascii="Times New Roman"/>
                <w:sz w:val="20"/>
              </w:rPr>
              <w:t>Mean</w:t>
            </w:r>
          </w:p>
        </w:tc>
        <w:tc>
          <w:tcPr>
            <w:tcW w:w="1049" w:type="dxa"/>
            <w:tcBorders>
              <w:top w:val="single" w:sz="5" w:space="0" w:color="000000"/>
              <w:left w:val="single" w:sz="5" w:space="0" w:color="000000"/>
              <w:bottom w:val="single" w:sz="5" w:space="0" w:color="000000"/>
              <w:right w:val="single" w:sz="5" w:space="0" w:color="000000"/>
            </w:tcBorders>
          </w:tcPr>
          <w:p w14:paraId="5AA8ECB1" w14:textId="77777777" w:rsidR="00957F89" w:rsidRPr="00C73849" w:rsidRDefault="00D92D87" w:rsidP="00B90474">
            <w:pPr>
              <w:pStyle w:val="TableParagraph"/>
              <w:keepNext/>
              <w:spacing w:line="222" w:lineRule="exact"/>
              <w:ind w:left="343"/>
              <w:rPr>
                <w:rFonts w:ascii="Times New Roman" w:eastAsia="Times New Roman" w:hAnsi="Times New Roman" w:cs="Times New Roman"/>
                <w:sz w:val="20"/>
                <w:szCs w:val="20"/>
              </w:rPr>
            </w:pPr>
            <w:r w:rsidRPr="00C73849">
              <w:rPr>
                <w:rFonts w:ascii="Times New Roman"/>
                <w:sz w:val="20"/>
              </w:rPr>
              <w:t>73.5</w:t>
            </w:r>
          </w:p>
        </w:tc>
        <w:tc>
          <w:tcPr>
            <w:tcW w:w="1051" w:type="dxa"/>
            <w:tcBorders>
              <w:top w:val="single" w:sz="5" w:space="0" w:color="000000"/>
              <w:left w:val="single" w:sz="5" w:space="0" w:color="000000"/>
              <w:bottom w:val="single" w:sz="5" w:space="0" w:color="000000"/>
              <w:right w:val="single" w:sz="5" w:space="0" w:color="000000"/>
            </w:tcBorders>
          </w:tcPr>
          <w:p w14:paraId="1D8D2B47" w14:textId="77777777" w:rsidR="00957F89" w:rsidRPr="00C73849" w:rsidRDefault="00D92D87" w:rsidP="00B90474">
            <w:pPr>
              <w:pStyle w:val="TableParagraph"/>
              <w:keepNext/>
              <w:spacing w:line="222" w:lineRule="exact"/>
              <w:ind w:left="343"/>
              <w:rPr>
                <w:rFonts w:ascii="Times New Roman" w:eastAsia="Times New Roman" w:hAnsi="Times New Roman" w:cs="Times New Roman"/>
                <w:sz w:val="20"/>
                <w:szCs w:val="20"/>
              </w:rPr>
            </w:pPr>
            <w:r w:rsidRPr="00C73849">
              <w:rPr>
                <w:rFonts w:ascii="Times New Roman"/>
                <w:sz w:val="20"/>
              </w:rPr>
              <w:t>65.3</w:t>
            </w:r>
          </w:p>
        </w:tc>
        <w:tc>
          <w:tcPr>
            <w:tcW w:w="1049" w:type="dxa"/>
            <w:tcBorders>
              <w:top w:val="single" w:sz="5" w:space="0" w:color="000000"/>
              <w:left w:val="single" w:sz="5" w:space="0" w:color="000000"/>
              <w:bottom w:val="single" w:sz="5" w:space="0" w:color="000000"/>
              <w:right w:val="single" w:sz="5" w:space="0" w:color="000000"/>
            </w:tcBorders>
          </w:tcPr>
          <w:p w14:paraId="4BC208A0" w14:textId="77777777" w:rsidR="00957F89" w:rsidRPr="00C73849" w:rsidRDefault="00D92D87" w:rsidP="00B90474">
            <w:pPr>
              <w:pStyle w:val="TableParagraph"/>
              <w:keepNext/>
              <w:spacing w:line="222" w:lineRule="exact"/>
              <w:ind w:left="343"/>
              <w:rPr>
                <w:rFonts w:ascii="Times New Roman" w:eastAsia="Times New Roman" w:hAnsi="Times New Roman" w:cs="Times New Roman"/>
                <w:sz w:val="20"/>
                <w:szCs w:val="20"/>
              </w:rPr>
            </w:pPr>
            <w:r w:rsidRPr="00C73849">
              <w:rPr>
                <w:rFonts w:ascii="Times New Roman"/>
                <w:sz w:val="20"/>
              </w:rPr>
              <w:t>61.0</w:t>
            </w:r>
          </w:p>
        </w:tc>
        <w:tc>
          <w:tcPr>
            <w:tcW w:w="1049" w:type="dxa"/>
            <w:tcBorders>
              <w:top w:val="single" w:sz="5" w:space="0" w:color="000000"/>
              <w:left w:val="single" w:sz="5" w:space="0" w:color="000000"/>
              <w:bottom w:val="single" w:sz="5" w:space="0" w:color="000000"/>
              <w:right w:val="single" w:sz="5" w:space="0" w:color="000000"/>
            </w:tcBorders>
          </w:tcPr>
          <w:p w14:paraId="6DD1C70D" w14:textId="77777777" w:rsidR="00957F89" w:rsidRPr="00C73849" w:rsidRDefault="00D92D87" w:rsidP="00B90474">
            <w:pPr>
              <w:pStyle w:val="TableParagraph"/>
              <w:keepNext/>
              <w:spacing w:line="222" w:lineRule="exact"/>
              <w:ind w:left="343"/>
              <w:rPr>
                <w:rFonts w:ascii="Times New Roman" w:eastAsia="Times New Roman" w:hAnsi="Times New Roman" w:cs="Times New Roman"/>
                <w:sz w:val="20"/>
                <w:szCs w:val="20"/>
              </w:rPr>
            </w:pPr>
            <w:r w:rsidRPr="00C73849">
              <w:rPr>
                <w:rFonts w:ascii="Times New Roman"/>
                <w:sz w:val="20"/>
              </w:rPr>
              <w:t>68.0</w:t>
            </w:r>
          </w:p>
        </w:tc>
        <w:tc>
          <w:tcPr>
            <w:tcW w:w="1049" w:type="dxa"/>
            <w:tcBorders>
              <w:top w:val="single" w:sz="5" w:space="0" w:color="000000"/>
              <w:left w:val="single" w:sz="5" w:space="0" w:color="000000"/>
              <w:bottom w:val="single" w:sz="5" w:space="0" w:color="000000"/>
              <w:right w:val="single" w:sz="5" w:space="0" w:color="000000"/>
            </w:tcBorders>
          </w:tcPr>
          <w:p w14:paraId="23CE3144" w14:textId="77777777" w:rsidR="00957F89" w:rsidRPr="00C73849" w:rsidRDefault="00D92D87" w:rsidP="00B90474">
            <w:pPr>
              <w:pStyle w:val="TableParagraph"/>
              <w:keepNext/>
              <w:spacing w:line="222" w:lineRule="exact"/>
              <w:ind w:left="343"/>
              <w:rPr>
                <w:rFonts w:ascii="Times New Roman" w:eastAsia="Times New Roman" w:hAnsi="Times New Roman" w:cs="Times New Roman"/>
                <w:sz w:val="20"/>
                <w:szCs w:val="20"/>
              </w:rPr>
            </w:pPr>
            <w:r w:rsidRPr="00C73849">
              <w:rPr>
                <w:rFonts w:ascii="Times New Roman"/>
                <w:sz w:val="20"/>
              </w:rPr>
              <w:t>67.8</w:t>
            </w:r>
          </w:p>
        </w:tc>
        <w:tc>
          <w:tcPr>
            <w:tcW w:w="1133" w:type="dxa"/>
            <w:tcBorders>
              <w:top w:val="single" w:sz="5" w:space="0" w:color="000000"/>
              <w:left w:val="single" w:sz="5" w:space="0" w:color="000000"/>
              <w:bottom w:val="single" w:sz="5" w:space="0" w:color="000000"/>
              <w:right w:val="single" w:sz="12" w:space="0" w:color="000000"/>
            </w:tcBorders>
          </w:tcPr>
          <w:p w14:paraId="3844B4C7" w14:textId="77777777" w:rsidR="00957F89" w:rsidRPr="00C73849" w:rsidRDefault="00D92D87" w:rsidP="00B90474">
            <w:pPr>
              <w:pStyle w:val="TableParagraph"/>
              <w:keepNext/>
              <w:spacing w:line="222" w:lineRule="exact"/>
              <w:ind w:left="8"/>
              <w:jc w:val="center"/>
              <w:rPr>
                <w:rFonts w:ascii="Times New Roman" w:eastAsia="Times New Roman" w:hAnsi="Times New Roman" w:cs="Times New Roman"/>
                <w:sz w:val="20"/>
                <w:szCs w:val="20"/>
              </w:rPr>
            </w:pPr>
            <w:r w:rsidRPr="00C73849">
              <w:rPr>
                <w:rFonts w:ascii="Times New Roman"/>
                <w:sz w:val="20"/>
              </w:rPr>
              <w:t>70.6</w:t>
            </w:r>
          </w:p>
        </w:tc>
      </w:tr>
      <w:tr w:rsidR="00957F89" w:rsidRPr="00C73849" w14:paraId="2130FFBD" w14:textId="77777777">
        <w:trPr>
          <w:trHeight w:hRule="exact" w:val="240"/>
        </w:trPr>
        <w:tc>
          <w:tcPr>
            <w:tcW w:w="960" w:type="dxa"/>
            <w:vMerge/>
            <w:tcBorders>
              <w:left w:val="single" w:sz="12" w:space="0" w:color="000000"/>
              <w:right w:val="single" w:sz="5" w:space="0" w:color="000000"/>
            </w:tcBorders>
          </w:tcPr>
          <w:p w14:paraId="7F187ABD" w14:textId="77777777" w:rsidR="00957F89" w:rsidRPr="00C73849" w:rsidRDefault="00957F89" w:rsidP="00B90474">
            <w:pPr>
              <w:keepNext/>
            </w:pPr>
          </w:p>
        </w:tc>
        <w:tc>
          <w:tcPr>
            <w:tcW w:w="1699" w:type="dxa"/>
            <w:tcBorders>
              <w:top w:val="single" w:sz="5" w:space="0" w:color="000000"/>
              <w:left w:val="single" w:sz="5" w:space="0" w:color="000000"/>
              <w:bottom w:val="single" w:sz="5" w:space="0" w:color="000000"/>
              <w:right w:val="single" w:sz="5" w:space="0" w:color="000000"/>
            </w:tcBorders>
          </w:tcPr>
          <w:p w14:paraId="6929AB3B" w14:textId="77777777" w:rsidR="00957F89" w:rsidRPr="00C73849" w:rsidRDefault="00D92D87" w:rsidP="00B90474">
            <w:pPr>
              <w:pStyle w:val="TableParagraph"/>
              <w:keepNext/>
              <w:spacing w:line="222" w:lineRule="exact"/>
              <w:ind w:left="102"/>
              <w:rPr>
                <w:rFonts w:ascii="Times New Roman" w:eastAsia="Times New Roman" w:hAnsi="Times New Roman" w:cs="Times New Roman"/>
                <w:sz w:val="20"/>
                <w:szCs w:val="20"/>
              </w:rPr>
            </w:pPr>
            <w:r w:rsidRPr="00C73849">
              <w:rPr>
                <w:rFonts w:ascii="Times New Roman"/>
                <w:sz w:val="20"/>
              </w:rPr>
              <w:t>SD</w:t>
            </w:r>
          </w:p>
        </w:tc>
        <w:tc>
          <w:tcPr>
            <w:tcW w:w="1049" w:type="dxa"/>
            <w:tcBorders>
              <w:top w:val="single" w:sz="5" w:space="0" w:color="000000"/>
              <w:left w:val="single" w:sz="5" w:space="0" w:color="000000"/>
              <w:bottom w:val="single" w:sz="5" w:space="0" w:color="000000"/>
              <w:right w:val="single" w:sz="5" w:space="0" w:color="000000"/>
            </w:tcBorders>
          </w:tcPr>
          <w:p w14:paraId="7E9AD8F6" w14:textId="77777777" w:rsidR="00957F89" w:rsidRPr="00C73849" w:rsidRDefault="00D92D87" w:rsidP="00B90474">
            <w:pPr>
              <w:pStyle w:val="TableParagraph"/>
              <w:keepNext/>
              <w:spacing w:line="222" w:lineRule="exact"/>
              <w:ind w:left="291"/>
              <w:rPr>
                <w:rFonts w:ascii="Times New Roman" w:eastAsia="Times New Roman" w:hAnsi="Times New Roman" w:cs="Times New Roman"/>
                <w:sz w:val="20"/>
                <w:szCs w:val="20"/>
              </w:rPr>
            </w:pPr>
            <w:r w:rsidRPr="00C73849">
              <w:rPr>
                <w:rFonts w:ascii="Times New Roman"/>
                <w:sz w:val="20"/>
              </w:rPr>
              <w:t>20.87</w:t>
            </w:r>
          </w:p>
        </w:tc>
        <w:tc>
          <w:tcPr>
            <w:tcW w:w="1051" w:type="dxa"/>
            <w:tcBorders>
              <w:top w:val="single" w:sz="5" w:space="0" w:color="000000"/>
              <w:left w:val="single" w:sz="5" w:space="0" w:color="000000"/>
              <w:bottom w:val="single" w:sz="5" w:space="0" w:color="000000"/>
              <w:right w:val="single" w:sz="5" w:space="0" w:color="000000"/>
            </w:tcBorders>
          </w:tcPr>
          <w:p w14:paraId="1582501A" w14:textId="77777777" w:rsidR="00957F89" w:rsidRPr="00C73849" w:rsidRDefault="00D92D87" w:rsidP="00B90474">
            <w:pPr>
              <w:pStyle w:val="TableParagraph"/>
              <w:keepNext/>
              <w:spacing w:line="222" w:lineRule="exact"/>
              <w:ind w:left="342"/>
              <w:rPr>
                <w:rFonts w:ascii="Times New Roman" w:eastAsia="Times New Roman" w:hAnsi="Times New Roman" w:cs="Times New Roman"/>
                <w:sz w:val="20"/>
                <w:szCs w:val="20"/>
              </w:rPr>
            </w:pPr>
            <w:r w:rsidRPr="00C73849">
              <w:rPr>
                <w:rFonts w:ascii="Times New Roman"/>
                <w:sz w:val="20"/>
              </w:rPr>
              <w:t>6.85</w:t>
            </w:r>
          </w:p>
        </w:tc>
        <w:tc>
          <w:tcPr>
            <w:tcW w:w="1049" w:type="dxa"/>
            <w:tcBorders>
              <w:top w:val="single" w:sz="5" w:space="0" w:color="000000"/>
              <w:left w:val="single" w:sz="5" w:space="0" w:color="000000"/>
              <w:bottom w:val="single" w:sz="5" w:space="0" w:color="000000"/>
              <w:right w:val="single" w:sz="5" w:space="0" w:color="000000"/>
            </w:tcBorders>
          </w:tcPr>
          <w:p w14:paraId="4347BD4D" w14:textId="77777777" w:rsidR="00957F89" w:rsidRPr="00C73849" w:rsidRDefault="00D92D87" w:rsidP="00B90474">
            <w:pPr>
              <w:pStyle w:val="TableParagraph"/>
              <w:keepNext/>
              <w:spacing w:line="222" w:lineRule="exact"/>
              <w:ind w:left="342"/>
              <w:rPr>
                <w:rFonts w:ascii="Times New Roman" w:eastAsia="Times New Roman" w:hAnsi="Times New Roman" w:cs="Times New Roman"/>
                <w:sz w:val="20"/>
                <w:szCs w:val="20"/>
              </w:rPr>
            </w:pPr>
            <w:r w:rsidRPr="00C73849">
              <w:rPr>
                <w:rFonts w:ascii="Times New Roman"/>
                <w:sz w:val="20"/>
              </w:rPr>
              <w:t>4.24</w:t>
            </w:r>
          </w:p>
        </w:tc>
        <w:tc>
          <w:tcPr>
            <w:tcW w:w="1049" w:type="dxa"/>
            <w:tcBorders>
              <w:top w:val="single" w:sz="5" w:space="0" w:color="000000"/>
              <w:left w:val="single" w:sz="5" w:space="0" w:color="000000"/>
              <w:bottom w:val="single" w:sz="5" w:space="0" w:color="000000"/>
              <w:right w:val="single" w:sz="5" w:space="0" w:color="000000"/>
            </w:tcBorders>
          </w:tcPr>
          <w:p w14:paraId="3236143B" w14:textId="77777777" w:rsidR="00957F89" w:rsidRPr="00C73849" w:rsidRDefault="00D92D87" w:rsidP="00B90474">
            <w:pPr>
              <w:pStyle w:val="TableParagraph"/>
              <w:keepNext/>
              <w:spacing w:line="222" w:lineRule="exact"/>
              <w:ind w:left="292"/>
              <w:rPr>
                <w:rFonts w:ascii="Times New Roman" w:eastAsia="Times New Roman" w:hAnsi="Times New Roman" w:cs="Times New Roman"/>
                <w:sz w:val="20"/>
                <w:szCs w:val="20"/>
              </w:rPr>
            </w:pPr>
            <w:r w:rsidRPr="00C73849">
              <w:rPr>
                <w:rFonts w:ascii="Times New Roman"/>
                <w:sz w:val="20"/>
              </w:rPr>
              <w:t>13.77</w:t>
            </w:r>
          </w:p>
        </w:tc>
        <w:tc>
          <w:tcPr>
            <w:tcW w:w="1049" w:type="dxa"/>
            <w:tcBorders>
              <w:top w:val="single" w:sz="5" w:space="0" w:color="000000"/>
              <w:left w:val="single" w:sz="5" w:space="0" w:color="000000"/>
              <w:bottom w:val="single" w:sz="5" w:space="0" w:color="000000"/>
              <w:right w:val="single" w:sz="5" w:space="0" w:color="000000"/>
            </w:tcBorders>
          </w:tcPr>
          <w:p w14:paraId="5FB2EC6E" w14:textId="77777777" w:rsidR="00957F89" w:rsidRPr="00C73849" w:rsidRDefault="00D92D87" w:rsidP="00B90474">
            <w:pPr>
              <w:pStyle w:val="TableParagraph"/>
              <w:keepNext/>
              <w:spacing w:line="222" w:lineRule="exact"/>
              <w:ind w:left="292"/>
              <w:rPr>
                <w:rFonts w:ascii="Times New Roman" w:eastAsia="Times New Roman" w:hAnsi="Times New Roman" w:cs="Times New Roman"/>
                <w:sz w:val="20"/>
                <w:szCs w:val="20"/>
              </w:rPr>
            </w:pPr>
            <w:r w:rsidRPr="00C73849">
              <w:rPr>
                <w:rFonts w:ascii="Times New Roman"/>
                <w:sz w:val="20"/>
              </w:rPr>
              <w:t>13.50</w:t>
            </w:r>
          </w:p>
        </w:tc>
        <w:tc>
          <w:tcPr>
            <w:tcW w:w="1133" w:type="dxa"/>
            <w:tcBorders>
              <w:top w:val="single" w:sz="5" w:space="0" w:color="000000"/>
              <w:left w:val="single" w:sz="5" w:space="0" w:color="000000"/>
              <w:bottom w:val="single" w:sz="5" w:space="0" w:color="000000"/>
              <w:right w:val="single" w:sz="12" w:space="0" w:color="000000"/>
            </w:tcBorders>
          </w:tcPr>
          <w:p w14:paraId="6E251F5C" w14:textId="77777777" w:rsidR="00957F89" w:rsidRPr="00C73849" w:rsidRDefault="00D92D87" w:rsidP="00B90474">
            <w:pPr>
              <w:pStyle w:val="TableParagraph"/>
              <w:keepNext/>
              <w:spacing w:line="222" w:lineRule="exact"/>
              <w:ind w:left="333"/>
              <w:rPr>
                <w:rFonts w:ascii="Times New Roman" w:eastAsia="Times New Roman" w:hAnsi="Times New Roman" w:cs="Times New Roman"/>
                <w:sz w:val="20"/>
                <w:szCs w:val="20"/>
              </w:rPr>
            </w:pPr>
            <w:r w:rsidRPr="00C73849">
              <w:rPr>
                <w:rFonts w:ascii="Times New Roman"/>
                <w:sz w:val="20"/>
              </w:rPr>
              <w:t>12.03</w:t>
            </w:r>
          </w:p>
        </w:tc>
      </w:tr>
      <w:tr w:rsidR="00957F89" w:rsidRPr="00C73849" w14:paraId="298E11BF" w14:textId="77777777">
        <w:trPr>
          <w:trHeight w:hRule="exact" w:val="240"/>
        </w:trPr>
        <w:tc>
          <w:tcPr>
            <w:tcW w:w="960" w:type="dxa"/>
            <w:vMerge/>
            <w:tcBorders>
              <w:left w:val="single" w:sz="12" w:space="0" w:color="000000"/>
              <w:bottom w:val="single" w:sz="5" w:space="0" w:color="000000"/>
              <w:right w:val="single" w:sz="5" w:space="0" w:color="000000"/>
            </w:tcBorders>
          </w:tcPr>
          <w:p w14:paraId="6FCFBE1D" w14:textId="77777777" w:rsidR="00957F89" w:rsidRPr="00C73849" w:rsidRDefault="00957F89" w:rsidP="00B90474">
            <w:pPr>
              <w:keepNext/>
            </w:pPr>
          </w:p>
        </w:tc>
        <w:tc>
          <w:tcPr>
            <w:tcW w:w="1699" w:type="dxa"/>
            <w:tcBorders>
              <w:top w:val="single" w:sz="5" w:space="0" w:color="000000"/>
              <w:left w:val="single" w:sz="5" w:space="0" w:color="000000"/>
              <w:bottom w:val="single" w:sz="5" w:space="0" w:color="000000"/>
              <w:right w:val="single" w:sz="5" w:space="0" w:color="000000"/>
            </w:tcBorders>
          </w:tcPr>
          <w:p w14:paraId="0FBD512E" w14:textId="77777777" w:rsidR="00957F89" w:rsidRPr="00C73849" w:rsidRDefault="00D92D87" w:rsidP="00B90474">
            <w:pPr>
              <w:pStyle w:val="TableParagraph"/>
              <w:keepNext/>
              <w:spacing w:line="222" w:lineRule="exact"/>
              <w:ind w:left="102"/>
              <w:rPr>
                <w:rFonts w:ascii="Times New Roman" w:eastAsia="Times New Roman" w:hAnsi="Times New Roman" w:cs="Times New Roman"/>
                <w:sz w:val="20"/>
                <w:szCs w:val="20"/>
              </w:rPr>
            </w:pPr>
            <w:r w:rsidRPr="00C73849">
              <w:rPr>
                <w:rFonts w:ascii="Times New Roman"/>
                <w:sz w:val="20"/>
              </w:rPr>
              <w:t>Range (min-max)</w:t>
            </w:r>
          </w:p>
        </w:tc>
        <w:tc>
          <w:tcPr>
            <w:tcW w:w="1049" w:type="dxa"/>
            <w:tcBorders>
              <w:top w:val="single" w:sz="5" w:space="0" w:color="000000"/>
              <w:left w:val="single" w:sz="5" w:space="0" w:color="000000"/>
              <w:bottom w:val="single" w:sz="5" w:space="0" w:color="000000"/>
              <w:right w:val="single" w:sz="5" w:space="0" w:color="000000"/>
            </w:tcBorders>
          </w:tcPr>
          <w:p w14:paraId="6CE001E3" w14:textId="77777777" w:rsidR="00957F89" w:rsidRPr="00C73849" w:rsidRDefault="00D92D87" w:rsidP="00B90474">
            <w:pPr>
              <w:pStyle w:val="TableParagraph"/>
              <w:keepNext/>
              <w:spacing w:line="222" w:lineRule="exact"/>
              <w:ind w:left="235"/>
              <w:rPr>
                <w:rFonts w:ascii="Times New Roman" w:eastAsia="Times New Roman" w:hAnsi="Times New Roman" w:cs="Times New Roman"/>
                <w:sz w:val="20"/>
                <w:szCs w:val="20"/>
              </w:rPr>
            </w:pPr>
            <w:r w:rsidRPr="00C73849">
              <w:rPr>
                <w:rFonts w:ascii="Times New Roman"/>
                <w:sz w:val="20"/>
              </w:rPr>
              <w:t>51-101</w:t>
            </w:r>
          </w:p>
        </w:tc>
        <w:tc>
          <w:tcPr>
            <w:tcW w:w="1051" w:type="dxa"/>
            <w:tcBorders>
              <w:top w:val="single" w:sz="5" w:space="0" w:color="000000"/>
              <w:left w:val="single" w:sz="5" w:space="0" w:color="000000"/>
              <w:bottom w:val="single" w:sz="5" w:space="0" w:color="000000"/>
              <w:right w:val="single" w:sz="5" w:space="0" w:color="000000"/>
            </w:tcBorders>
          </w:tcPr>
          <w:p w14:paraId="68B559CC" w14:textId="77777777" w:rsidR="00957F89" w:rsidRPr="00C73849" w:rsidRDefault="00D92D87" w:rsidP="00B90474">
            <w:pPr>
              <w:pStyle w:val="TableParagraph"/>
              <w:keepNext/>
              <w:spacing w:line="222" w:lineRule="exact"/>
              <w:ind w:left="285"/>
              <w:rPr>
                <w:rFonts w:ascii="Times New Roman" w:eastAsia="Times New Roman" w:hAnsi="Times New Roman" w:cs="Times New Roman"/>
                <w:sz w:val="20"/>
                <w:szCs w:val="20"/>
              </w:rPr>
            </w:pPr>
            <w:r w:rsidRPr="00C73849">
              <w:rPr>
                <w:rFonts w:ascii="Times New Roman"/>
                <w:sz w:val="20"/>
              </w:rPr>
              <w:t>55-69</w:t>
            </w:r>
          </w:p>
        </w:tc>
        <w:tc>
          <w:tcPr>
            <w:tcW w:w="1049" w:type="dxa"/>
            <w:tcBorders>
              <w:top w:val="single" w:sz="5" w:space="0" w:color="000000"/>
              <w:left w:val="single" w:sz="5" w:space="0" w:color="000000"/>
              <w:bottom w:val="single" w:sz="5" w:space="0" w:color="000000"/>
              <w:right w:val="single" w:sz="5" w:space="0" w:color="000000"/>
            </w:tcBorders>
          </w:tcPr>
          <w:p w14:paraId="1042DC86" w14:textId="77777777" w:rsidR="00957F89" w:rsidRPr="00C73849" w:rsidRDefault="00D92D87" w:rsidP="00B90474">
            <w:pPr>
              <w:pStyle w:val="TableParagraph"/>
              <w:keepNext/>
              <w:spacing w:line="222" w:lineRule="exact"/>
              <w:ind w:left="285"/>
              <w:rPr>
                <w:rFonts w:ascii="Times New Roman" w:eastAsia="Times New Roman" w:hAnsi="Times New Roman" w:cs="Times New Roman"/>
                <w:sz w:val="20"/>
                <w:szCs w:val="20"/>
              </w:rPr>
            </w:pPr>
            <w:r w:rsidRPr="00C73849">
              <w:rPr>
                <w:rFonts w:ascii="Times New Roman"/>
                <w:sz w:val="20"/>
              </w:rPr>
              <w:t>56-65</w:t>
            </w:r>
          </w:p>
        </w:tc>
        <w:tc>
          <w:tcPr>
            <w:tcW w:w="1049" w:type="dxa"/>
            <w:tcBorders>
              <w:top w:val="single" w:sz="5" w:space="0" w:color="000000"/>
              <w:left w:val="single" w:sz="5" w:space="0" w:color="000000"/>
              <w:bottom w:val="single" w:sz="5" w:space="0" w:color="000000"/>
              <w:right w:val="single" w:sz="5" w:space="0" w:color="000000"/>
            </w:tcBorders>
          </w:tcPr>
          <w:p w14:paraId="7012CC5B" w14:textId="77777777" w:rsidR="00957F89" w:rsidRPr="00C73849" w:rsidRDefault="00D92D87" w:rsidP="00B90474">
            <w:pPr>
              <w:pStyle w:val="TableParagraph"/>
              <w:keepNext/>
              <w:spacing w:line="222" w:lineRule="exact"/>
              <w:ind w:left="285"/>
              <w:rPr>
                <w:rFonts w:ascii="Times New Roman" w:eastAsia="Times New Roman" w:hAnsi="Times New Roman" w:cs="Times New Roman"/>
                <w:sz w:val="20"/>
                <w:szCs w:val="20"/>
              </w:rPr>
            </w:pPr>
            <w:r w:rsidRPr="00C73849">
              <w:rPr>
                <w:rFonts w:ascii="Times New Roman"/>
                <w:sz w:val="20"/>
              </w:rPr>
              <w:t>53-91</w:t>
            </w:r>
          </w:p>
        </w:tc>
        <w:tc>
          <w:tcPr>
            <w:tcW w:w="1049" w:type="dxa"/>
            <w:tcBorders>
              <w:top w:val="single" w:sz="5" w:space="0" w:color="000000"/>
              <w:left w:val="single" w:sz="5" w:space="0" w:color="000000"/>
              <w:bottom w:val="single" w:sz="5" w:space="0" w:color="000000"/>
              <w:right w:val="single" w:sz="5" w:space="0" w:color="000000"/>
            </w:tcBorders>
          </w:tcPr>
          <w:p w14:paraId="1C36AA6F" w14:textId="77777777" w:rsidR="00957F89" w:rsidRPr="00C73849" w:rsidRDefault="00D92D87" w:rsidP="00B90474">
            <w:pPr>
              <w:pStyle w:val="TableParagraph"/>
              <w:keepNext/>
              <w:spacing w:line="222" w:lineRule="exact"/>
              <w:ind w:left="284"/>
              <w:rPr>
                <w:rFonts w:ascii="Times New Roman" w:eastAsia="Times New Roman" w:hAnsi="Times New Roman" w:cs="Times New Roman"/>
                <w:sz w:val="20"/>
                <w:szCs w:val="20"/>
              </w:rPr>
            </w:pPr>
            <w:r w:rsidRPr="00C73849">
              <w:rPr>
                <w:rFonts w:ascii="Times New Roman"/>
                <w:sz w:val="20"/>
              </w:rPr>
              <w:t>51-84</w:t>
            </w:r>
          </w:p>
        </w:tc>
        <w:tc>
          <w:tcPr>
            <w:tcW w:w="1133" w:type="dxa"/>
            <w:tcBorders>
              <w:top w:val="single" w:sz="5" w:space="0" w:color="000000"/>
              <w:left w:val="single" w:sz="5" w:space="0" w:color="000000"/>
              <w:bottom w:val="single" w:sz="5" w:space="0" w:color="000000"/>
              <w:right w:val="single" w:sz="12" w:space="0" w:color="000000"/>
            </w:tcBorders>
          </w:tcPr>
          <w:p w14:paraId="78352309" w14:textId="77777777" w:rsidR="00957F89" w:rsidRPr="00C73849" w:rsidRDefault="00D92D87" w:rsidP="00B90474">
            <w:pPr>
              <w:pStyle w:val="TableParagraph"/>
              <w:keepNext/>
              <w:spacing w:line="222" w:lineRule="exact"/>
              <w:ind w:left="325"/>
              <w:rPr>
                <w:rFonts w:ascii="Times New Roman" w:eastAsia="Times New Roman" w:hAnsi="Times New Roman" w:cs="Times New Roman"/>
                <w:sz w:val="20"/>
                <w:szCs w:val="20"/>
              </w:rPr>
            </w:pPr>
            <w:r w:rsidRPr="00C73849">
              <w:rPr>
                <w:rFonts w:ascii="Times New Roman"/>
                <w:sz w:val="20"/>
              </w:rPr>
              <w:t>51-94</w:t>
            </w:r>
          </w:p>
        </w:tc>
      </w:tr>
      <w:tr w:rsidR="00957F89" w:rsidRPr="00C73849" w14:paraId="34CFCBD7" w14:textId="77777777">
        <w:trPr>
          <w:trHeight w:hRule="exact" w:val="240"/>
        </w:trPr>
        <w:tc>
          <w:tcPr>
            <w:tcW w:w="960" w:type="dxa"/>
            <w:vMerge w:val="restart"/>
            <w:tcBorders>
              <w:top w:val="single" w:sz="5" w:space="0" w:color="000000"/>
              <w:left w:val="single" w:sz="12" w:space="0" w:color="000000"/>
              <w:right w:val="single" w:sz="5" w:space="0" w:color="000000"/>
            </w:tcBorders>
          </w:tcPr>
          <w:p w14:paraId="4A4BA16E" w14:textId="77777777" w:rsidR="00957F89" w:rsidRPr="00C73849" w:rsidRDefault="00D92D87" w:rsidP="00B90474">
            <w:pPr>
              <w:pStyle w:val="TableParagraph"/>
              <w:keepNext/>
              <w:ind w:left="92" w:right="301"/>
              <w:rPr>
                <w:rFonts w:ascii="Times New Roman" w:eastAsia="Times New Roman" w:hAnsi="Times New Roman" w:cs="Times New Roman"/>
                <w:sz w:val="20"/>
                <w:szCs w:val="20"/>
              </w:rPr>
            </w:pPr>
            <w:r w:rsidRPr="00C73849">
              <w:rPr>
                <w:rFonts w:ascii="Times New Roman"/>
                <w:sz w:val="20"/>
              </w:rPr>
              <w:t>Height</w:t>
            </w:r>
            <w:r w:rsidRPr="00C73849">
              <w:rPr>
                <w:rFonts w:ascii="Times New Roman"/>
                <w:w w:val="99"/>
                <w:sz w:val="20"/>
              </w:rPr>
              <w:t xml:space="preserve"> </w:t>
            </w:r>
            <w:r w:rsidRPr="00C73849">
              <w:rPr>
                <w:rFonts w:ascii="Times New Roman"/>
                <w:sz w:val="20"/>
              </w:rPr>
              <w:t>(cm)</w:t>
            </w:r>
          </w:p>
        </w:tc>
        <w:tc>
          <w:tcPr>
            <w:tcW w:w="1699" w:type="dxa"/>
            <w:tcBorders>
              <w:top w:val="single" w:sz="5" w:space="0" w:color="000000"/>
              <w:left w:val="single" w:sz="5" w:space="0" w:color="000000"/>
              <w:bottom w:val="single" w:sz="5" w:space="0" w:color="000000"/>
              <w:right w:val="single" w:sz="5" w:space="0" w:color="000000"/>
            </w:tcBorders>
          </w:tcPr>
          <w:p w14:paraId="527CD905" w14:textId="77777777" w:rsidR="00957F89" w:rsidRPr="00C73849" w:rsidRDefault="00D92D87" w:rsidP="00B90474">
            <w:pPr>
              <w:pStyle w:val="TableParagraph"/>
              <w:keepNext/>
              <w:spacing w:line="222" w:lineRule="exact"/>
              <w:ind w:left="102"/>
              <w:rPr>
                <w:rFonts w:ascii="Times New Roman" w:eastAsia="Times New Roman" w:hAnsi="Times New Roman" w:cs="Times New Roman"/>
                <w:sz w:val="20"/>
                <w:szCs w:val="20"/>
              </w:rPr>
            </w:pPr>
            <w:r w:rsidRPr="00C73849">
              <w:rPr>
                <w:rFonts w:ascii="Times New Roman"/>
                <w:sz w:val="20"/>
              </w:rPr>
              <w:t>Mean</w:t>
            </w:r>
          </w:p>
        </w:tc>
        <w:tc>
          <w:tcPr>
            <w:tcW w:w="1049" w:type="dxa"/>
            <w:tcBorders>
              <w:top w:val="single" w:sz="5" w:space="0" w:color="000000"/>
              <w:left w:val="single" w:sz="5" w:space="0" w:color="000000"/>
              <w:bottom w:val="single" w:sz="5" w:space="0" w:color="000000"/>
              <w:right w:val="single" w:sz="5" w:space="0" w:color="000000"/>
            </w:tcBorders>
          </w:tcPr>
          <w:p w14:paraId="1A9E696A" w14:textId="77777777" w:rsidR="00957F89" w:rsidRPr="00C73849" w:rsidRDefault="00D92D87" w:rsidP="00B90474">
            <w:pPr>
              <w:pStyle w:val="TableParagraph"/>
              <w:keepNext/>
              <w:spacing w:line="222" w:lineRule="exact"/>
              <w:ind w:left="293"/>
              <w:rPr>
                <w:rFonts w:ascii="Times New Roman" w:eastAsia="Times New Roman" w:hAnsi="Times New Roman" w:cs="Times New Roman"/>
                <w:sz w:val="20"/>
                <w:szCs w:val="20"/>
              </w:rPr>
            </w:pPr>
            <w:r w:rsidRPr="00C73849">
              <w:rPr>
                <w:rFonts w:ascii="Times New Roman"/>
                <w:sz w:val="20"/>
              </w:rPr>
              <w:t>169.3</w:t>
            </w:r>
          </w:p>
        </w:tc>
        <w:tc>
          <w:tcPr>
            <w:tcW w:w="1051" w:type="dxa"/>
            <w:tcBorders>
              <w:top w:val="single" w:sz="5" w:space="0" w:color="000000"/>
              <w:left w:val="single" w:sz="5" w:space="0" w:color="000000"/>
              <w:bottom w:val="single" w:sz="5" w:space="0" w:color="000000"/>
              <w:right w:val="single" w:sz="5" w:space="0" w:color="000000"/>
            </w:tcBorders>
          </w:tcPr>
          <w:p w14:paraId="4A3EBDC1" w14:textId="77777777" w:rsidR="00957F89" w:rsidRPr="00C73849" w:rsidRDefault="00D92D87" w:rsidP="00B90474">
            <w:pPr>
              <w:pStyle w:val="TableParagraph"/>
              <w:keepNext/>
              <w:spacing w:line="222" w:lineRule="exact"/>
              <w:ind w:left="293"/>
              <w:rPr>
                <w:rFonts w:ascii="Times New Roman" w:eastAsia="Times New Roman" w:hAnsi="Times New Roman" w:cs="Times New Roman"/>
                <w:sz w:val="20"/>
                <w:szCs w:val="20"/>
              </w:rPr>
            </w:pPr>
            <w:r w:rsidRPr="00C73849">
              <w:rPr>
                <w:rFonts w:ascii="Times New Roman"/>
                <w:sz w:val="20"/>
              </w:rPr>
              <w:t>169.5</w:t>
            </w:r>
          </w:p>
        </w:tc>
        <w:tc>
          <w:tcPr>
            <w:tcW w:w="1049" w:type="dxa"/>
            <w:tcBorders>
              <w:top w:val="single" w:sz="5" w:space="0" w:color="000000"/>
              <w:left w:val="single" w:sz="5" w:space="0" w:color="000000"/>
              <w:bottom w:val="single" w:sz="5" w:space="0" w:color="000000"/>
              <w:right w:val="single" w:sz="5" w:space="0" w:color="000000"/>
            </w:tcBorders>
          </w:tcPr>
          <w:p w14:paraId="6402826F" w14:textId="77777777" w:rsidR="00957F89" w:rsidRPr="00C73849" w:rsidRDefault="00D92D87" w:rsidP="00B90474">
            <w:pPr>
              <w:pStyle w:val="TableParagraph"/>
              <w:keepNext/>
              <w:spacing w:line="222" w:lineRule="exact"/>
              <w:ind w:left="293"/>
              <w:rPr>
                <w:rFonts w:ascii="Times New Roman" w:eastAsia="Times New Roman" w:hAnsi="Times New Roman" w:cs="Times New Roman"/>
                <w:sz w:val="20"/>
                <w:szCs w:val="20"/>
              </w:rPr>
            </w:pPr>
            <w:r w:rsidRPr="00C73849">
              <w:rPr>
                <w:rFonts w:ascii="Times New Roman"/>
                <w:sz w:val="20"/>
              </w:rPr>
              <w:t>170.5</w:t>
            </w:r>
          </w:p>
        </w:tc>
        <w:tc>
          <w:tcPr>
            <w:tcW w:w="1049" w:type="dxa"/>
            <w:tcBorders>
              <w:top w:val="single" w:sz="5" w:space="0" w:color="000000"/>
              <w:left w:val="single" w:sz="5" w:space="0" w:color="000000"/>
              <w:bottom w:val="single" w:sz="5" w:space="0" w:color="000000"/>
              <w:right w:val="single" w:sz="5" w:space="0" w:color="000000"/>
            </w:tcBorders>
          </w:tcPr>
          <w:p w14:paraId="4F52B6B0" w14:textId="77777777" w:rsidR="00957F89" w:rsidRPr="00C73849" w:rsidRDefault="00D92D87" w:rsidP="00B90474">
            <w:pPr>
              <w:pStyle w:val="TableParagraph"/>
              <w:keepNext/>
              <w:spacing w:line="222" w:lineRule="exact"/>
              <w:ind w:left="293"/>
              <w:rPr>
                <w:rFonts w:ascii="Times New Roman" w:eastAsia="Times New Roman" w:hAnsi="Times New Roman" w:cs="Times New Roman"/>
                <w:sz w:val="20"/>
                <w:szCs w:val="20"/>
              </w:rPr>
            </w:pPr>
            <w:r w:rsidRPr="00C73849">
              <w:rPr>
                <w:rFonts w:ascii="Times New Roman"/>
                <w:sz w:val="20"/>
              </w:rPr>
              <w:t>172.9</w:t>
            </w:r>
          </w:p>
        </w:tc>
        <w:tc>
          <w:tcPr>
            <w:tcW w:w="1049" w:type="dxa"/>
            <w:tcBorders>
              <w:top w:val="single" w:sz="5" w:space="0" w:color="000000"/>
              <w:left w:val="single" w:sz="5" w:space="0" w:color="000000"/>
              <w:bottom w:val="single" w:sz="5" w:space="0" w:color="000000"/>
              <w:right w:val="single" w:sz="5" w:space="0" w:color="000000"/>
            </w:tcBorders>
          </w:tcPr>
          <w:p w14:paraId="33375A07" w14:textId="77777777" w:rsidR="00957F89" w:rsidRPr="00C73849" w:rsidRDefault="00D92D87" w:rsidP="00B90474">
            <w:pPr>
              <w:pStyle w:val="TableParagraph"/>
              <w:keepNext/>
              <w:spacing w:line="222" w:lineRule="exact"/>
              <w:ind w:left="292"/>
              <w:rPr>
                <w:rFonts w:ascii="Times New Roman" w:eastAsia="Times New Roman" w:hAnsi="Times New Roman" w:cs="Times New Roman"/>
                <w:sz w:val="20"/>
                <w:szCs w:val="20"/>
              </w:rPr>
            </w:pPr>
            <w:r w:rsidRPr="00C73849">
              <w:rPr>
                <w:rFonts w:ascii="Times New Roman"/>
                <w:sz w:val="20"/>
              </w:rPr>
              <w:t>173.3</w:t>
            </w:r>
          </w:p>
        </w:tc>
        <w:tc>
          <w:tcPr>
            <w:tcW w:w="1133" w:type="dxa"/>
            <w:tcBorders>
              <w:top w:val="single" w:sz="5" w:space="0" w:color="000000"/>
              <w:left w:val="single" w:sz="5" w:space="0" w:color="000000"/>
              <w:bottom w:val="single" w:sz="5" w:space="0" w:color="000000"/>
              <w:right w:val="single" w:sz="12" w:space="0" w:color="000000"/>
            </w:tcBorders>
          </w:tcPr>
          <w:p w14:paraId="6D857B15" w14:textId="77777777" w:rsidR="00957F89" w:rsidRPr="00C73849" w:rsidRDefault="00D92D87" w:rsidP="00B90474">
            <w:pPr>
              <w:pStyle w:val="TableParagraph"/>
              <w:keepNext/>
              <w:spacing w:line="222" w:lineRule="exact"/>
              <w:ind w:left="333"/>
              <w:rPr>
                <w:rFonts w:ascii="Times New Roman" w:eastAsia="Times New Roman" w:hAnsi="Times New Roman" w:cs="Times New Roman"/>
                <w:sz w:val="20"/>
                <w:szCs w:val="20"/>
              </w:rPr>
            </w:pPr>
            <w:r w:rsidRPr="00C73849">
              <w:rPr>
                <w:rFonts w:ascii="Times New Roman"/>
                <w:sz w:val="20"/>
              </w:rPr>
              <w:t>169.8</w:t>
            </w:r>
          </w:p>
        </w:tc>
      </w:tr>
      <w:tr w:rsidR="00957F89" w:rsidRPr="00C73849" w14:paraId="30620461" w14:textId="77777777">
        <w:trPr>
          <w:trHeight w:hRule="exact" w:val="240"/>
        </w:trPr>
        <w:tc>
          <w:tcPr>
            <w:tcW w:w="960" w:type="dxa"/>
            <w:vMerge/>
            <w:tcBorders>
              <w:left w:val="single" w:sz="12" w:space="0" w:color="000000"/>
              <w:right w:val="single" w:sz="5" w:space="0" w:color="000000"/>
            </w:tcBorders>
          </w:tcPr>
          <w:p w14:paraId="22CBD0A6" w14:textId="77777777" w:rsidR="00957F89" w:rsidRPr="00C73849" w:rsidRDefault="00957F89" w:rsidP="00B90474">
            <w:pPr>
              <w:keepNext/>
            </w:pPr>
          </w:p>
        </w:tc>
        <w:tc>
          <w:tcPr>
            <w:tcW w:w="1699" w:type="dxa"/>
            <w:tcBorders>
              <w:top w:val="single" w:sz="5" w:space="0" w:color="000000"/>
              <w:left w:val="single" w:sz="5" w:space="0" w:color="000000"/>
              <w:bottom w:val="single" w:sz="5" w:space="0" w:color="000000"/>
              <w:right w:val="single" w:sz="5" w:space="0" w:color="000000"/>
            </w:tcBorders>
          </w:tcPr>
          <w:p w14:paraId="0010261C" w14:textId="77777777" w:rsidR="00957F89" w:rsidRPr="00C73849" w:rsidRDefault="00D92D87" w:rsidP="00B90474">
            <w:pPr>
              <w:pStyle w:val="TableParagraph"/>
              <w:keepNext/>
              <w:spacing w:line="222" w:lineRule="exact"/>
              <w:ind w:left="102"/>
              <w:rPr>
                <w:rFonts w:ascii="Times New Roman" w:eastAsia="Times New Roman" w:hAnsi="Times New Roman" w:cs="Times New Roman"/>
                <w:sz w:val="20"/>
                <w:szCs w:val="20"/>
              </w:rPr>
            </w:pPr>
            <w:r w:rsidRPr="00C73849">
              <w:rPr>
                <w:rFonts w:ascii="Times New Roman"/>
                <w:sz w:val="20"/>
              </w:rPr>
              <w:t>SD</w:t>
            </w:r>
          </w:p>
        </w:tc>
        <w:tc>
          <w:tcPr>
            <w:tcW w:w="1049" w:type="dxa"/>
            <w:tcBorders>
              <w:top w:val="single" w:sz="5" w:space="0" w:color="000000"/>
              <w:left w:val="single" w:sz="5" w:space="0" w:color="000000"/>
              <w:bottom w:val="single" w:sz="5" w:space="0" w:color="000000"/>
              <w:right w:val="single" w:sz="5" w:space="0" w:color="000000"/>
            </w:tcBorders>
          </w:tcPr>
          <w:p w14:paraId="06929D53" w14:textId="77777777" w:rsidR="00957F89" w:rsidRPr="00C73849" w:rsidRDefault="00D92D87" w:rsidP="00B90474">
            <w:pPr>
              <w:pStyle w:val="TableParagraph"/>
              <w:keepNext/>
              <w:spacing w:line="222" w:lineRule="exact"/>
              <w:ind w:left="342"/>
              <w:rPr>
                <w:rFonts w:ascii="Times New Roman" w:eastAsia="Times New Roman" w:hAnsi="Times New Roman" w:cs="Times New Roman"/>
                <w:sz w:val="20"/>
                <w:szCs w:val="20"/>
              </w:rPr>
            </w:pPr>
            <w:r w:rsidRPr="00C73849">
              <w:rPr>
                <w:rFonts w:ascii="Times New Roman"/>
                <w:sz w:val="20"/>
              </w:rPr>
              <w:t>11.0</w:t>
            </w:r>
          </w:p>
        </w:tc>
        <w:tc>
          <w:tcPr>
            <w:tcW w:w="1051" w:type="dxa"/>
            <w:tcBorders>
              <w:top w:val="single" w:sz="5" w:space="0" w:color="000000"/>
              <w:left w:val="single" w:sz="5" w:space="0" w:color="000000"/>
              <w:bottom w:val="single" w:sz="5" w:space="0" w:color="000000"/>
              <w:right w:val="single" w:sz="5" w:space="0" w:color="000000"/>
            </w:tcBorders>
          </w:tcPr>
          <w:p w14:paraId="41AA1F84" w14:textId="77777777" w:rsidR="00957F89" w:rsidRPr="00C73849" w:rsidRDefault="00D92D87" w:rsidP="00B90474">
            <w:pPr>
              <w:pStyle w:val="TableParagraph"/>
              <w:keepNext/>
              <w:spacing w:line="222" w:lineRule="exact"/>
              <w:ind w:left="342"/>
              <w:rPr>
                <w:rFonts w:ascii="Times New Roman" w:eastAsia="Times New Roman" w:hAnsi="Times New Roman" w:cs="Times New Roman"/>
                <w:sz w:val="20"/>
                <w:szCs w:val="20"/>
              </w:rPr>
            </w:pPr>
            <w:r w:rsidRPr="00C73849">
              <w:rPr>
                <w:rFonts w:ascii="Times New Roman"/>
                <w:sz w:val="20"/>
              </w:rPr>
              <w:t>7.42</w:t>
            </w:r>
          </w:p>
        </w:tc>
        <w:tc>
          <w:tcPr>
            <w:tcW w:w="1049" w:type="dxa"/>
            <w:tcBorders>
              <w:top w:val="single" w:sz="5" w:space="0" w:color="000000"/>
              <w:left w:val="single" w:sz="5" w:space="0" w:color="000000"/>
              <w:bottom w:val="single" w:sz="5" w:space="0" w:color="000000"/>
              <w:right w:val="single" w:sz="5" w:space="0" w:color="000000"/>
            </w:tcBorders>
          </w:tcPr>
          <w:p w14:paraId="3687F273" w14:textId="77777777" w:rsidR="00957F89" w:rsidRPr="00C73849" w:rsidRDefault="00D92D87" w:rsidP="00B90474">
            <w:pPr>
              <w:pStyle w:val="TableParagraph"/>
              <w:keepNext/>
              <w:spacing w:line="222" w:lineRule="exact"/>
              <w:ind w:left="342"/>
              <w:rPr>
                <w:rFonts w:ascii="Times New Roman" w:eastAsia="Times New Roman" w:hAnsi="Times New Roman" w:cs="Times New Roman"/>
                <w:sz w:val="20"/>
                <w:szCs w:val="20"/>
              </w:rPr>
            </w:pPr>
            <w:r w:rsidRPr="00C73849">
              <w:rPr>
                <w:rFonts w:ascii="Times New Roman"/>
                <w:sz w:val="20"/>
              </w:rPr>
              <w:t>8.43</w:t>
            </w:r>
          </w:p>
        </w:tc>
        <w:tc>
          <w:tcPr>
            <w:tcW w:w="1049" w:type="dxa"/>
            <w:tcBorders>
              <w:top w:val="single" w:sz="5" w:space="0" w:color="000000"/>
              <w:left w:val="single" w:sz="5" w:space="0" w:color="000000"/>
              <w:bottom w:val="single" w:sz="5" w:space="0" w:color="000000"/>
              <w:right w:val="single" w:sz="5" w:space="0" w:color="000000"/>
            </w:tcBorders>
          </w:tcPr>
          <w:p w14:paraId="186CF1D5" w14:textId="77777777" w:rsidR="00957F89" w:rsidRPr="00C73849" w:rsidRDefault="00D92D87" w:rsidP="00B90474">
            <w:pPr>
              <w:pStyle w:val="TableParagraph"/>
              <w:keepNext/>
              <w:spacing w:line="222" w:lineRule="exact"/>
              <w:ind w:left="342"/>
              <w:rPr>
                <w:rFonts w:ascii="Times New Roman" w:eastAsia="Times New Roman" w:hAnsi="Times New Roman" w:cs="Times New Roman"/>
                <w:sz w:val="20"/>
                <w:szCs w:val="20"/>
              </w:rPr>
            </w:pPr>
            <w:r w:rsidRPr="00C73849">
              <w:rPr>
                <w:rFonts w:ascii="Times New Roman"/>
                <w:sz w:val="20"/>
              </w:rPr>
              <w:t>6.88</w:t>
            </w:r>
          </w:p>
        </w:tc>
        <w:tc>
          <w:tcPr>
            <w:tcW w:w="1049" w:type="dxa"/>
            <w:tcBorders>
              <w:top w:val="single" w:sz="5" w:space="0" w:color="000000"/>
              <w:left w:val="single" w:sz="5" w:space="0" w:color="000000"/>
              <w:bottom w:val="single" w:sz="5" w:space="0" w:color="000000"/>
              <w:right w:val="single" w:sz="5" w:space="0" w:color="000000"/>
            </w:tcBorders>
          </w:tcPr>
          <w:p w14:paraId="268639DE" w14:textId="77777777" w:rsidR="00957F89" w:rsidRPr="00C73849" w:rsidRDefault="00D92D87" w:rsidP="00B90474">
            <w:pPr>
              <w:pStyle w:val="TableParagraph"/>
              <w:keepNext/>
              <w:spacing w:line="222" w:lineRule="exact"/>
              <w:ind w:left="342"/>
              <w:rPr>
                <w:rFonts w:ascii="Times New Roman" w:eastAsia="Times New Roman" w:hAnsi="Times New Roman" w:cs="Times New Roman"/>
                <w:sz w:val="20"/>
                <w:szCs w:val="20"/>
              </w:rPr>
            </w:pPr>
            <w:r w:rsidRPr="00C73849">
              <w:rPr>
                <w:rFonts w:ascii="Times New Roman"/>
                <w:sz w:val="20"/>
              </w:rPr>
              <w:t>9.00</w:t>
            </w:r>
          </w:p>
        </w:tc>
        <w:tc>
          <w:tcPr>
            <w:tcW w:w="1133" w:type="dxa"/>
            <w:tcBorders>
              <w:top w:val="single" w:sz="5" w:space="0" w:color="000000"/>
              <w:left w:val="single" w:sz="5" w:space="0" w:color="000000"/>
              <w:bottom w:val="single" w:sz="5" w:space="0" w:color="000000"/>
              <w:right w:val="single" w:sz="12" w:space="0" w:color="000000"/>
            </w:tcBorders>
          </w:tcPr>
          <w:p w14:paraId="0666CA0D" w14:textId="77777777" w:rsidR="00957F89" w:rsidRPr="00C73849" w:rsidRDefault="00D92D87" w:rsidP="00B90474">
            <w:pPr>
              <w:pStyle w:val="TableParagraph"/>
              <w:keepNext/>
              <w:spacing w:line="222" w:lineRule="exact"/>
              <w:ind w:left="8"/>
              <w:jc w:val="center"/>
              <w:rPr>
                <w:rFonts w:ascii="Times New Roman" w:eastAsia="Times New Roman" w:hAnsi="Times New Roman" w:cs="Times New Roman"/>
                <w:sz w:val="20"/>
                <w:szCs w:val="20"/>
              </w:rPr>
            </w:pPr>
            <w:r w:rsidRPr="00C73849">
              <w:rPr>
                <w:rFonts w:ascii="Times New Roman"/>
                <w:sz w:val="20"/>
              </w:rPr>
              <w:t>8.77</w:t>
            </w:r>
          </w:p>
        </w:tc>
      </w:tr>
      <w:tr w:rsidR="00957F89" w:rsidRPr="00C73849" w14:paraId="3984C134" w14:textId="77777777">
        <w:trPr>
          <w:trHeight w:hRule="exact" w:val="240"/>
        </w:trPr>
        <w:tc>
          <w:tcPr>
            <w:tcW w:w="960" w:type="dxa"/>
            <w:vMerge/>
            <w:tcBorders>
              <w:left w:val="single" w:sz="12" w:space="0" w:color="000000"/>
              <w:bottom w:val="single" w:sz="5" w:space="0" w:color="000000"/>
              <w:right w:val="single" w:sz="5" w:space="0" w:color="000000"/>
            </w:tcBorders>
          </w:tcPr>
          <w:p w14:paraId="3B4EC4CC" w14:textId="77777777" w:rsidR="00957F89" w:rsidRPr="00C73849" w:rsidRDefault="00957F89" w:rsidP="00B90474">
            <w:pPr>
              <w:keepNext/>
            </w:pPr>
          </w:p>
        </w:tc>
        <w:tc>
          <w:tcPr>
            <w:tcW w:w="1699" w:type="dxa"/>
            <w:tcBorders>
              <w:top w:val="single" w:sz="5" w:space="0" w:color="000000"/>
              <w:left w:val="single" w:sz="5" w:space="0" w:color="000000"/>
              <w:bottom w:val="single" w:sz="5" w:space="0" w:color="000000"/>
              <w:right w:val="single" w:sz="5" w:space="0" w:color="000000"/>
            </w:tcBorders>
          </w:tcPr>
          <w:p w14:paraId="57E08B7E" w14:textId="77777777" w:rsidR="00957F89" w:rsidRPr="00C73849" w:rsidRDefault="00D92D87" w:rsidP="00B90474">
            <w:pPr>
              <w:pStyle w:val="TableParagraph"/>
              <w:keepNext/>
              <w:spacing w:line="222" w:lineRule="exact"/>
              <w:ind w:left="102"/>
              <w:rPr>
                <w:rFonts w:ascii="Times New Roman" w:eastAsia="Times New Roman" w:hAnsi="Times New Roman" w:cs="Times New Roman"/>
                <w:sz w:val="20"/>
                <w:szCs w:val="20"/>
              </w:rPr>
            </w:pPr>
            <w:r w:rsidRPr="00C73849">
              <w:rPr>
                <w:rFonts w:ascii="Times New Roman"/>
                <w:sz w:val="20"/>
              </w:rPr>
              <w:t>Range (min-max)</w:t>
            </w:r>
          </w:p>
        </w:tc>
        <w:tc>
          <w:tcPr>
            <w:tcW w:w="1049" w:type="dxa"/>
            <w:tcBorders>
              <w:top w:val="single" w:sz="5" w:space="0" w:color="000000"/>
              <w:left w:val="single" w:sz="5" w:space="0" w:color="000000"/>
              <w:bottom w:val="single" w:sz="5" w:space="0" w:color="000000"/>
              <w:right w:val="single" w:sz="5" w:space="0" w:color="000000"/>
            </w:tcBorders>
          </w:tcPr>
          <w:p w14:paraId="5C544241" w14:textId="77777777" w:rsidR="00957F89" w:rsidRPr="00C73849" w:rsidRDefault="00D92D87" w:rsidP="00B90474">
            <w:pPr>
              <w:pStyle w:val="TableParagraph"/>
              <w:keepNext/>
              <w:spacing w:line="222" w:lineRule="exact"/>
              <w:ind w:left="185"/>
              <w:rPr>
                <w:rFonts w:ascii="Times New Roman" w:eastAsia="Times New Roman" w:hAnsi="Times New Roman" w:cs="Times New Roman"/>
                <w:sz w:val="20"/>
                <w:szCs w:val="20"/>
              </w:rPr>
            </w:pPr>
            <w:r w:rsidRPr="00C73849">
              <w:rPr>
                <w:rFonts w:ascii="Times New Roman"/>
                <w:sz w:val="20"/>
              </w:rPr>
              <w:t>160-185</w:t>
            </w:r>
          </w:p>
        </w:tc>
        <w:tc>
          <w:tcPr>
            <w:tcW w:w="1051" w:type="dxa"/>
            <w:tcBorders>
              <w:top w:val="single" w:sz="5" w:space="0" w:color="000000"/>
              <w:left w:val="single" w:sz="5" w:space="0" w:color="000000"/>
              <w:bottom w:val="single" w:sz="5" w:space="0" w:color="000000"/>
              <w:right w:val="single" w:sz="5" w:space="0" w:color="000000"/>
            </w:tcBorders>
          </w:tcPr>
          <w:p w14:paraId="277E9D85" w14:textId="77777777" w:rsidR="00957F89" w:rsidRPr="00C73849" w:rsidRDefault="00D92D87" w:rsidP="00B90474">
            <w:pPr>
              <w:pStyle w:val="TableParagraph"/>
              <w:keepNext/>
              <w:spacing w:line="222" w:lineRule="exact"/>
              <w:ind w:left="185"/>
              <w:rPr>
                <w:rFonts w:ascii="Times New Roman" w:eastAsia="Times New Roman" w:hAnsi="Times New Roman" w:cs="Times New Roman"/>
                <w:sz w:val="20"/>
                <w:szCs w:val="20"/>
              </w:rPr>
            </w:pPr>
            <w:r w:rsidRPr="00C73849">
              <w:rPr>
                <w:rFonts w:ascii="Times New Roman"/>
                <w:sz w:val="20"/>
              </w:rPr>
              <w:t>159-176</w:t>
            </w:r>
          </w:p>
        </w:tc>
        <w:tc>
          <w:tcPr>
            <w:tcW w:w="1049" w:type="dxa"/>
            <w:tcBorders>
              <w:top w:val="single" w:sz="5" w:space="0" w:color="000000"/>
              <w:left w:val="single" w:sz="5" w:space="0" w:color="000000"/>
              <w:bottom w:val="single" w:sz="5" w:space="0" w:color="000000"/>
              <w:right w:val="single" w:sz="5" w:space="0" w:color="000000"/>
            </w:tcBorders>
          </w:tcPr>
          <w:p w14:paraId="3F6DABFE" w14:textId="77777777" w:rsidR="00957F89" w:rsidRPr="00C73849" w:rsidRDefault="00D92D87" w:rsidP="00B90474">
            <w:pPr>
              <w:pStyle w:val="TableParagraph"/>
              <w:keepNext/>
              <w:spacing w:line="222" w:lineRule="exact"/>
              <w:ind w:left="184"/>
              <w:rPr>
                <w:rFonts w:ascii="Times New Roman" w:eastAsia="Times New Roman" w:hAnsi="Times New Roman" w:cs="Times New Roman"/>
                <w:sz w:val="20"/>
                <w:szCs w:val="20"/>
              </w:rPr>
            </w:pPr>
            <w:r w:rsidRPr="00C73849">
              <w:rPr>
                <w:rFonts w:ascii="Times New Roman"/>
                <w:sz w:val="20"/>
              </w:rPr>
              <w:t>162-180</w:t>
            </w:r>
          </w:p>
        </w:tc>
        <w:tc>
          <w:tcPr>
            <w:tcW w:w="1049" w:type="dxa"/>
            <w:tcBorders>
              <w:top w:val="single" w:sz="5" w:space="0" w:color="000000"/>
              <w:left w:val="single" w:sz="5" w:space="0" w:color="000000"/>
              <w:bottom w:val="single" w:sz="5" w:space="0" w:color="000000"/>
              <w:right w:val="single" w:sz="5" w:space="0" w:color="000000"/>
            </w:tcBorders>
          </w:tcPr>
          <w:p w14:paraId="6D6BFD59" w14:textId="77777777" w:rsidR="00957F89" w:rsidRPr="00C73849" w:rsidRDefault="00D92D87" w:rsidP="00B90474">
            <w:pPr>
              <w:pStyle w:val="TableParagraph"/>
              <w:keepNext/>
              <w:spacing w:line="222" w:lineRule="exact"/>
              <w:ind w:left="184"/>
              <w:rPr>
                <w:rFonts w:ascii="Times New Roman" w:eastAsia="Times New Roman" w:hAnsi="Times New Roman" w:cs="Times New Roman"/>
                <w:sz w:val="20"/>
                <w:szCs w:val="20"/>
              </w:rPr>
            </w:pPr>
            <w:r w:rsidRPr="00C73849">
              <w:rPr>
                <w:rFonts w:ascii="Times New Roman"/>
                <w:sz w:val="20"/>
              </w:rPr>
              <w:t>164-183</w:t>
            </w:r>
          </w:p>
        </w:tc>
        <w:tc>
          <w:tcPr>
            <w:tcW w:w="1049" w:type="dxa"/>
            <w:tcBorders>
              <w:top w:val="single" w:sz="5" w:space="0" w:color="000000"/>
              <w:left w:val="single" w:sz="5" w:space="0" w:color="000000"/>
              <w:bottom w:val="single" w:sz="5" w:space="0" w:color="000000"/>
              <w:right w:val="single" w:sz="5" w:space="0" w:color="000000"/>
            </w:tcBorders>
          </w:tcPr>
          <w:p w14:paraId="62E32382" w14:textId="77777777" w:rsidR="00957F89" w:rsidRPr="00C73849" w:rsidRDefault="00D92D87" w:rsidP="00B90474">
            <w:pPr>
              <w:pStyle w:val="TableParagraph"/>
              <w:keepNext/>
              <w:spacing w:line="222" w:lineRule="exact"/>
              <w:ind w:left="183"/>
              <w:rPr>
                <w:rFonts w:ascii="Times New Roman" w:eastAsia="Times New Roman" w:hAnsi="Times New Roman" w:cs="Times New Roman"/>
                <w:sz w:val="20"/>
                <w:szCs w:val="20"/>
              </w:rPr>
            </w:pPr>
            <w:r w:rsidRPr="00C73849">
              <w:rPr>
                <w:rFonts w:ascii="Times New Roman"/>
                <w:sz w:val="20"/>
              </w:rPr>
              <w:t>162-181</w:t>
            </w:r>
          </w:p>
        </w:tc>
        <w:tc>
          <w:tcPr>
            <w:tcW w:w="1133" w:type="dxa"/>
            <w:tcBorders>
              <w:top w:val="single" w:sz="5" w:space="0" w:color="000000"/>
              <w:left w:val="single" w:sz="5" w:space="0" w:color="000000"/>
              <w:bottom w:val="single" w:sz="5" w:space="0" w:color="000000"/>
              <w:right w:val="single" w:sz="12" w:space="0" w:color="000000"/>
            </w:tcBorders>
          </w:tcPr>
          <w:p w14:paraId="3ED62CE2" w14:textId="77777777" w:rsidR="00957F89" w:rsidRPr="00C73849" w:rsidRDefault="00D92D87" w:rsidP="00B90474">
            <w:pPr>
              <w:pStyle w:val="TableParagraph"/>
              <w:keepNext/>
              <w:spacing w:line="222" w:lineRule="exact"/>
              <w:ind w:left="224"/>
              <w:rPr>
                <w:rFonts w:ascii="Times New Roman" w:eastAsia="Times New Roman" w:hAnsi="Times New Roman" w:cs="Times New Roman"/>
                <w:sz w:val="20"/>
                <w:szCs w:val="20"/>
              </w:rPr>
            </w:pPr>
            <w:r w:rsidRPr="00C73849">
              <w:rPr>
                <w:rFonts w:ascii="Times New Roman"/>
                <w:sz w:val="20"/>
              </w:rPr>
              <w:t>158-192</w:t>
            </w:r>
          </w:p>
        </w:tc>
      </w:tr>
      <w:tr w:rsidR="00957F89" w:rsidRPr="00C73849" w14:paraId="237765C6" w14:textId="77777777">
        <w:trPr>
          <w:trHeight w:hRule="exact" w:val="240"/>
        </w:trPr>
        <w:tc>
          <w:tcPr>
            <w:tcW w:w="960" w:type="dxa"/>
            <w:vMerge w:val="restart"/>
            <w:tcBorders>
              <w:top w:val="single" w:sz="5" w:space="0" w:color="000000"/>
              <w:left w:val="single" w:sz="12" w:space="0" w:color="000000"/>
              <w:right w:val="single" w:sz="5" w:space="0" w:color="000000"/>
            </w:tcBorders>
          </w:tcPr>
          <w:p w14:paraId="34F4BF55" w14:textId="77777777" w:rsidR="00957F89" w:rsidRPr="00C73849" w:rsidRDefault="00D92D87" w:rsidP="00B90474">
            <w:pPr>
              <w:pStyle w:val="TableParagraph"/>
              <w:keepNext/>
              <w:spacing w:line="210" w:lineRule="exact"/>
              <w:ind w:left="92"/>
              <w:rPr>
                <w:rFonts w:ascii="Times New Roman" w:eastAsia="Times New Roman" w:hAnsi="Times New Roman" w:cs="Times New Roman"/>
                <w:sz w:val="20"/>
                <w:szCs w:val="20"/>
              </w:rPr>
            </w:pPr>
            <w:r w:rsidRPr="00C73849">
              <w:rPr>
                <w:rFonts w:ascii="Times New Roman"/>
                <w:sz w:val="20"/>
              </w:rPr>
              <w:t>BMI</w:t>
            </w:r>
          </w:p>
          <w:p w14:paraId="2C5CF8BF" w14:textId="77777777" w:rsidR="00957F89" w:rsidRPr="00C73849" w:rsidRDefault="00D92D87" w:rsidP="00B90474">
            <w:pPr>
              <w:pStyle w:val="TableParagraph"/>
              <w:keepNext/>
              <w:spacing w:line="243" w:lineRule="exact"/>
              <w:ind w:left="92"/>
              <w:rPr>
                <w:rFonts w:ascii="Times New Roman" w:eastAsia="Times New Roman" w:hAnsi="Times New Roman" w:cs="Times New Roman"/>
                <w:sz w:val="20"/>
                <w:szCs w:val="20"/>
              </w:rPr>
            </w:pPr>
            <w:r w:rsidRPr="00C73849">
              <w:rPr>
                <w:rFonts w:ascii="Times New Roman"/>
                <w:sz w:val="20"/>
              </w:rPr>
              <w:t>(kg/m</w:t>
            </w:r>
            <w:r w:rsidRPr="00C73849">
              <w:rPr>
                <w:rFonts w:ascii="Times New Roman"/>
                <w:position w:val="9"/>
                <w:sz w:val="13"/>
              </w:rPr>
              <w:t>2</w:t>
            </w:r>
            <w:r w:rsidRPr="00C73849">
              <w:rPr>
                <w:rFonts w:ascii="Times New Roman"/>
                <w:sz w:val="20"/>
              </w:rPr>
              <w:t>)</w:t>
            </w:r>
          </w:p>
        </w:tc>
        <w:tc>
          <w:tcPr>
            <w:tcW w:w="1699" w:type="dxa"/>
            <w:tcBorders>
              <w:top w:val="single" w:sz="5" w:space="0" w:color="000000"/>
              <w:left w:val="single" w:sz="5" w:space="0" w:color="000000"/>
              <w:bottom w:val="single" w:sz="5" w:space="0" w:color="000000"/>
              <w:right w:val="single" w:sz="5" w:space="0" w:color="000000"/>
            </w:tcBorders>
          </w:tcPr>
          <w:p w14:paraId="05BF7B33" w14:textId="77777777" w:rsidR="00957F89" w:rsidRPr="00C73849" w:rsidRDefault="00D92D87" w:rsidP="00B90474">
            <w:pPr>
              <w:pStyle w:val="TableParagraph"/>
              <w:keepNext/>
              <w:spacing w:line="222" w:lineRule="exact"/>
              <w:ind w:left="102"/>
              <w:rPr>
                <w:rFonts w:ascii="Times New Roman" w:eastAsia="Times New Roman" w:hAnsi="Times New Roman" w:cs="Times New Roman"/>
                <w:sz w:val="20"/>
                <w:szCs w:val="20"/>
              </w:rPr>
            </w:pPr>
            <w:r w:rsidRPr="00C73849">
              <w:rPr>
                <w:rFonts w:ascii="Times New Roman"/>
                <w:sz w:val="20"/>
              </w:rPr>
              <w:t>Mean</w:t>
            </w:r>
          </w:p>
        </w:tc>
        <w:tc>
          <w:tcPr>
            <w:tcW w:w="1049" w:type="dxa"/>
            <w:tcBorders>
              <w:top w:val="single" w:sz="5" w:space="0" w:color="000000"/>
              <w:left w:val="single" w:sz="5" w:space="0" w:color="000000"/>
              <w:bottom w:val="single" w:sz="5" w:space="0" w:color="000000"/>
              <w:right w:val="single" w:sz="5" w:space="0" w:color="000000"/>
            </w:tcBorders>
          </w:tcPr>
          <w:p w14:paraId="1DE615C4" w14:textId="77777777" w:rsidR="00957F89" w:rsidRPr="00C73849" w:rsidRDefault="00D92D87" w:rsidP="00B90474">
            <w:pPr>
              <w:pStyle w:val="TableParagraph"/>
              <w:keepNext/>
              <w:spacing w:line="222" w:lineRule="exact"/>
              <w:ind w:left="293"/>
              <w:rPr>
                <w:rFonts w:ascii="Times New Roman" w:eastAsia="Times New Roman" w:hAnsi="Times New Roman" w:cs="Times New Roman"/>
                <w:sz w:val="20"/>
                <w:szCs w:val="20"/>
              </w:rPr>
            </w:pPr>
            <w:r w:rsidRPr="00C73849">
              <w:rPr>
                <w:rFonts w:ascii="Times New Roman"/>
                <w:sz w:val="20"/>
              </w:rPr>
              <w:t>25.23</w:t>
            </w:r>
          </w:p>
        </w:tc>
        <w:tc>
          <w:tcPr>
            <w:tcW w:w="1051" w:type="dxa"/>
            <w:tcBorders>
              <w:top w:val="single" w:sz="5" w:space="0" w:color="000000"/>
              <w:left w:val="single" w:sz="5" w:space="0" w:color="000000"/>
              <w:bottom w:val="single" w:sz="5" w:space="0" w:color="000000"/>
              <w:right w:val="single" w:sz="5" w:space="0" w:color="000000"/>
            </w:tcBorders>
          </w:tcPr>
          <w:p w14:paraId="1EDDC98F" w14:textId="77777777" w:rsidR="00957F89" w:rsidRPr="00C73849" w:rsidRDefault="00D92D87" w:rsidP="00B90474">
            <w:pPr>
              <w:pStyle w:val="TableParagraph"/>
              <w:keepNext/>
              <w:spacing w:line="222" w:lineRule="exact"/>
              <w:ind w:left="293"/>
              <w:rPr>
                <w:rFonts w:ascii="Times New Roman" w:eastAsia="Times New Roman" w:hAnsi="Times New Roman" w:cs="Times New Roman"/>
                <w:sz w:val="20"/>
                <w:szCs w:val="20"/>
              </w:rPr>
            </w:pPr>
            <w:r w:rsidRPr="00C73849">
              <w:rPr>
                <w:rFonts w:ascii="Times New Roman"/>
                <w:sz w:val="20"/>
              </w:rPr>
              <w:t>22.66</w:t>
            </w:r>
          </w:p>
        </w:tc>
        <w:tc>
          <w:tcPr>
            <w:tcW w:w="1049" w:type="dxa"/>
            <w:tcBorders>
              <w:top w:val="single" w:sz="5" w:space="0" w:color="000000"/>
              <w:left w:val="single" w:sz="5" w:space="0" w:color="000000"/>
              <w:bottom w:val="single" w:sz="5" w:space="0" w:color="000000"/>
              <w:right w:val="single" w:sz="5" w:space="0" w:color="000000"/>
            </w:tcBorders>
          </w:tcPr>
          <w:p w14:paraId="3D8A461F" w14:textId="77777777" w:rsidR="00957F89" w:rsidRPr="00C73849" w:rsidRDefault="00D92D87" w:rsidP="00B90474">
            <w:pPr>
              <w:pStyle w:val="TableParagraph"/>
              <w:keepNext/>
              <w:spacing w:line="222" w:lineRule="exact"/>
              <w:ind w:left="293"/>
              <w:rPr>
                <w:rFonts w:ascii="Times New Roman" w:eastAsia="Times New Roman" w:hAnsi="Times New Roman" w:cs="Times New Roman"/>
                <w:sz w:val="20"/>
                <w:szCs w:val="20"/>
              </w:rPr>
            </w:pPr>
            <w:r w:rsidRPr="00C73849">
              <w:rPr>
                <w:rFonts w:ascii="Times New Roman"/>
                <w:sz w:val="20"/>
              </w:rPr>
              <w:t>21.00</w:t>
            </w:r>
          </w:p>
        </w:tc>
        <w:tc>
          <w:tcPr>
            <w:tcW w:w="1049" w:type="dxa"/>
            <w:tcBorders>
              <w:top w:val="single" w:sz="5" w:space="0" w:color="000000"/>
              <w:left w:val="single" w:sz="5" w:space="0" w:color="000000"/>
              <w:bottom w:val="single" w:sz="5" w:space="0" w:color="000000"/>
              <w:right w:val="single" w:sz="5" w:space="0" w:color="000000"/>
            </w:tcBorders>
          </w:tcPr>
          <w:p w14:paraId="7CB0DE90" w14:textId="77777777" w:rsidR="00957F89" w:rsidRPr="00C73849" w:rsidRDefault="00D92D87" w:rsidP="00B90474">
            <w:pPr>
              <w:pStyle w:val="TableParagraph"/>
              <w:keepNext/>
              <w:spacing w:line="222" w:lineRule="exact"/>
              <w:ind w:left="293"/>
              <w:rPr>
                <w:rFonts w:ascii="Times New Roman" w:eastAsia="Times New Roman" w:hAnsi="Times New Roman" w:cs="Times New Roman"/>
                <w:sz w:val="20"/>
                <w:szCs w:val="20"/>
              </w:rPr>
            </w:pPr>
            <w:r w:rsidRPr="00C73849">
              <w:rPr>
                <w:rFonts w:ascii="Times New Roman"/>
                <w:sz w:val="20"/>
              </w:rPr>
              <w:t>22.55</w:t>
            </w:r>
          </w:p>
        </w:tc>
        <w:tc>
          <w:tcPr>
            <w:tcW w:w="1049" w:type="dxa"/>
            <w:tcBorders>
              <w:top w:val="single" w:sz="5" w:space="0" w:color="000000"/>
              <w:left w:val="single" w:sz="5" w:space="0" w:color="000000"/>
              <w:bottom w:val="single" w:sz="5" w:space="0" w:color="000000"/>
              <w:right w:val="single" w:sz="5" w:space="0" w:color="000000"/>
            </w:tcBorders>
          </w:tcPr>
          <w:p w14:paraId="28572935" w14:textId="77777777" w:rsidR="00957F89" w:rsidRPr="00C73849" w:rsidRDefault="00D92D87" w:rsidP="00B90474">
            <w:pPr>
              <w:pStyle w:val="TableParagraph"/>
              <w:keepNext/>
              <w:spacing w:line="222" w:lineRule="exact"/>
              <w:ind w:left="292"/>
              <w:rPr>
                <w:rFonts w:ascii="Times New Roman" w:eastAsia="Times New Roman" w:hAnsi="Times New Roman" w:cs="Times New Roman"/>
                <w:sz w:val="20"/>
                <w:szCs w:val="20"/>
              </w:rPr>
            </w:pPr>
            <w:r w:rsidRPr="00C73849">
              <w:rPr>
                <w:rFonts w:ascii="Times New Roman"/>
                <w:sz w:val="20"/>
              </w:rPr>
              <w:t>22.40</w:t>
            </w:r>
          </w:p>
        </w:tc>
        <w:tc>
          <w:tcPr>
            <w:tcW w:w="1133" w:type="dxa"/>
            <w:tcBorders>
              <w:top w:val="single" w:sz="5" w:space="0" w:color="000000"/>
              <w:left w:val="single" w:sz="5" w:space="0" w:color="000000"/>
              <w:bottom w:val="single" w:sz="5" w:space="0" w:color="000000"/>
              <w:right w:val="single" w:sz="12" w:space="0" w:color="000000"/>
            </w:tcBorders>
          </w:tcPr>
          <w:p w14:paraId="32D4A980" w14:textId="77777777" w:rsidR="00957F89" w:rsidRPr="00C73849" w:rsidRDefault="00D92D87" w:rsidP="00B90474">
            <w:pPr>
              <w:pStyle w:val="TableParagraph"/>
              <w:keepNext/>
              <w:spacing w:line="222" w:lineRule="exact"/>
              <w:ind w:left="333"/>
              <w:rPr>
                <w:rFonts w:ascii="Times New Roman" w:eastAsia="Times New Roman" w:hAnsi="Times New Roman" w:cs="Times New Roman"/>
                <w:sz w:val="20"/>
                <w:szCs w:val="20"/>
              </w:rPr>
            </w:pPr>
            <w:r w:rsidRPr="00C73849">
              <w:rPr>
                <w:rFonts w:ascii="Times New Roman"/>
                <w:sz w:val="20"/>
              </w:rPr>
              <w:t>24.39</w:t>
            </w:r>
          </w:p>
        </w:tc>
      </w:tr>
      <w:tr w:rsidR="00957F89" w:rsidRPr="00C73849" w14:paraId="1410B094" w14:textId="77777777">
        <w:trPr>
          <w:trHeight w:hRule="exact" w:val="240"/>
        </w:trPr>
        <w:tc>
          <w:tcPr>
            <w:tcW w:w="960" w:type="dxa"/>
            <w:vMerge/>
            <w:tcBorders>
              <w:left w:val="single" w:sz="12" w:space="0" w:color="000000"/>
              <w:right w:val="single" w:sz="5" w:space="0" w:color="000000"/>
            </w:tcBorders>
          </w:tcPr>
          <w:p w14:paraId="36882157" w14:textId="77777777" w:rsidR="00957F89" w:rsidRPr="00C73849" w:rsidRDefault="00957F89" w:rsidP="00B90474">
            <w:pPr>
              <w:keepNext/>
            </w:pPr>
          </w:p>
        </w:tc>
        <w:tc>
          <w:tcPr>
            <w:tcW w:w="1699" w:type="dxa"/>
            <w:tcBorders>
              <w:top w:val="single" w:sz="5" w:space="0" w:color="000000"/>
              <w:left w:val="single" w:sz="5" w:space="0" w:color="000000"/>
              <w:bottom w:val="single" w:sz="5" w:space="0" w:color="000000"/>
              <w:right w:val="single" w:sz="5" w:space="0" w:color="000000"/>
            </w:tcBorders>
          </w:tcPr>
          <w:p w14:paraId="1F73DA3A" w14:textId="77777777" w:rsidR="00957F89" w:rsidRPr="00C73849" w:rsidRDefault="00D92D87" w:rsidP="00B90474">
            <w:pPr>
              <w:pStyle w:val="TableParagraph"/>
              <w:keepNext/>
              <w:spacing w:line="222" w:lineRule="exact"/>
              <w:ind w:left="102"/>
              <w:rPr>
                <w:rFonts w:ascii="Times New Roman" w:eastAsia="Times New Roman" w:hAnsi="Times New Roman" w:cs="Times New Roman"/>
                <w:sz w:val="20"/>
                <w:szCs w:val="20"/>
              </w:rPr>
            </w:pPr>
            <w:r w:rsidRPr="00C73849">
              <w:rPr>
                <w:rFonts w:ascii="Times New Roman"/>
                <w:sz w:val="20"/>
              </w:rPr>
              <w:t>SD</w:t>
            </w:r>
          </w:p>
        </w:tc>
        <w:tc>
          <w:tcPr>
            <w:tcW w:w="1049" w:type="dxa"/>
            <w:tcBorders>
              <w:top w:val="single" w:sz="5" w:space="0" w:color="000000"/>
              <w:left w:val="single" w:sz="5" w:space="0" w:color="000000"/>
              <w:bottom w:val="single" w:sz="5" w:space="0" w:color="000000"/>
              <w:right w:val="single" w:sz="5" w:space="0" w:color="000000"/>
            </w:tcBorders>
          </w:tcPr>
          <w:p w14:paraId="3A87B1D2" w14:textId="77777777" w:rsidR="00957F89" w:rsidRPr="00C73849" w:rsidRDefault="00D92D87" w:rsidP="00B90474">
            <w:pPr>
              <w:pStyle w:val="TableParagraph"/>
              <w:keepNext/>
              <w:spacing w:line="222" w:lineRule="exact"/>
              <w:ind w:left="342"/>
              <w:rPr>
                <w:rFonts w:ascii="Times New Roman" w:eastAsia="Times New Roman" w:hAnsi="Times New Roman" w:cs="Times New Roman"/>
                <w:sz w:val="20"/>
                <w:szCs w:val="20"/>
              </w:rPr>
            </w:pPr>
            <w:r w:rsidRPr="00C73849">
              <w:rPr>
                <w:rFonts w:ascii="Times New Roman"/>
                <w:sz w:val="20"/>
              </w:rPr>
              <w:t>4.02</w:t>
            </w:r>
          </w:p>
        </w:tc>
        <w:tc>
          <w:tcPr>
            <w:tcW w:w="1051" w:type="dxa"/>
            <w:tcBorders>
              <w:top w:val="single" w:sz="5" w:space="0" w:color="000000"/>
              <w:left w:val="single" w:sz="5" w:space="0" w:color="000000"/>
              <w:bottom w:val="single" w:sz="5" w:space="0" w:color="000000"/>
              <w:right w:val="single" w:sz="5" w:space="0" w:color="000000"/>
            </w:tcBorders>
          </w:tcPr>
          <w:p w14:paraId="02BD9B76" w14:textId="77777777" w:rsidR="00957F89" w:rsidRPr="00C73849" w:rsidRDefault="00D92D87" w:rsidP="00B90474">
            <w:pPr>
              <w:pStyle w:val="TableParagraph"/>
              <w:keepNext/>
              <w:spacing w:line="222" w:lineRule="exact"/>
              <w:ind w:left="342"/>
              <w:rPr>
                <w:rFonts w:ascii="Times New Roman" w:eastAsia="Times New Roman" w:hAnsi="Times New Roman" w:cs="Times New Roman"/>
                <w:sz w:val="20"/>
                <w:szCs w:val="20"/>
              </w:rPr>
            </w:pPr>
            <w:r w:rsidRPr="00C73849">
              <w:rPr>
                <w:rFonts w:ascii="Times New Roman"/>
                <w:sz w:val="20"/>
              </w:rPr>
              <w:t>0.99</w:t>
            </w:r>
          </w:p>
        </w:tc>
        <w:tc>
          <w:tcPr>
            <w:tcW w:w="1049" w:type="dxa"/>
            <w:tcBorders>
              <w:top w:val="single" w:sz="5" w:space="0" w:color="000000"/>
              <w:left w:val="single" w:sz="5" w:space="0" w:color="000000"/>
              <w:bottom w:val="single" w:sz="5" w:space="0" w:color="000000"/>
              <w:right w:val="single" w:sz="5" w:space="0" w:color="000000"/>
            </w:tcBorders>
          </w:tcPr>
          <w:p w14:paraId="3F01ACFF" w14:textId="77777777" w:rsidR="00957F89" w:rsidRPr="00C73849" w:rsidRDefault="00D92D87" w:rsidP="00B90474">
            <w:pPr>
              <w:pStyle w:val="TableParagraph"/>
              <w:keepNext/>
              <w:spacing w:line="222" w:lineRule="exact"/>
              <w:ind w:left="342"/>
              <w:rPr>
                <w:rFonts w:ascii="Times New Roman" w:eastAsia="Times New Roman" w:hAnsi="Times New Roman" w:cs="Times New Roman"/>
                <w:sz w:val="20"/>
                <w:szCs w:val="20"/>
              </w:rPr>
            </w:pPr>
            <w:r w:rsidRPr="00C73849">
              <w:rPr>
                <w:rFonts w:ascii="Times New Roman"/>
                <w:sz w:val="20"/>
              </w:rPr>
              <w:t>0.85</w:t>
            </w:r>
          </w:p>
        </w:tc>
        <w:tc>
          <w:tcPr>
            <w:tcW w:w="1049" w:type="dxa"/>
            <w:tcBorders>
              <w:top w:val="single" w:sz="5" w:space="0" w:color="000000"/>
              <w:left w:val="single" w:sz="5" w:space="0" w:color="000000"/>
              <w:bottom w:val="single" w:sz="5" w:space="0" w:color="000000"/>
              <w:right w:val="single" w:sz="5" w:space="0" w:color="000000"/>
            </w:tcBorders>
          </w:tcPr>
          <w:p w14:paraId="3E569625" w14:textId="77777777" w:rsidR="00957F89" w:rsidRPr="00C73849" w:rsidRDefault="00D92D87" w:rsidP="00B90474">
            <w:pPr>
              <w:pStyle w:val="TableParagraph"/>
              <w:keepNext/>
              <w:spacing w:line="222" w:lineRule="exact"/>
              <w:ind w:left="342"/>
              <w:rPr>
                <w:rFonts w:ascii="Times New Roman" w:eastAsia="Times New Roman" w:hAnsi="Times New Roman" w:cs="Times New Roman"/>
                <w:sz w:val="20"/>
                <w:szCs w:val="20"/>
              </w:rPr>
            </w:pPr>
            <w:r w:rsidRPr="00C73849">
              <w:rPr>
                <w:rFonts w:ascii="Times New Roman"/>
                <w:sz w:val="20"/>
              </w:rPr>
              <w:t>2.92</w:t>
            </w:r>
          </w:p>
        </w:tc>
        <w:tc>
          <w:tcPr>
            <w:tcW w:w="1049" w:type="dxa"/>
            <w:tcBorders>
              <w:top w:val="single" w:sz="5" w:space="0" w:color="000000"/>
              <w:left w:val="single" w:sz="5" w:space="0" w:color="000000"/>
              <w:bottom w:val="single" w:sz="5" w:space="0" w:color="000000"/>
              <w:right w:val="single" w:sz="5" w:space="0" w:color="000000"/>
            </w:tcBorders>
          </w:tcPr>
          <w:p w14:paraId="1ACADC51" w14:textId="77777777" w:rsidR="00957F89" w:rsidRPr="00C73849" w:rsidRDefault="00D92D87" w:rsidP="00B90474">
            <w:pPr>
              <w:pStyle w:val="TableParagraph"/>
              <w:keepNext/>
              <w:spacing w:line="222" w:lineRule="exact"/>
              <w:ind w:left="342"/>
              <w:rPr>
                <w:rFonts w:ascii="Times New Roman" w:eastAsia="Times New Roman" w:hAnsi="Times New Roman" w:cs="Times New Roman"/>
                <w:sz w:val="20"/>
                <w:szCs w:val="20"/>
              </w:rPr>
            </w:pPr>
            <w:r w:rsidRPr="00C73849">
              <w:rPr>
                <w:rFonts w:ascii="Times New Roman"/>
                <w:sz w:val="20"/>
              </w:rPr>
              <w:t>2.81</w:t>
            </w:r>
          </w:p>
        </w:tc>
        <w:tc>
          <w:tcPr>
            <w:tcW w:w="1133" w:type="dxa"/>
            <w:tcBorders>
              <w:top w:val="single" w:sz="5" w:space="0" w:color="000000"/>
              <w:left w:val="single" w:sz="5" w:space="0" w:color="000000"/>
              <w:bottom w:val="single" w:sz="5" w:space="0" w:color="000000"/>
              <w:right w:val="single" w:sz="12" w:space="0" w:color="000000"/>
            </w:tcBorders>
          </w:tcPr>
          <w:p w14:paraId="7372BEDA" w14:textId="77777777" w:rsidR="00957F89" w:rsidRPr="00C73849" w:rsidRDefault="00D92D87" w:rsidP="00B90474">
            <w:pPr>
              <w:pStyle w:val="TableParagraph"/>
              <w:keepNext/>
              <w:spacing w:line="222" w:lineRule="exact"/>
              <w:ind w:left="8"/>
              <w:jc w:val="center"/>
              <w:rPr>
                <w:rFonts w:ascii="Times New Roman" w:eastAsia="Times New Roman" w:hAnsi="Times New Roman" w:cs="Times New Roman"/>
                <w:sz w:val="20"/>
                <w:szCs w:val="20"/>
              </w:rPr>
            </w:pPr>
            <w:r w:rsidRPr="00C73849">
              <w:rPr>
                <w:rFonts w:ascii="Times New Roman"/>
                <w:sz w:val="20"/>
              </w:rPr>
              <w:t>3.17</w:t>
            </w:r>
          </w:p>
        </w:tc>
      </w:tr>
      <w:tr w:rsidR="00957F89" w:rsidRPr="00C73849" w14:paraId="3B09BA40" w14:textId="77777777">
        <w:trPr>
          <w:trHeight w:hRule="exact" w:val="240"/>
        </w:trPr>
        <w:tc>
          <w:tcPr>
            <w:tcW w:w="960" w:type="dxa"/>
            <w:vMerge/>
            <w:tcBorders>
              <w:left w:val="single" w:sz="12" w:space="0" w:color="000000"/>
              <w:bottom w:val="single" w:sz="5" w:space="0" w:color="000000"/>
              <w:right w:val="single" w:sz="5" w:space="0" w:color="000000"/>
            </w:tcBorders>
          </w:tcPr>
          <w:p w14:paraId="5F52C926" w14:textId="77777777" w:rsidR="00957F89" w:rsidRPr="00C73849" w:rsidRDefault="00957F89" w:rsidP="00B90474">
            <w:pPr>
              <w:keepNext/>
            </w:pPr>
          </w:p>
        </w:tc>
        <w:tc>
          <w:tcPr>
            <w:tcW w:w="1699" w:type="dxa"/>
            <w:tcBorders>
              <w:top w:val="single" w:sz="5" w:space="0" w:color="000000"/>
              <w:left w:val="single" w:sz="5" w:space="0" w:color="000000"/>
              <w:bottom w:val="single" w:sz="5" w:space="0" w:color="000000"/>
              <w:right w:val="single" w:sz="5" w:space="0" w:color="000000"/>
            </w:tcBorders>
          </w:tcPr>
          <w:p w14:paraId="05FB972B" w14:textId="77777777" w:rsidR="00957F89" w:rsidRPr="00C73849" w:rsidRDefault="00D92D87" w:rsidP="00B90474">
            <w:pPr>
              <w:pStyle w:val="TableParagraph"/>
              <w:keepNext/>
              <w:spacing w:line="222" w:lineRule="exact"/>
              <w:ind w:left="102"/>
              <w:rPr>
                <w:rFonts w:ascii="Times New Roman" w:eastAsia="Times New Roman" w:hAnsi="Times New Roman" w:cs="Times New Roman"/>
                <w:sz w:val="20"/>
                <w:szCs w:val="20"/>
              </w:rPr>
            </w:pPr>
            <w:r w:rsidRPr="00C73849">
              <w:rPr>
                <w:rFonts w:ascii="Times New Roman"/>
                <w:sz w:val="20"/>
              </w:rPr>
              <w:t>Range (min-max)</w:t>
            </w:r>
          </w:p>
        </w:tc>
        <w:tc>
          <w:tcPr>
            <w:tcW w:w="1049" w:type="dxa"/>
            <w:tcBorders>
              <w:top w:val="single" w:sz="5" w:space="0" w:color="000000"/>
              <w:left w:val="single" w:sz="5" w:space="0" w:color="000000"/>
              <w:bottom w:val="single" w:sz="5" w:space="0" w:color="000000"/>
              <w:right w:val="single" w:sz="5" w:space="0" w:color="000000"/>
            </w:tcBorders>
          </w:tcPr>
          <w:p w14:paraId="1FE2F05D" w14:textId="77777777" w:rsidR="00957F89" w:rsidRPr="00C73849" w:rsidRDefault="00D92D87" w:rsidP="00B90474">
            <w:pPr>
              <w:pStyle w:val="TableParagraph"/>
              <w:keepNext/>
              <w:spacing w:line="222" w:lineRule="exact"/>
              <w:ind w:left="135"/>
              <w:rPr>
                <w:rFonts w:ascii="Times New Roman" w:eastAsia="Times New Roman" w:hAnsi="Times New Roman" w:cs="Times New Roman"/>
                <w:sz w:val="20"/>
                <w:szCs w:val="20"/>
              </w:rPr>
            </w:pPr>
            <w:r w:rsidRPr="00C73849">
              <w:rPr>
                <w:rFonts w:ascii="Times New Roman"/>
                <w:sz w:val="20"/>
              </w:rPr>
              <w:t>19.9-29.5</w:t>
            </w:r>
          </w:p>
        </w:tc>
        <w:tc>
          <w:tcPr>
            <w:tcW w:w="1051" w:type="dxa"/>
            <w:tcBorders>
              <w:top w:val="single" w:sz="5" w:space="0" w:color="000000"/>
              <w:left w:val="single" w:sz="5" w:space="0" w:color="000000"/>
              <w:bottom w:val="single" w:sz="5" w:space="0" w:color="000000"/>
              <w:right w:val="single" w:sz="5" w:space="0" w:color="000000"/>
            </w:tcBorders>
          </w:tcPr>
          <w:p w14:paraId="602BEBE9" w14:textId="77777777" w:rsidR="00957F89" w:rsidRPr="00C73849" w:rsidRDefault="00D92D87" w:rsidP="00B90474">
            <w:pPr>
              <w:pStyle w:val="TableParagraph"/>
              <w:keepNext/>
              <w:spacing w:line="222" w:lineRule="exact"/>
              <w:ind w:left="135"/>
              <w:rPr>
                <w:rFonts w:ascii="Times New Roman" w:eastAsia="Times New Roman" w:hAnsi="Times New Roman" w:cs="Times New Roman"/>
                <w:sz w:val="20"/>
                <w:szCs w:val="20"/>
              </w:rPr>
            </w:pPr>
            <w:r w:rsidRPr="00C73849">
              <w:rPr>
                <w:rFonts w:ascii="Times New Roman"/>
                <w:sz w:val="20"/>
              </w:rPr>
              <w:t>21.8-23.9</w:t>
            </w:r>
          </w:p>
        </w:tc>
        <w:tc>
          <w:tcPr>
            <w:tcW w:w="1049" w:type="dxa"/>
            <w:tcBorders>
              <w:top w:val="single" w:sz="5" w:space="0" w:color="000000"/>
              <w:left w:val="single" w:sz="5" w:space="0" w:color="000000"/>
              <w:bottom w:val="single" w:sz="5" w:space="0" w:color="000000"/>
              <w:right w:val="single" w:sz="5" w:space="0" w:color="000000"/>
            </w:tcBorders>
          </w:tcPr>
          <w:p w14:paraId="10063877" w14:textId="77777777" w:rsidR="00957F89" w:rsidRPr="00C73849" w:rsidRDefault="00D92D87" w:rsidP="00B90474">
            <w:pPr>
              <w:pStyle w:val="TableParagraph"/>
              <w:keepNext/>
              <w:spacing w:line="222" w:lineRule="exact"/>
              <w:ind w:left="134"/>
              <w:rPr>
                <w:rFonts w:ascii="Times New Roman" w:eastAsia="Times New Roman" w:hAnsi="Times New Roman" w:cs="Times New Roman"/>
                <w:sz w:val="20"/>
                <w:szCs w:val="20"/>
              </w:rPr>
            </w:pPr>
            <w:r w:rsidRPr="00C73849">
              <w:rPr>
                <w:rFonts w:ascii="Times New Roman"/>
                <w:sz w:val="20"/>
              </w:rPr>
              <w:t>19.8-21.7</w:t>
            </w:r>
          </w:p>
        </w:tc>
        <w:tc>
          <w:tcPr>
            <w:tcW w:w="1049" w:type="dxa"/>
            <w:tcBorders>
              <w:top w:val="single" w:sz="5" w:space="0" w:color="000000"/>
              <w:left w:val="single" w:sz="5" w:space="0" w:color="000000"/>
              <w:bottom w:val="single" w:sz="5" w:space="0" w:color="000000"/>
              <w:right w:val="single" w:sz="5" w:space="0" w:color="000000"/>
            </w:tcBorders>
          </w:tcPr>
          <w:p w14:paraId="59B0F982" w14:textId="77777777" w:rsidR="00957F89" w:rsidRPr="00C73849" w:rsidRDefault="00D92D87" w:rsidP="00B90474">
            <w:pPr>
              <w:pStyle w:val="TableParagraph"/>
              <w:keepNext/>
              <w:spacing w:line="222" w:lineRule="exact"/>
              <w:ind w:left="134"/>
              <w:rPr>
                <w:rFonts w:ascii="Times New Roman" w:eastAsia="Times New Roman" w:hAnsi="Times New Roman" w:cs="Times New Roman"/>
                <w:sz w:val="20"/>
                <w:szCs w:val="20"/>
              </w:rPr>
            </w:pPr>
            <w:r w:rsidRPr="00C73849">
              <w:rPr>
                <w:rFonts w:ascii="Times New Roman"/>
                <w:sz w:val="20"/>
              </w:rPr>
              <w:t>19.2-27.2</w:t>
            </w:r>
          </w:p>
        </w:tc>
        <w:tc>
          <w:tcPr>
            <w:tcW w:w="1049" w:type="dxa"/>
            <w:tcBorders>
              <w:top w:val="single" w:sz="5" w:space="0" w:color="000000"/>
              <w:left w:val="single" w:sz="5" w:space="0" w:color="000000"/>
              <w:bottom w:val="single" w:sz="5" w:space="0" w:color="000000"/>
              <w:right w:val="single" w:sz="5" w:space="0" w:color="000000"/>
            </w:tcBorders>
          </w:tcPr>
          <w:p w14:paraId="7560C69E" w14:textId="77777777" w:rsidR="00957F89" w:rsidRPr="00C73849" w:rsidRDefault="00D92D87" w:rsidP="00B90474">
            <w:pPr>
              <w:pStyle w:val="TableParagraph"/>
              <w:keepNext/>
              <w:spacing w:line="222" w:lineRule="exact"/>
              <w:ind w:left="134"/>
              <w:rPr>
                <w:rFonts w:ascii="Times New Roman" w:eastAsia="Times New Roman" w:hAnsi="Times New Roman" w:cs="Times New Roman"/>
                <w:sz w:val="20"/>
                <w:szCs w:val="20"/>
              </w:rPr>
            </w:pPr>
            <w:r w:rsidRPr="00C73849">
              <w:rPr>
                <w:rFonts w:ascii="Times New Roman"/>
                <w:sz w:val="20"/>
              </w:rPr>
              <w:t>19.4-25.9</w:t>
            </w:r>
          </w:p>
        </w:tc>
        <w:tc>
          <w:tcPr>
            <w:tcW w:w="1133" w:type="dxa"/>
            <w:tcBorders>
              <w:top w:val="single" w:sz="5" w:space="0" w:color="000000"/>
              <w:left w:val="single" w:sz="5" w:space="0" w:color="000000"/>
              <w:bottom w:val="single" w:sz="5" w:space="0" w:color="000000"/>
              <w:right w:val="single" w:sz="12" w:space="0" w:color="000000"/>
            </w:tcBorders>
          </w:tcPr>
          <w:p w14:paraId="1CB085CD" w14:textId="77777777" w:rsidR="00957F89" w:rsidRPr="00C73849" w:rsidRDefault="00D92D87" w:rsidP="00B90474">
            <w:pPr>
              <w:pStyle w:val="TableParagraph"/>
              <w:keepNext/>
              <w:spacing w:line="222" w:lineRule="exact"/>
              <w:ind w:left="177"/>
              <w:rPr>
                <w:rFonts w:ascii="Times New Roman" w:eastAsia="Times New Roman" w:hAnsi="Times New Roman" w:cs="Times New Roman"/>
                <w:sz w:val="20"/>
                <w:szCs w:val="20"/>
              </w:rPr>
            </w:pPr>
            <w:r w:rsidRPr="00C73849">
              <w:rPr>
                <w:rFonts w:ascii="Times New Roman"/>
                <w:sz w:val="20"/>
              </w:rPr>
              <w:t>20.4-30.3</w:t>
            </w:r>
          </w:p>
        </w:tc>
      </w:tr>
    </w:tbl>
    <w:p w14:paraId="7F3B0C9A" w14:textId="77777777" w:rsidR="00957F89" w:rsidRPr="00C73849" w:rsidRDefault="00D92D87" w:rsidP="00B90474">
      <w:pPr>
        <w:keepNext/>
        <w:spacing w:line="222" w:lineRule="exact"/>
        <w:ind w:left="222"/>
        <w:rPr>
          <w:rFonts w:ascii="Times New Roman" w:eastAsia="Times New Roman" w:hAnsi="Times New Roman" w:cs="Times New Roman"/>
          <w:sz w:val="20"/>
          <w:szCs w:val="20"/>
        </w:rPr>
      </w:pPr>
      <w:r w:rsidRPr="00C73849">
        <w:rPr>
          <w:rFonts w:ascii="Times New Roman"/>
          <w:sz w:val="20"/>
        </w:rPr>
        <w:t>BMI = Body mass index</w:t>
      </w:r>
    </w:p>
    <w:p w14:paraId="175F6A9B" w14:textId="77777777" w:rsidR="00957F89" w:rsidRPr="00C73849" w:rsidRDefault="00957F89">
      <w:pPr>
        <w:rPr>
          <w:rFonts w:ascii="Times New Roman" w:eastAsia="Times New Roman" w:hAnsi="Times New Roman" w:cs="Times New Roman"/>
          <w:sz w:val="20"/>
          <w:szCs w:val="20"/>
        </w:rPr>
      </w:pPr>
    </w:p>
    <w:p w14:paraId="42897D1F" w14:textId="77777777" w:rsidR="00957F89" w:rsidRPr="00C73849" w:rsidRDefault="00957F89">
      <w:pPr>
        <w:spacing w:line="228" w:lineRule="exact"/>
        <w:rPr>
          <w:rFonts w:ascii="Times New Roman" w:eastAsia="Times New Roman" w:hAnsi="Times New Roman" w:cs="Times New Roman"/>
          <w:sz w:val="20"/>
          <w:szCs w:val="20"/>
        </w:rPr>
        <w:sectPr w:rsidR="00957F89" w:rsidRPr="00C73849" w:rsidSect="00E55B59">
          <w:pgSz w:w="11909" w:h="16834" w:code="9"/>
          <w:pgMar w:top="1440" w:right="1440" w:bottom="1440" w:left="1440" w:header="720" w:footer="720" w:gutter="0"/>
          <w:cols w:space="720"/>
          <w:docGrid w:linePitch="299"/>
        </w:sectPr>
      </w:pPr>
    </w:p>
    <w:p w14:paraId="2F91ECAC" w14:textId="77777777" w:rsidR="00957F89" w:rsidRPr="00C73849" w:rsidRDefault="00D92D87">
      <w:pPr>
        <w:spacing w:before="69"/>
        <w:ind w:left="224"/>
        <w:rPr>
          <w:rFonts w:ascii="Times New Roman" w:eastAsia="Times New Roman" w:hAnsi="Times New Roman" w:cs="Times New Roman"/>
          <w:sz w:val="24"/>
          <w:szCs w:val="24"/>
        </w:rPr>
      </w:pPr>
      <w:r w:rsidRPr="00C73849">
        <w:rPr>
          <w:rFonts w:ascii="Times New Roman"/>
          <w:b/>
          <w:sz w:val="24"/>
        </w:rPr>
        <w:lastRenderedPageBreak/>
        <w:t>Adverse events</w:t>
      </w:r>
    </w:p>
    <w:p w14:paraId="0C31573B" w14:textId="77777777" w:rsidR="00957F89" w:rsidRPr="00C73849" w:rsidRDefault="00957F89">
      <w:pPr>
        <w:spacing w:before="4"/>
        <w:rPr>
          <w:rFonts w:ascii="Times New Roman" w:eastAsia="Times New Roman" w:hAnsi="Times New Roman" w:cs="Times New Roman"/>
          <w:b/>
          <w:bCs/>
          <w:sz w:val="31"/>
          <w:szCs w:val="31"/>
        </w:rPr>
      </w:pPr>
    </w:p>
    <w:p w14:paraId="5BEC369E" w14:textId="77777777" w:rsidR="00957F89" w:rsidRPr="00C73849" w:rsidRDefault="00D92D87">
      <w:pPr>
        <w:ind w:left="224"/>
        <w:rPr>
          <w:rFonts w:ascii="Times New Roman" w:eastAsia="Times New Roman" w:hAnsi="Times New Roman" w:cs="Times New Roman"/>
          <w:sz w:val="24"/>
          <w:szCs w:val="24"/>
        </w:rPr>
      </w:pPr>
      <w:r w:rsidRPr="00C73849">
        <w:rPr>
          <w:rFonts w:ascii="Times New Roman"/>
          <w:b/>
          <w:sz w:val="24"/>
        </w:rPr>
        <w:t>Summary of All AEs by Treatment Group, Causality, Intensity, Seriousness, Withdrawals and Deaths</w:t>
      </w:r>
    </w:p>
    <w:p w14:paraId="0FF8307B" w14:textId="77777777" w:rsidR="00957F89" w:rsidRPr="00C73849" w:rsidRDefault="00957F89">
      <w:pPr>
        <w:spacing w:before="7"/>
        <w:rPr>
          <w:rFonts w:ascii="Times New Roman" w:eastAsia="Times New Roman" w:hAnsi="Times New Roman" w:cs="Times New Roman"/>
          <w:b/>
          <w:bCs/>
          <w:sz w:val="10"/>
          <w:szCs w:val="10"/>
        </w:rPr>
      </w:pPr>
    </w:p>
    <w:tbl>
      <w:tblPr>
        <w:tblW w:w="0" w:type="auto"/>
        <w:tblInd w:w="101" w:type="dxa"/>
        <w:tblLayout w:type="fixed"/>
        <w:tblCellMar>
          <w:left w:w="0" w:type="dxa"/>
          <w:right w:w="0" w:type="dxa"/>
        </w:tblCellMar>
        <w:tblLook w:val="01E0" w:firstRow="1" w:lastRow="1" w:firstColumn="1" w:lastColumn="1" w:noHBand="0" w:noVBand="0"/>
      </w:tblPr>
      <w:tblGrid>
        <w:gridCol w:w="1385"/>
        <w:gridCol w:w="1049"/>
        <w:gridCol w:w="720"/>
        <w:gridCol w:w="1080"/>
        <w:gridCol w:w="720"/>
        <w:gridCol w:w="1080"/>
        <w:gridCol w:w="720"/>
        <w:gridCol w:w="1080"/>
        <w:gridCol w:w="720"/>
        <w:gridCol w:w="1080"/>
        <w:gridCol w:w="720"/>
        <w:gridCol w:w="1080"/>
        <w:gridCol w:w="630"/>
      </w:tblGrid>
      <w:tr w:rsidR="00957F89" w:rsidRPr="00C73849" w14:paraId="76314202" w14:textId="77777777" w:rsidTr="00E878A6">
        <w:trPr>
          <w:trHeight w:hRule="exact" w:val="554"/>
        </w:trPr>
        <w:tc>
          <w:tcPr>
            <w:tcW w:w="1385" w:type="dxa"/>
            <w:vMerge w:val="restart"/>
            <w:tcBorders>
              <w:top w:val="single" w:sz="13" w:space="0" w:color="000000"/>
              <w:left w:val="single" w:sz="12" w:space="0" w:color="000000"/>
              <w:right w:val="single" w:sz="5" w:space="0" w:color="000000"/>
            </w:tcBorders>
          </w:tcPr>
          <w:p w14:paraId="3F68936F" w14:textId="77777777" w:rsidR="00957F89" w:rsidRPr="00C73849" w:rsidRDefault="00957F89"/>
        </w:tc>
        <w:tc>
          <w:tcPr>
            <w:tcW w:w="1769" w:type="dxa"/>
            <w:gridSpan w:val="2"/>
            <w:tcBorders>
              <w:top w:val="single" w:sz="13" w:space="0" w:color="000000"/>
              <w:left w:val="single" w:sz="5" w:space="0" w:color="000000"/>
              <w:bottom w:val="single" w:sz="5" w:space="0" w:color="000000"/>
              <w:right w:val="single" w:sz="5" w:space="0" w:color="000000"/>
            </w:tcBorders>
            <w:vAlign w:val="center"/>
          </w:tcPr>
          <w:p w14:paraId="29ECDE5F" w14:textId="77777777" w:rsidR="00957F89" w:rsidRPr="00C73849" w:rsidRDefault="00D92D87" w:rsidP="00E878A6">
            <w:pPr>
              <w:pStyle w:val="TableParagraph"/>
              <w:ind w:left="59" w:right="436" w:firstLine="484"/>
              <w:rPr>
                <w:rFonts w:ascii="Times New Roman" w:eastAsia="Times New Roman" w:hAnsi="Times New Roman" w:cs="Times New Roman"/>
                <w:sz w:val="20"/>
                <w:szCs w:val="20"/>
              </w:rPr>
            </w:pPr>
            <w:r w:rsidRPr="00C73849">
              <w:rPr>
                <w:rFonts w:ascii="Times New Roman"/>
                <w:b/>
                <w:sz w:val="20"/>
              </w:rPr>
              <w:t>0.07 ml/kg</w:t>
            </w:r>
            <w:r w:rsidRPr="00C73849">
              <w:rPr>
                <w:rFonts w:ascii="Times New Roman"/>
                <w:b/>
                <w:w w:val="99"/>
                <w:sz w:val="20"/>
              </w:rPr>
              <w:t xml:space="preserve"> </w:t>
            </w:r>
            <w:r w:rsidRPr="00C73849">
              <w:rPr>
                <w:rFonts w:ascii="Times New Roman"/>
                <w:b/>
                <w:sz w:val="20"/>
              </w:rPr>
              <w:t>N = 4</w:t>
            </w:r>
          </w:p>
        </w:tc>
        <w:tc>
          <w:tcPr>
            <w:tcW w:w="1800" w:type="dxa"/>
            <w:gridSpan w:val="2"/>
            <w:tcBorders>
              <w:top w:val="single" w:sz="13" w:space="0" w:color="000000"/>
              <w:left w:val="single" w:sz="5" w:space="0" w:color="000000"/>
              <w:bottom w:val="single" w:sz="5" w:space="0" w:color="000000"/>
              <w:right w:val="single" w:sz="5" w:space="0" w:color="000000"/>
            </w:tcBorders>
            <w:vAlign w:val="center"/>
          </w:tcPr>
          <w:p w14:paraId="7F1B9C34" w14:textId="77777777" w:rsidR="00957F89" w:rsidRPr="00C73849" w:rsidRDefault="00D92D87" w:rsidP="00E878A6">
            <w:pPr>
              <w:pStyle w:val="TableParagraph"/>
              <w:ind w:left="-31" w:right="540" w:firstLine="574"/>
              <w:rPr>
                <w:rFonts w:ascii="Times New Roman" w:eastAsia="Times New Roman" w:hAnsi="Times New Roman" w:cs="Times New Roman"/>
                <w:sz w:val="20"/>
                <w:szCs w:val="20"/>
              </w:rPr>
            </w:pPr>
            <w:r w:rsidRPr="00C73849">
              <w:rPr>
                <w:rFonts w:ascii="Times New Roman"/>
                <w:b/>
                <w:sz w:val="20"/>
              </w:rPr>
              <w:t>0.14 ml/kg</w:t>
            </w:r>
            <w:r w:rsidRPr="00C73849">
              <w:rPr>
                <w:rFonts w:ascii="Times New Roman"/>
                <w:b/>
                <w:w w:val="99"/>
                <w:sz w:val="20"/>
              </w:rPr>
              <w:t xml:space="preserve"> </w:t>
            </w:r>
            <w:r w:rsidRPr="00C73849">
              <w:rPr>
                <w:rFonts w:ascii="Times New Roman"/>
                <w:b/>
                <w:sz w:val="20"/>
              </w:rPr>
              <w:t>N = 4</w:t>
            </w:r>
          </w:p>
        </w:tc>
        <w:tc>
          <w:tcPr>
            <w:tcW w:w="1800" w:type="dxa"/>
            <w:gridSpan w:val="2"/>
            <w:tcBorders>
              <w:top w:val="single" w:sz="13" w:space="0" w:color="000000"/>
              <w:left w:val="single" w:sz="5" w:space="0" w:color="000000"/>
              <w:bottom w:val="single" w:sz="5" w:space="0" w:color="000000"/>
              <w:right w:val="single" w:sz="5" w:space="0" w:color="000000"/>
            </w:tcBorders>
            <w:vAlign w:val="center"/>
          </w:tcPr>
          <w:p w14:paraId="614471D9" w14:textId="77777777" w:rsidR="00957F89" w:rsidRPr="00C73849" w:rsidRDefault="00D92D87" w:rsidP="00E878A6">
            <w:pPr>
              <w:pStyle w:val="TableParagraph"/>
              <w:ind w:left="90" w:right="614" w:firstLine="270"/>
              <w:rPr>
                <w:rFonts w:ascii="Times New Roman" w:eastAsia="Times New Roman" w:hAnsi="Times New Roman" w:cs="Times New Roman"/>
                <w:sz w:val="20"/>
                <w:szCs w:val="20"/>
              </w:rPr>
            </w:pPr>
            <w:r w:rsidRPr="00C73849">
              <w:rPr>
                <w:rFonts w:ascii="Times New Roman"/>
                <w:b/>
                <w:sz w:val="20"/>
              </w:rPr>
              <w:t>0.28 ml/kg</w:t>
            </w:r>
            <w:r w:rsidRPr="00C73849">
              <w:rPr>
                <w:rFonts w:ascii="Times New Roman"/>
                <w:b/>
                <w:w w:val="99"/>
                <w:sz w:val="20"/>
              </w:rPr>
              <w:t xml:space="preserve"> </w:t>
            </w:r>
            <w:r w:rsidRPr="00C73849">
              <w:rPr>
                <w:rFonts w:ascii="Times New Roman"/>
                <w:b/>
                <w:sz w:val="20"/>
              </w:rPr>
              <w:t>N = 4</w:t>
            </w:r>
          </w:p>
        </w:tc>
        <w:tc>
          <w:tcPr>
            <w:tcW w:w="1800" w:type="dxa"/>
            <w:gridSpan w:val="2"/>
            <w:tcBorders>
              <w:top w:val="single" w:sz="13" w:space="0" w:color="000000"/>
              <w:left w:val="single" w:sz="5" w:space="0" w:color="000000"/>
              <w:bottom w:val="single" w:sz="5" w:space="0" w:color="000000"/>
              <w:right w:val="single" w:sz="5" w:space="0" w:color="000000"/>
            </w:tcBorders>
            <w:vAlign w:val="center"/>
          </w:tcPr>
          <w:p w14:paraId="19D06E85" w14:textId="77777777" w:rsidR="00957F89" w:rsidRPr="00C73849" w:rsidRDefault="00D92D87" w:rsidP="00E878A6">
            <w:pPr>
              <w:pStyle w:val="TableParagraph"/>
              <w:ind w:left="-31" w:right="542" w:firstLine="574"/>
              <w:rPr>
                <w:rFonts w:ascii="Times New Roman" w:eastAsia="Times New Roman" w:hAnsi="Times New Roman" w:cs="Times New Roman"/>
                <w:sz w:val="20"/>
                <w:szCs w:val="20"/>
              </w:rPr>
            </w:pPr>
            <w:r w:rsidRPr="00C73849">
              <w:rPr>
                <w:rFonts w:ascii="Times New Roman"/>
                <w:b/>
                <w:sz w:val="20"/>
              </w:rPr>
              <w:t>0.43 ml/kg</w:t>
            </w:r>
            <w:r w:rsidRPr="00C73849">
              <w:rPr>
                <w:rFonts w:ascii="Times New Roman"/>
                <w:b/>
                <w:w w:val="99"/>
                <w:sz w:val="20"/>
              </w:rPr>
              <w:t xml:space="preserve"> </w:t>
            </w:r>
            <w:r w:rsidRPr="00C73849">
              <w:rPr>
                <w:rFonts w:ascii="Times New Roman"/>
                <w:b/>
                <w:sz w:val="20"/>
              </w:rPr>
              <w:t>N = 8</w:t>
            </w:r>
          </w:p>
        </w:tc>
        <w:tc>
          <w:tcPr>
            <w:tcW w:w="1800" w:type="dxa"/>
            <w:gridSpan w:val="2"/>
            <w:tcBorders>
              <w:top w:val="single" w:sz="13" w:space="0" w:color="000000"/>
              <w:left w:val="single" w:sz="5" w:space="0" w:color="000000"/>
              <w:bottom w:val="single" w:sz="5" w:space="0" w:color="000000"/>
              <w:right w:val="single" w:sz="5" w:space="0" w:color="000000"/>
            </w:tcBorders>
            <w:vAlign w:val="center"/>
          </w:tcPr>
          <w:p w14:paraId="6C2CB23D" w14:textId="77777777" w:rsidR="00957F89" w:rsidRPr="00C73849" w:rsidRDefault="00D92D87" w:rsidP="00E878A6">
            <w:pPr>
              <w:pStyle w:val="TableParagraph"/>
              <w:ind w:left="90" w:right="542" w:firstLine="304"/>
              <w:rPr>
                <w:rFonts w:ascii="Times New Roman" w:eastAsia="Times New Roman" w:hAnsi="Times New Roman" w:cs="Times New Roman"/>
                <w:sz w:val="20"/>
                <w:szCs w:val="20"/>
              </w:rPr>
            </w:pPr>
            <w:r w:rsidRPr="00C73849">
              <w:rPr>
                <w:rFonts w:ascii="Times New Roman"/>
                <w:b/>
                <w:sz w:val="20"/>
              </w:rPr>
              <w:t>0.57 ml/kg</w:t>
            </w:r>
            <w:r w:rsidRPr="00C73849">
              <w:rPr>
                <w:rFonts w:ascii="Times New Roman"/>
                <w:b/>
                <w:w w:val="99"/>
                <w:sz w:val="20"/>
              </w:rPr>
              <w:t xml:space="preserve"> </w:t>
            </w:r>
            <w:r w:rsidRPr="00C73849">
              <w:rPr>
                <w:rFonts w:ascii="Times New Roman"/>
                <w:b/>
                <w:sz w:val="20"/>
              </w:rPr>
              <w:t>N = 4</w:t>
            </w:r>
          </w:p>
        </w:tc>
        <w:tc>
          <w:tcPr>
            <w:tcW w:w="1710" w:type="dxa"/>
            <w:gridSpan w:val="2"/>
            <w:tcBorders>
              <w:top w:val="single" w:sz="13" w:space="0" w:color="000000"/>
              <w:left w:val="single" w:sz="5" w:space="0" w:color="000000"/>
              <w:bottom w:val="single" w:sz="5" w:space="0" w:color="000000"/>
              <w:right w:val="single" w:sz="12" w:space="0" w:color="000000"/>
            </w:tcBorders>
            <w:vAlign w:val="center"/>
          </w:tcPr>
          <w:p w14:paraId="09BECAC5" w14:textId="77777777" w:rsidR="00E878A6" w:rsidRDefault="00D92D87" w:rsidP="00E878A6">
            <w:pPr>
              <w:pStyle w:val="TableParagraph"/>
              <w:ind w:right="687"/>
              <w:rPr>
                <w:rFonts w:ascii="Times New Roman"/>
                <w:b/>
                <w:w w:val="95"/>
                <w:sz w:val="20"/>
              </w:rPr>
            </w:pPr>
            <w:r w:rsidRPr="00C73849">
              <w:rPr>
                <w:rFonts w:ascii="Times New Roman"/>
                <w:b/>
                <w:w w:val="95"/>
                <w:sz w:val="20"/>
              </w:rPr>
              <w:t>Placebo</w:t>
            </w:r>
          </w:p>
          <w:p w14:paraId="77759DBD" w14:textId="77777777" w:rsidR="00957F89" w:rsidRPr="00C73849" w:rsidRDefault="00D92D87" w:rsidP="00E878A6">
            <w:pPr>
              <w:pStyle w:val="TableParagraph"/>
              <w:ind w:right="687"/>
              <w:rPr>
                <w:rFonts w:ascii="Times New Roman" w:eastAsia="Times New Roman" w:hAnsi="Times New Roman" w:cs="Times New Roman"/>
                <w:sz w:val="20"/>
                <w:szCs w:val="20"/>
              </w:rPr>
            </w:pPr>
            <w:r w:rsidRPr="00C73849">
              <w:rPr>
                <w:rFonts w:ascii="Times New Roman"/>
                <w:b/>
                <w:w w:val="99"/>
                <w:sz w:val="20"/>
              </w:rPr>
              <w:t xml:space="preserve"> </w:t>
            </w:r>
            <w:r w:rsidRPr="00C73849">
              <w:rPr>
                <w:rFonts w:ascii="Times New Roman"/>
                <w:b/>
                <w:sz w:val="20"/>
              </w:rPr>
              <w:t>N = 12</w:t>
            </w:r>
          </w:p>
        </w:tc>
      </w:tr>
      <w:tr w:rsidR="00957F89" w:rsidRPr="00C73849" w14:paraId="05C185EB" w14:textId="77777777" w:rsidTr="00E878A6">
        <w:trPr>
          <w:trHeight w:hRule="exact" w:val="929"/>
        </w:trPr>
        <w:tc>
          <w:tcPr>
            <w:tcW w:w="1385" w:type="dxa"/>
            <w:vMerge/>
            <w:tcBorders>
              <w:left w:val="single" w:sz="12" w:space="0" w:color="000000"/>
              <w:bottom w:val="single" w:sz="5" w:space="0" w:color="000000"/>
              <w:right w:val="single" w:sz="5" w:space="0" w:color="000000"/>
            </w:tcBorders>
          </w:tcPr>
          <w:p w14:paraId="5ABE4BB9" w14:textId="77777777" w:rsidR="00957F89" w:rsidRPr="00C73849" w:rsidRDefault="00957F89"/>
        </w:tc>
        <w:tc>
          <w:tcPr>
            <w:tcW w:w="1049" w:type="dxa"/>
            <w:tcBorders>
              <w:top w:val="single" w:sz="5" w:space="0" w:color="000000"/>
              <w:left w:val="single" w:sz="5" w:space="0" w:color="000000"/>
              <w:bottom w:val="single" w:sz="5" w:space="0" w:color="000000"/>
              <w:right w:val="single" w:sz="5" w:space="0" w:color="000000"/>
            </w:tcBorders>
          </w:tcPr>
          <w:p w14:paraId="516BE1EE" w14:textId="77777777" w:rsidR="00957F89" w:rsidRPr="00C73849" w:rsidRDefault="009C238C">
            <w:pPr>
              <w:pStyle w:val="TableParagraph"/>
              <w:spacing w:line="239" w:lineRule="auto"/>
              <w:ind w:left="147" w:right="145"/>
              <w:jc w:val="center"/>
              <w:rPr>
                <w:rFonts w:ascii="Times New Roman" w:eastAsia="Times New Roman" w:hAnsi="Times New Roman" w:cs="Times New Roman"/>
                <w:sz w:val="20"/>
                <w:szCs w:val="20"/>
              </w:rPr>
            </w:pPr>
            <w:r>
              <w:rPr>
                <w:rFonts w:ascii="Times New Roman"/>
                <w:b/>
                <w:sz w:val="20"/>
              </w:rPr>
              <w:t>S</w:t>
            </w:r>
            <w:r w:rsidR="00D92D87" w:rsidRPr="00C73849">
              <w:rPr>
                <w:rFonts w:ascii="Times New Roman"/>
                <w:b/>
                <w:sz w:val="20"/>
              </w:rPr>
              <w:t>ubjects</w:t>
            </w:r>
            <w:r w:rsidR="00D92D87" w:rsidRPr="00C73849">
              <w:rPr>
                <w:rFonts w:ascii="Times New Roman"/>
                <w:b/>
                <w:w w:val="99"/>
                <w:sz w:val="20"/>
              </w:rPr>
              <w:t xml:space="preserve"> </w:t>
            </w:r>
            <w:r w:rsidR="00D92D87" w:rsidRPr="00C73849">
              <w:rPr>
                <w:rFonts w:ascii="Times New Roman"/>
                <w:b/>
                <w:sz w:val="20"/>
              </w:rPr>
              <w:t>with an AE</w:t>
            </w:r>
            <w:r w:rsidR="00D92D87" w:rsidRPr="00C73849">
              <w:rPr>
                <w:rFonts w:ascii="Times New Roman"/>
                <w:b/>
                <w:w w:val="99"/>
                <w:sz w:val="20"/>
              </w:rPr>
              <w:t xml:space="preserve"> </w:t>
            </w:r>
            <w:r w:rsidR="00D92D87" w:rsidRPr="00C73849">
              <w:rPr>
                <w:rFonts w:ascii="Times New Roman"/>
                <w:b/>
                <w:sz w:val="20"/>
              </w:rPr>
              <w:t>n (%)</w:t>
            </w:r>
          </w:p>
        </w:tc>
        <w:tc>
          <w:tcPr>
            <w:tcW w:w="720" w:type="dxa"/>
            <w:tcBorders>
              <w:top w:val="single" w:sz="5" w:space="0" w:color="000000"/>
              <w:left w:val="single" w:sz="5" w:space="0" w:color="000000"/>
              <w:bottom w:val="single" w:sz="5" w:space="0" w:color="000000"/>
              <w:right w:val="single" w:sz="5" w:space="0" w:color="000000"/>
            </w:tcBorders>
          </w:tcPr>
          <w:p w14:paraId="32C74C9E" w14:textId="77777777" w:rsidR="00957F89" w:rsidRPr="00C73849" w:rsidRDefault="00D92D87">
            <w:pPr>
              <w:pStyle w:val="TableParagraph"/>
              <w:spacing w:line="239" w:lineRule="auto"/>
              <w:ind w:left="171" w:right="172"/>
              <w:jc w:val="center"/>
              <w:rPr>
                <w:rFonts w:ascii="Times New Roman" w:eastAsia="Times New Roman" w:hAnsi="Times New Roman" w:cs="Times New Roman"/>
                <w:sz w:val="20"/>
                <w:szCs w:val="20"/>
              </w:rPr>
            </w:pPr>
            <w:r w:rsidRPr="00C73849">
              <w:rPr>
                <w:rFonts w:ascii="Times New Roman"/>
                <w:b/>
                <w:w w:val="95"/>
                <w:sz w:val="20"/>
              </w:rPr>
              <w:t>AEs</w:t>
            </w:r>
            <w:r w:rsidRPr="00C73849">
              <w:rPr>
                <w:rFonts w:ascii="Times New Roman"/>
                <w:b/>
                <w:w w:val="99"/>
                <w:sz w:val="20"/>
              </w:rPr>
              <w:t xml:space="preserve"> </w:t>
            </w:r>
            <w:r w:rsidRPr="00C73849">
              <w:rPr>
                <w:rFonts w:ascii="Times New Roman"/>
                <w:b/>
                <w:sz w:val="20"/>
              </w:rPr>
              <w:t>n</w:t>
            </w:r>
          </w:p>
        </w:tc>
        <w:tc>
          <w:tcPr>
            <w:tcW w:w="1080" w:type="dxa"/>
            <w:tcBorders>
              <w:top w:val="single" w:sz="5" w:space="0" w:color="000000"/>
              <w:left w:val="single" w:sz="5" w:space="0" w:color="000000"/>
              <w:bottom w:val="single" w:sz="5" w:space="0" w:color="000000"/>
              <w:right w:val="single" w:sz="5" w:space="0" w:color="000000"/>
            </w:tcBorders>
          </w:tcPr>
          <w:p w14:paraId="22D3051E" w14:textId="77777777" w:rsidR="00957F89" w:rsidRPr="00C73849" w:rsidRDefault="00D92D87">
            <w:pPr>
              <w:pStyle w:val="TableParagraph"/>
              <w:spacing w:line="239" w:lineRule="auto"/>
              <w:ind w:left="147" w:right="145" w:hanging="4"/>
              <w:jc w:val="center"/>
              <w:rPr>
                <w:rFonts w:ascii="Times New Roman" w:eastAsia="Times New Roman" w:hAnsi="Times New Roman" w:cs="Times New Roman"/>
                <w:sz w:val="20"/>
                <w:szCs w:val="20"/>
              </w:rPr>
            </w:pPr>
            <w:r w:rsidRPr="00C73849">
              <w:rPr>
                <w:rFonts w:ascii="Times New Roman"/>
                <w:b/>
                <w:sz w:val="20"/>
              </w:rPr>
              <w:t>Subjects</w:t>
            </w:r>
            <w:r w:rsidRPr="00C73849">
              <w:rPr>
                <w:rFonts w:ascii="Times New Roman"/>
                <w:b/>
                <w:w w:val="99"/>
                <w:sz w:val="20"/>
              </w:rPr>
              <w:t xml:space="preserve"> </w:t>
            </w:r>
            <w:r w:rsidRPr="00C73849">
              <w:rPr>
                <w:rFonts w:ascii="Times New Roman"/>
                <w:b/>
                <w:sz w:val="20"/>
              </w:rPr>
              <w:t>with an AE</w:t>
            </w:r>
            <w:r w:rsidRPr="00C73849">
              <w:rPr>
                <w:rFonts w:ascii="Times New Roman"/>
                <w:b/>
                <w:w w:val="99"/>
                <w:sz w:val="20"/>
              </w:rPr>
              <w:t xml:space="preserve"> </w:t>
            </w:r>
            <w:r w:rsidRPr="00C73849">
              <w:rPr>
                <w:rFonts w:ascii="Times New Roman"/>
                <w:b/>
                <w:sz w:val="20"/>
              </w:rPr>
              <w:t>n (%)</w:t>
            </w:r>
          </w:p>
        </w:tc>
        <w:tc>
          <w:tcPr>
            <w:tcW w:w="720" w:type="dxa"/>
            <w:tcBorders>
              <w:top w:val="single" w:sz="5" w:space="0" w:color="000000"/>
              <w:left w:val="single" w:sz="5" w:space="0" w:color="000000"/>
              <w:bottom w:val="single" w:sz="5" w:space="0" w:color="000000"/>
              <w:right w:val="single" w:sz="5" w:space="0" w:color="000000"/>
            </w:tcBorders>
          </w:tcPr>
          <w:p w14:paraId="147820D3" w14:textId="77777777" w:rsidR="00957F89" w:rsidRPr="00C73849" w:rsidRDefault="00D92D87">
            <w:pPr>
              <w:pStyle w:val="TableParagraph"/>
              <w:spacing w:line="239" w:lineRule="auto"/>
              <w:ind w:left="171" w:right="170"/>
              <w:jc w:val="center"/>
              <w:rPr>
                <w:rFonts w:ascii="Times New Roman" w:eastAsia="Times New Roman" w:hAnsi="Times New Roman" w:cs="Times New Roman"/>
                <w:sz w:val="20"/>
                <w:szCs w:val="20"/>
              </w:rPr>
            </w:pPr>
            <w:r w:rsidRPr="00C73849">
              <w:rPr>
                <w:rFonts w:ascii="Times New Roman"/>
                <w:b/>
                <w:w w:val="95"/>
                <w:sz w:val="20"/>
              </w:rPr>
              <w:t>AEs</w:t>
            </w:r>
            <w:r w:rsidRPr="00C73849">
              <w:rPr>
                <w:rFonts w:ascii="Times New Roman"/>
                <w:b/>
                <w:w w:val="99"/>
                <w:sz w:val="20"/>
              </w:rPr>
              <w:t xml:space="preserve"> </w:t>
            </w:r>
            <w:r w:rsidRPr="00C73849">
              <w:rPr>
                <w:rFonts w:ascii="Times New Roman"/>
                <w:b/>
                <w:sz w:val="20"/>
              </w:rPr>
              <w:t>n</w:t>
            </w:r>
          </w:p>
        </w:tc>
        <w:tc>
          <w:tcPr>
            <w:tcW w:w="1080" w:type="dxa"/>
            <w:tcBorders>
              <w:top w:val="single" w:sz="5" w:space="0" w:color="000000"/>
              <w:left w:val="single" w:sz="5" w:space="0" w:color="000000"/>
              <w:bottom w:val="single" w:sz="5" w:space="0" w:color="000000"/>
              <w:right w:val="single" w:sz="5" w:space="0" w:color="000000"/>
            </w:tcBorders>
          </w:tcPr>
          <w:p w14:paraId="5F8FF8B8" w14:textId="77777777" w:rsidR="00957F89" w:rsidRPr="00C73849" w:rsidRDefault="00D92D87">
            <w:pPr>
              <w:pStyle w:val="TableParagraph"/>
              <w:spacing w:line="239" w:lineRule="auto"/>
              <w:ind w:left="147" w:right="147"/>
              <w:jc w:val="center"/>
              <w:rPr>
                <w:rFonts w:ascii="Times New Roman" w:eastAsia="Times New Roman" w:hAnsi="Times New Roman" w:cs="Times New Roman"/>
                <w:sz w:val="20"/>
                <w:szCs w:val="20"/>
              </w:rPr>
            </w:pPr>
            <w:r w:rsidRPr="00C73849">
              <w:rPr>
                <w:rFonts w:ascii="Times New Roman"/>
                <w:b/>
                <w:sz w:val="20"/>
              </w:rPr>
              <w:t>Subjects</w:t>
            </w:r>
            <w:r w:rsidRPr="00C73849">
              <w:rPr>
                <w:rFonts w:ascii="Times New Roman"/>
                <w:b/>
                <w:w w:val="99"/>
                <w:sz w:val="20"/>
              </w:rPr>
              <w:t xml:space="preserve"> </w:t>
            </w:r>
            <w:r w:rsidRPr="00C73849">
              <w:rPr>
                <w:rFonts w:ascii="Times New Roman"/>
                <w:b/>
                <w:sz w:val="20"/>
              </w:rPr>
              <w:t>with an AE</w:t>
            </w:r>
            <w:r w:rsidRPr="00C73849">
              <w:rPr>
                <w:rFonts w:ascii="Times New Roman"/>
                <w:b/>
                <w:w w:val="99"/>
                <w:sz w:val="20"/>
              </w:rPr>
              <w:t xml:space="preserve"> </w:t>
            </w:r>
            <w:r w:rsidRPr="00C73849">
              <w:rPr>
                <w:rFonts w:ascii="Times New Roman"/>
                <w:b/>
                <w:sz w:val="20"/>
              </w:rPr>
              <w:t>n (%)</w:t>
            </w:r>
          </w:p>
        </w:tc>
        <w:tc>
          <w:tcPr>
            <w:tcW w:w="720" w:type="dxa"/>
            <w:tcBorders>
              <w:top w:val="single" w:sz="5" w:space="0" w:color="000000"/>
              <w:left w:val="single" w:sz="5" w:space="0" w:color="000000"/>
              <w:bottom w:val="single" w:sz="5" w:space="0" w:color="000000"/>
              <w:right w:val="single" w:sz="5" w:space="0" w:color="000000"/>
            </w:tcBorders>
          </w:tcPr>
          <w:p w14:paraId="3145A248" w14:textId="77777777" w:rsidR="00957F89" w:rsidRPr="00C73849" w:rsidRDefault="00957F89">
            <w:pPr>
              <w:pStyle w:val="TableParagraph"/>
              <w:spacing w:before="10"/>
              <w:rPr>
                <w:rFonts w:ascii="Times New Roman" w:eastAsia="Times New Roman" w:hAnsi="Times New Roman" w:cs="Times New Roman"/>
                <w:b/>
                <w:bCs/>
                <w:sz w:val="19"/>
                <w:szCs w:val="19"/>
              </w:rPr>
            </w:pPr>
          </w:p>
          <w:p w14:paraId="576F6C29" w14:textId="77777777" w:rsidR="00957F89" w:rsidRPr="00C73849" w:rsidRDefault="00D92D87">
            <w:pPr>
              <w:pStyle w:val="TableParagraph"/>
              <w:ind w:left="162" w:right="161"/>
              <w:jc w:val="center"/>
              <w:rPr>
                <w:rFonts w:ascii="Times New Roman" w:eastAsia="Times New Roman" w:hAnsi="Times New Roman" w:cs="Times New Roman"/>
                <w:sz w:val="20"/>
                <w:szCs w:val="20"/>
              </w:rPr>
            </w:pPr>
            <w:r w:rsidRPr="00C73849">
              <w:rPr>
                <w:rFonts w:ascii="Times New Roman"/>
                <w:b/>
                <w:sz w:val="20"/>
              </w:rPr>
              <w:t>AEs</w:t>
            </w:r>
          </w:p>
          <w:p w14:paraId="68955016" w14:textId="77777777" w:rsidR="00957F89" w:rsidRPr="00C73849" w:rsidRDefault="00D92D87">
            <w:pPr>
              <w:pStyle w:val="TableParagraph"/>
              <w:spacing w:line="228" w:lineRule="exact"/>
              <w:jc w:val="center"/>
              <w:rPr>
                <w:rFonts w:ascii="Times New Roman" w:eastAsia="Times New Roman" w:hAnsi="Times New Roman" w:cs="Times New Roman"/>
                <w:sz w:val="20"/>
                <w:szCs w:val="20"/>
              </w:rPr>
            </w:pPr>
            <w:r w:rsidRPr="00C73849">
              <w:rPr>
                <w:rFonts w:ascii="Times New Roman"/>
                <w:b/>
                <w:sz w:val="20"/>
              </w:rPr>
              <w:t>n</w:t>
            </w:r>
          </w:p>
        </w:tc>
        <w:tc>
          <w:tcPr>
            <w:tcW w:w="1080" w:type="dxa"/>
            <w:tcBorders>
              <w:top w:val="single" w:sz="5" w:space="0" w:color="000000"/>
              <w:left w:val="single" w:sz="5" w:space="0" w:color="000000"/>
              <w:bottom w:val="single" w:sz="5" w:space="0" w:color="000000"/>
              <w:right w:val="single" w:sz="5" w:space="0" w:color="000000"/>
            </w:tcBorders>
          </w:tcPr>
          <w:p w14:paraId="432E4B1C" w14:textId="77777777" w:rsidR="00957F89" w:rsidRPr="00C73849" w:rsidRDefault="00D92D87">
            <w:pPr>
              <w:pStyle w:val="TableParagraph"/>
              <w:ind w:left="147" w:right="147"/>
              <w:jc w:val="center"/>
              <w:rPr>
                <w:rFonts w:ascii="Times New Roman" w:eastAsia="Times New Roman" w:hAnsi="Times New Roman" w:cs="Times New Roman"/>
                <w:sz w:val="20"/>
                <w:szCs w:val="20"/>
              </w:rPr>
            </w:pPr>
            <w:r w:rsidRPr="00C73849">
              <w:rPr>
                <w:rFonts w:ascii="Times New Roman"/>
                <w:b/>
                <w:sz w:val="20"/>
              </w:rPr>
              <w:t>Subjects</w:t>
            </w:r>
            <w:r w:rsidRPr="00C73849">
              <w:rPr>
                <w:rFonts w:ascii="Times New Roman"/>
                <w:b/>
                <w:w w:val="99"/>
                <w:sz w:val="20"/>
              </w:rPr>
              <w:t xml:space="preserve"> </w:t>
            </w:r>
            <w:r w:rsidRPr="00C73849">
              <w:rPr>
                <w:rFonts w:ascii="Times New Roman"/>
                <w:b/>
                <w:sz w:val="20"/>
              </w:rPr>
              <w:t>with an AE</w:t>
            </w:r>
            <w:r w:rsidRPr="00C73849">
              <w:rPr>
                <w:rFonts w:ascii="Times New Roman"/>
                <w:b/>
                <w:w w:val="99"/>
                <w:sz w:val="20"/>
              </w:rPr>
              <w:t xml:space="preserve"> </w:t>
            </w:r>
            <w:r w:rsidRPr="00C73849">
              <w:rPr>
                <w:rFonts w:ascii="Times New Roman"/>
                <w:b/>
                <w:sz w:val="20"/>
              </w:rPr>
              <w:t>n (%)</w:t>
            </w:r>
          </w:p>
        </w:tc>
        <w:tc>
          <w:tcPr>
            <w:tcW w:w="720" w:type="dxa"/>
            <w:tcBorders>
              <w:top w:val="single" w:sz="5" w:space="0" w:color="000000"/>
              <w:left w:val="single" w:sz="5" w:space="0" w:color="000000"/>
              <w:bottom w:val="single" w:sz="5" w:space="0" w:color="000000"/>
              <w:right w:val="single" w:sz="5" w:space="0" w:color="000000"/>
            </w:tcBorders>
          </w:tcPr>
          <w:p w14:paraId="62045952" w14:textId="77777777" w:rsidR="00957F89" w:rsidRPr="00C73849" w:rsidRDefault="00D92D87">
            <w:pPr>
              <w:pStyle w:val="TableParagraph"/>
              <w:ind w:left="171" w:right="170"/>
              <w:jc w:val="center"/>
              <w:rPr>
                <w:rFonts w:ascii="Times New Roman" w:eastAsia="Times New Roman" w:hAnsi="Times New Roman" w:cs="Times New Roman"/>
                <w:sz w:val="20"/>
                <w:szCs w:val="20"/>
              </w:rPr>
            </w:pPr>
            <w:r w:rsidRPr="00C73849">
              <w:rPr>
                <w:rFonts w:ascii="Times New Roman"/>
                <w:b/>
                <w:w w:val="95"/>
                <w:sz w:val="20"/>
              </w:rPr>
              <w:t>AEs</w:t>
            </w:r>
            <w:r w:rsidRPr="00C73849">
              <w:rPr>
                <w:rFonts w:ascii="Times New Roman"/>
                <w:b/>
                <w:w w:val="99"/>
                <w:sz w:val="20"/>
              </w:rPr>
              <w:t xml:space="preserve"> </w:t>
            </w:r>
            <w:r w:rsidRPr="00C73849">
              <w:rPr>
                <w:rFonts w:ascii="Times New Roman"/>
                <w:b/>
                <w:sz w:val="20"/>
              </w:rPr>
              <w:t>n</w:t>
            </w:r>
          </w:p>
        </w:tc>
        <w:tc>
          <w:tcPr>
            <w:tcW w:w="1080" w:type="dxa"/>
            <w:tcBorders>
              <w:top w:val="single" w:sz="5" w:space="0" w:color="000000"/>
              <w:left w:val="single" w:sz="5" w:space="0" w:color="000000"/>
              <w:bottom w:val="single" w:sz="5" w:space="0" w:color="000000"/>
              <w:right w:val="single" w:sz="5" w:space="0" w:color="000000"/>
            </w:tcBorders>
          </w:tcPr>
          <w:p w14:paraId="5BE38B0F" w14:textId="77777777" w:rsidR="00957F89" w:rsidRPr="00C73849" w:rsidRDefault="00D92D87">
            <w:pPr>
              <w:pStyle w:val="TableParagraph"/>
              <w:ind w:left="148" w:right="147"/>
              <w:jc w:val="center"/>
              <w:rPr>
                <w:rFonts w:ascii="Times New Roman" w:eastAsia="Times New Roman" w:hAnsi="Times New Roman" w:cs="Times New Roman"/>
                <w:sz w:val="20"/>
                <w:szCs w:val="20"/>
              </w:rPr>
            </w:pPr>
            <w:r w:rsidRPr="00C73849">
              <w:rPr>
                <w:rFonts w:ascii="Times New Roman"/>
                <w:b/>
                <w:sz w:val="20"/>
              </w:rPr>
              <w:t>Subjects</w:t>
            </w:r>
            <w:r w:rsidRPr="00C73849">
              <w:rPr>
                <w:rFonts w:ascii="Times New Roman"/>
                <w:b/>
                <w:w w:val="99"/>
                <w:sz w:val="20"/>
              </w:rPr>
              <w:t xml:space="preserve"> </w:t>
            </w:r>
            <w:r w:rsidRPr="00C73849">
              <w:rPr>
                <w:rFonts w:ascii="Times New Roman"/>
                <w:b/>
                <w:sz w:val="20"/>
              </w:rPr>
              <w:t>with an AE</w:t>
            </w:r>
            <w:r w:rsidRPr="00C73849">
              <w:rPr>
                <w:rFonts w:ascii="Times New Roman"/>
                <w:b/>
                <w:w w:val="99"/>
                <w:sz w:val="20"/>
              </w:rPr>
              <w:t xml:space="preserve"> </w:t>
            </w:r>
            <w:r w:rsidRPr="00C73849">
              <w:rPr>
                <w:rFonts w:ascii="Times New Roman"/>
                <w:b/>
                <w:sz w:val="20"/>
              </w:rPr>
              <w:t>n (%)</w:t>
            </w:r>
          </w:p>
        </w:tc>
        <w:tc>
          <w:tcPr>
            <w:tcW w:w="720" w:type="dxa"/>
            <w:tcBorders>
              <w:top w:val="single" w:sz="5" w:space="0" w:color="000000"/>
              <w:left w:val="single" w:sz="5" w:space="0" w:color="000000"/>
              <w:bottom w:val="single" w:sz="5" w:space="0" w:color="000000"/>
              <w:right w:val="single" w:sz="5" w:space="0" w:color="000000"/>
            </w:tcBorders>
          </w:tcPr>
          <w:p w14:paraId="435AAA59" w14:textId="77777777" w:rsidR="00957F89" w:rsidRPr="00C73849" w:rsidRDefault="00D92D87">
            <w:pPr>
              <w:pStyle w:val="TableParagraph"/>
              <w:ind w:left="171" w:right="171"/>
              <w:jc w:val="center"/>
              <w:rPr>
                <w:rFonts w:ascii="Times New Roman" w:eastAsia="Times New Roman" w:hAnsi="Times New Roman" w:cs="Times New Roman"/>
                <w:sz w:val="20"/>
                <w:szCs w:val="20"/>
              </w:rPr>
            </w:pPr>
            <w:r w:rsidRPr="00C73849">
              <w:rPr>
                <w:rFonts w:ascii="Times New Roman"/>
                <w:b/>
                <w:w w:val="95"/>
                <w:sz w:val="20"/>
              </w:rPr>
              <w:t>AEs</w:t>
            </w:r>
            <w:r w:rsidRPr="00C73849">
              <w:rPr>
                <w:rFonts w:ascii="Times New Roman"/>
                <w:b/>
                <w:w w:val="99"/>
                <w:sz w:val="20"/>
              </w:rPr>
              <w:t xml:space="preserve"> </w:t>
            </w:r>
            <w:r w:rsidRPr="00C73849">
              <w:rPr>
                <w:rFonts w:ascii="Times New Roman"/>
                <w:b/>
                <w:sz w:val="20"/>
              </w:rPr>
              <w:t>n</w:t>
            </w:r>
          </w:p>
        </w:tc>
        <w:tc>
          <w:tcPr>
            <w:tcW w:w="1080" w:type="dxa"/>
            <w:tcBorders>
              <w:top w:val="single" w:sz="5" w:space="0" w:color="000000"/>
              <w:left w:val="single" w:sz="5" w:space="0" w:color="000000"/>
              <w:bottom w:val="single" w:sz="5" w:space="0" w:color="000000"/>
              <w:right w:val="single" w:sz="5" w:space="0" w:color="000000"/>
            </w:tcBorders>
          </w:tcPr>
          <w:p w14:paraId="0845E164" w14:textId="77777777" w:rsidR="00957F89" w:rsidRPr="00C73849" w:rsidRDefault="00D92D87">
            <w:pPr>
              <w:pStyle w:val="TableParagraph"/>
              <w:ind w:left="148" w:right="147"/>
              <w:jc w:val="center"/>
              <w:rPr>
                <w:rFonts w:ascii="Times New Roman" w:eastAsia="Times New Roman" w:hAnsi="Times New Roman" w:cs="Times New Roman"/>
                <w:sz w:val="20"/>
                <w:szCs w:val="20"/>
              </w:rPr>
            </w:pPr>
            <w:r w:rsidRPr="00C73849">
              <w:rPr>
                <w:rFonts w:ascii="Times New Roman"/>
                <w:b/>
                <w:sz w:val="20"/>
              </w:rPr>
              <w:t>Subjects</w:t>
            </w:r>
            <w:r w:rsidRPr="00C73849">
              <w:rPr>
                <w:rFonts w:ascii="Times New Roman"/>
                <w:b/>
                <w:w w:val="99"/>
                <w:sz w:val="20"/>
              </w:rPr>
              <w:t xml:space="preserve"> </w:t>
            </w:r>
            <w:r w:rsidRPr="00C73849">
              <w:rPr>
                <w:rFonts w:ascii="Times New Roman"/>
                <w:b/>
                <w:sz w:val="20"/>
              </w:rPr>
              <w:t>with an AE</w:t>
            </w:r>
            <w:r w:rsidRPr="00C73849">
              <w:rPr>
                <w:rFonts w:ascii="Times New Roman"/>
                <w:b/>
                <w:w w:val="99"/>
                <w:sz w:val="20"/>
              </w:rPr>
              <w:t xml:space="preserve"> </w:t>
            </w:r>
            <w:r w:rsidRPr="00C73849">
              <w:rPr>
                <w:rFonts w:ascii="Times New Roman"/>
                <w:b/>
                <w:sz w:val="20"/>
              </w:rPr>
              <w:t>n (%)</w:t>
            </w:r>
          </w:p>
        </w:tc>
        <w:tc>
          <w:tcPr>
            <w:tcW w:w="630" w:type="dxa"/>
            <w:tcBorders>
              <w:top w:val="single" w:sz="5" w:space="0" w:color="000000"/>
              <w:left w:val="single" w:sz="5" w:space="0" w:color="000000"/>
              <w:bottom w:val="single" w:sz="5" w:space="0" w:color="000000"/>
              <w:right w:val="single" w:sz="12" w:space="0" w:color="000000"/>
            </w:tcBorders>
          </w:tcPr>
          <w:p w14:paraId="7BE4709F" w14:textId="77777777" w:rsidR="00957F89" w:rsidRPr="00C73849" w:rsidRDefault="00D92D87">
            <w:pPr>
              <w:pStyle w:val="TableParagraph"/>
              <w:ind w:left="172" w:right="160"/>
              <w:jc w:val="center"/>
              <w:rPr>
                <w:rFonts w:ascii="Times New Roman" w:eastAsia="Times New Roman" w:hAnsi="Times New Roman" w:cs="Times New Roman"/>
                <w:sz w:val="20"/>
                <w:szCs w:val="20"/>
              </w:rPr>
            </w:pPr>
            <w:r w:rsidRPr="00C73849">
              <w:rPr>
                <w:rFonts w:ascii="Times New Roman"/>
                <w:b/>
                <w:w w:val="95"/>
                <w:sz w:val="20"/>
              </w:rPr>
              <w:t>AEs</w:t>
            </w:r>
            <w:r w:rsidRPr="00C73849">
              <w:rPr>
                <w:rFonts w:ascii="Times New Roman"/>
                <w:b/>
                <w:w w:val="99"/>
                <w:sz w:val="20"/>
              </w:rPr>
              <w:t xml:space="preserve"> </w:t>
            </w:r>
            <w:r w:rsidRPr="00C73849">
              <w:rPr>
                <w:rFonts w:ascii="Times New Roman"/>
                <w:b/>
                <w:sz w:val="20"/>
              </w:rPr>
              <w:t>n</w:t>
            </w:r>
          </w:p>
        </w:tc>
      </w:tr>
      <w:tr w:rsidR="00957F89" w:rsidRPr="00C73849" w14:paraId="079E25E4" w14:textId="77777777" w:rsidTr="00E878A6">
        <w:trPr>
          <w:trHeight w:hRule="exact" w:val="240"/>
        </w:trPr>
        <w:tc>
          <w:tcPr>
            <w:tcW w:w="1385" w:type="dxa"/>
            <w:tcBorders>
              <w:top w:val="single" w:sz="5" w:space="0" w:color="000000"/>
              <w:left w:val="single" w:sz="12" w:space="0" w:color="000000"/>
              <w:bottom w:val="single" w:sz="5" w:space="0" w:color="000000"/>
              <w:right w:val="single" w:sz="5" w:space="0" w:color="000000"/>
            </w:tcBorders>
          </w:tcPr>
          <w:p w14:paraId="6C3B291D" w14:textId="77777777" w:rsidR="00957F89" w:rsidRPr="00C73849" w:rsidRDefault="00D92D87">
            <w:pPr>
              <w:pStyle w:val="TableParagraph"/>
              <w:spacing w:line="227" w:lineRule="exact"/>
              <w:ind w:left="92"/>
              <w:rPr>
                <w:rFonts w:ascii="Times New Roman" w:eastAsia="Times New Roman" w:hAnsi="Times New Roman" w:cs="Times New Roman"/>
                <w:sz w:val="13"/>
                <w:szCs w:val="13"/>
              </w:rPr>
            </w:pPr>
            <w:r w:rsidRPr="00C73849">
              <w:rPr>
                <w:rFonts w:ascii="Times New Roman"/>
                <w:b/>
                <w:sz w:val="20"/>
              </w:rPr>
              <w:t>Any AE</w:t>
            </w:r>
            <w:r w:rsidRPr="00C73849">
              <w:rPr>
                <w:rFonts w:ascii="Times New Roman"/>
                <w:b/>
                <w:position w:val="9"/>
                <w:sz w:val="13"/>
              </w:rPr>
              <w:t>a</w:t>
            </w:r>
          </w:p>
        </w:tc>
        <w:tc>
          <w:tcPr>
            <w:tcW w:w="1049" w:type="dxa"/>
            <w:tcBorders>
              <w:top w:val="single" w:sz="5" w:space="0" w:color="000000"/>
              <w:left w:val="single" w:sz="5" w:space="0" w:color="000000"/>
              <w:bottom w:val="single" w:sz="5" w:space="0" w:color="000000"/>
              <w:right w:val="single" w:sz="5" w:space="0" w:color="000000"/>
            </w:tcBorders>
          </w:tcPr>
          <w:p w14:paraId="34A525D6" w14:textId="77777777" w:rsidR="00957F89" w:rsidRPr="00C73849" w:rsidRDefault="00D92D87">
            <w:pPr>
              <w:pStyle w:val="TableParagraph"/>
              <w:spacing w:line="222" w:lineRule="exact"/>
              <w:ind w:left="356"/>
              <w:rPr>
                <w:rFonts w:ascii="Times New Roman" w:eastAsia="Times New Roman" w:hAnsi="Times New Roman" w:cs="Times New Roman"/>
                <w:sz w:val="20"/>
                <w:szCs w:val="20"/>
              </w:rPr>
            </w:pPr>
            <w:r w:rsidRPr="00C73849">
              <w:rPr>
                <w:rFonts w:ascii="Times New Roman"/>
                <w:sz w:val="20"/>
              </w:rPr>
              <w:t>0 (0%)</w:t>
            </w:r>
          </w:p>
        </w:tc>
        <w:tc>
          <w:tcPr>
            <w:tcW w:w="720" w:type="dxa"/>
            <w:tcBorders>
              <w:top w:val="single" w:sz="5" w:space="0" w:color="000000"/>
              <w:left w:val="single" w:sz="5" w:space="0" w:color="000000"/>
              <w:bottom w:val="single" w:sz="5" w:space="0" w:color="000000"/>
              <w:right w:val="single" w:sz="5" w:space="0" w:color="000000"/>
            </w:tcBorders>
          </w:tcPr>
          <w:p w14:paraId="3EA95696" w14:textId="77777777" w:rsidR="00957F89" w:rsidRPr="00C73849" w:rsidRDefault="00D92D87">
            <w:pPr>
              <w:pStyle w:val="TableParagraph"/>
              <w:spacing w:line="222" w:lineRule="exact"/>
              <w:ind w:right="3"/>
              <w:jc w:val="center"/>
              <w:rPr>
                <w:rFonts w:ascii="Times New Roman" w:eastAsia="Times New Roman" w:hAnsi="Times New Roman" w:cs="Times New Roman"/>
                <w:sz w:val="20"/>
                <w:szCs w:val="20"/>
              </w:rPr>
            </w:pPr>
            <w:r w:rsidRPr="00C73849">
              <w:rPr>
                <w:rFonts w:ascii="Times New Roman"/>
                <w:sz w:val="20"/>
              </w:rPr>
              <w:t>0</w:t>
            </w:r>
          </w:p>
        </w:tc>
        <w:tc>
          <w:tcPr>
            <w:tcW w:w="1080" w:type="dxa"/>
            <w:tcBorders>
              <w:top w:val="single" w:sz="5" w:space="0" w:color="000000"/>
              <w:left w:val="single" w:sz="5" w:space="0" w:color="000000"/>
              <w:bottom w:val="single" w:sz="5" w:space="0" w:color="000000"/>
              <w:right w:val="single" w:sz="5" w:space="0" w:color="000000"/>
            </w:tcBorders>
          </w:tcPr>
          <w:p w14:paraId="016B9C27" w14:textId="77777777" w:rsidR="00957F89" w:rsidRPr="00C73849" w:rsidRDefault="00D92D87">
            <w:pPr>
              <w:pStyle w:val="TableParagraph"/>
              <w:spacing w:line="222" w:lineRule="exact"/>
              <w:ind w:left="303"/>
              <w:rPr>
                <w:rFonts w:ascii="Times New Roman" w:eastAsia="Times New Roman" w:hAnsi="Times New Roman" w:cs="Times New Roman"/>
                <w:sz w:val="20"/>
                <w:szCs w:val="20"/>
              </w:rPr>
            </w:pPr>
            <w:r w:rsidRPr="00C73849">
              <w:rPr>
                <w:rFonts w:ascii="Times New Roman"/>
                <w:sz w:val="20"/>
              </w:rPr>
              <w:t>3 (75%)</w:t>
            </w:r>
          </w:p>
        </w:tc>
        <w:tc>
          <w:tcPr>
            <w:tcW w:w="720" w:type="dxa"/>
            <w:tcBorders>
              <w:top w:val="single" w:sz="5" w:space="0" w:color="000000"/>
              <w:left w:val="single" w:sz="5" w:space="0" w:color="000000"/>
              <w:bottom w:val="single" w:sz="5" w:space="0" w:color="000000"/>
              <w:right w:val="single" w:sz="5" w:space="0" w:color="000000"/>
            </w:tcBorders>
          </w:tcPr>
          <w:p w14:paraId="1852279D" w14:textId="77777777" w:rsidR="00957F89" w:rsidRPr="00C73849" w:rsidRDefault="00D92D87">
            <w:pPr>
              <w:pStyle w:val="TableParagraph"/>
              <w:spacing w:line="222" w:lineRule="exact"/>
              <w:ind w:right="1"/>
              <w:jc w:val="center"/>
              <w:rPr>
                <w:rFonts w:ascii="Times New Roman" w:eastAsia="Times New Roman" w:hAnsi="Times New Roman" w:cs="Times New Roman"/>
                <w:sz w:val="20"/>
                <w:szCs w:val="20"/>
              </w:rPr>
            </w:pPr>
            <w:r w:rsidRPr="00C73849">
              <w:rPr>
                <w:rFonts w:ascii="Times New Roman"/>
                <w:sz w:val="20"/>
              </w:rPr>
              <w:t>4</w:t>
            </w:r>
          </w:p>
        </w:tc>
        <w:tc>
          <w:tcPr>
            <w:tcW w:w="1080" w:type="dxa"/>
            <w:tcBorders>
              <w:top w:val="single" w:sz="5" w:space="0" w:color="000000"/>
              <w:left w:val="single" w:sz="5" w:space="0" w:color="000000"/>
              <w:bottom w:val="single" w:sz="5" w:space="0" w:color="000000"/>
              <w:right w:val="single" w:sz="5" w:space="0" w:color="000000"/>
            </w:tcBorders>
          </w:tcPr>
          <w:p w14:paraId="22C6624B" w14:textId="77777777" w:rsidR="00957F89" w:rsidRPr="00C73849" w:rsidRDefault="00D92D87">
            <w:pPr>
              <w:pStyle w:val="TableParagraph"/>
              <w:spacing w:line="222" w:lineRule="exact"/>
              <w:ind w:left="255"/>
              <w:rPr>
                <w:rFonts w:ascii="Times New Roman" w:eastAsia="Times New Roman" w:hAnsi="Times New Roman" w:cs="Times New Roman"/>
                <w:sz w:val="20"/>
                <w:szCs w:val="20"/>
              </w:rPr>
            </w:pPr>
            <w:r w:rsidRPr="00C73849">
              <w:rPr>
                <w:rFonts w:ascii="Times New Roman"/>
                <w:sz w:val="20"/>
              </w:rPr>
              <w:t>4 (100%)</w:t>
            </w:r>
          </w:p>
        </w:tc>
        <w:tc>
          <w:tcPr>
            <w:tcW w:w="720" w:type="dxa"/>
            <w:tcBorders>
              <w:top w:val="single" w:sz="5" w:space="0" w:color="000000"/>
              <w:left w:val="single" w:sz="5" w:space="0" w:color="000000"/>
              <w:bottom w:val="single" w:sz="5" w:space="0" w:color="000000"/>
              <w:right w:val="single" w:sz="5" w:space="0" w:color="000000"/>
            </w:tcBorders>
          </w:tcPr>
          <w:p w14:paraId="2FB59553" w14:textId="77777777" w:rsidR="00957F89" w:rsidRPr="00C73849" w:rsidRDefault="00D92D87">
            <w:pPr>
              <w:pStyle w:val="TableParagraph"/>
              <w:spacing w:line="222" w:lineRule="exact"/>
              <w:ind w:right="1"/>
              <w:jc w:val="center"/>
              <w:rPr>
                <w:rFonts w:ascii="Times New Roman" w:eastAsia="Times New Roman" w:hAnsi="Times New Roman" w:cs="Times New Roman"/>
                <w:sz w:val="20"/>
                <w:szCs w:val="20"/>
              </w:rPr>
            </w:pPr>
            <w:r w:rsidRPr="00C73849">
              <w:rPr>
                <w:rFonts w:ascii="Times New Roman"/>
                <w:sz w:val="20"/>
              </w:rPr>
              <w:t>5</w:t>
            </w:r>
          </w:p>
        </w:tc>
        <w:tc>
          <w:tcPr>
            <w:tcW w:w="1080" w:type="dxa"/>
            <w:tcBorders>
              <w:top w:val="single" w:sz="5" w:space="0" w:color="000000"/>
              <w:left w:val="single" w:sz="5" w:space="0" w:color="000000"/>
              <w:bottom w:val="single" w:sz="5" w:space="0" w:color="000000"/>
              <w:right w:val="single" w:sz="5" w:space="0" w:color="000000"/>
            </w:tcBorders>
          </w:tcPr>
          <w:p w14:paraId="642E6A94" w14:textId="77777777" w:rsidR="00957F89" w:rsidRPr="00C73849" w:rsidRDefault="00D92D87">
            <w:pPr>
              <w:pStyle w:val="TableParagraph"/>
              <w:spacing w:line="222" w:lineRule="exact"/>
              <w:ind w:left="306"/>
              <w:rPr>
                <w:rFonts w:ascii="Times New Roman" w:eastAsia="Times New Roman" w:hAnsi="Times New Roman" w:cs="Times New Roman"/>
                <w:sz w:val="20"/>
                <w:szCs w:val="20"/>
              </w:rPr>
            </w:pPr>
            <w:r w:rsidRPr="00C73849">
              <w:rPr>
                <w:rFonts w:ascii="Times New Roman"/>
                <w:sz w:val="20"/>
              </w:rPr>
              <w:t>5 (63%)</w:t>
            </w:r>
          </w:p>
        </w:tc>
        <w:tc>
          <w:tcPr>
            <w:tcW w:w="720" w:type="dxa"/>
            <w:tcBorders>
              <w:top w:val="single" w:sz="5" w:space="0" w:color="000000"/>
              <w:left w:val="single" w:sz="5" w:space="0" w:color="000000"/>
              <w:bottom w:val="single" w:sz="5" w:space="0" w:color="000000"/>
              <w:right w:val="single" w:sz="5" w:space="0" w:color="000000"/>
            </w:tcBorders>
          </w:tcPr>
          <w:p w14:paraId="63BB94A8" w14:textId="77777777" w:rsidR="00957F89" w:rsidRPr="00C73849" w:rsidRDefault="00D92D87">
            <w:pPr>
              <w:pStyle w:val="TableParagraph"/>
              <w:spacing w:line="222" w:lineRule="exact"/>
              <w:ind w:right="1"/>
              <w:jc w:val="center"/>
              <w:rPr>
                <w:rFonts w:ascii="Times New Roman" w:eastAsia="Times New Roman" w:hAnsi="Times New Roman" w:cs="Times New Roman"/>
                <w:sz w:val="20"/>
                <w:szCs w:val="20"/>
              </w:rPr>
            </w:pPr>
            <w:r w:rsidRPr="00C73849">
              <w:rPr>
                <w:rFonts w:ascii="Times New Roman"/>
                <w:sz w:val="20"/>
              </w:rPr>
              <w:t>10</w:t>
            </w:r>
          </w:p>
        </w:tc>
        <w:tc>
          <w:tcPr>
            <w:tcW w:w="1080" w:type="dxa"/>
            <w:tcBorders>
              <w:top w:val="single" w:sz="5" w:space="0" w:color="000000"/>
              <w:left w:val="single" w:sz="5" w:space="0" w:color="000000"/>
              <w:bottom w:val="single" w:sz="5" w:space="0" w:color="000000"/>
              <w:right w:val="single" w:sz="5" w:space="0" w:color="000000"/>
            </w:tcBorders>
          </w:tcPr>
          <w:p w14:paraId="2E42CDF2" w14:textId="77777777" w:rsidR="00957F89" w:rsidRPr="00C73849" w:rsidRDefault="00D92D87">
            <w:pPr>
              <w:pStyle w:val="TableParagraph"/>
              <w:spacing w:line="222" w:lineRule="exact"/>
              <w:ind w:left="306"/>
              <w:rPr>
                <w:rFonts w:ascii="Times New Roman" w:eastAsia="Times New Roman" w:hAnsi="Times New Roman" w:cs="Times New Roman"/>
                <w:sz w:val="20"/>
                <w:szCs w:val="20"/>
              </w:rPr>
            </w:pPr>
            <w:r w:rsidRPr="00C73849">
              <w:rPr>
                <w:rFonts w:ascii="Times New Roman"/>
                <w:sz w:val="20"/>
              </w:rPr>
              <w:t>3 (75%)</w:t>
            </w:r>
          </w:p>
        </w:tc>
        <w:tc>
          <w:tcPr>
            <w:tcW w:w="720" w:type="dxa"/>
            <w:tcBorders>
              <w:top w:val="single" w:sz="5" w:space="0" w:color="000000"/>
              <w:left w:val="single" w:sz="5" w:space="0" w:color="000000"/>
              <w:bottom w:val="single" w:sz="5" w:space="0" w:color="000000"/>
              <w:right w:val="single" w:sz="5" w:space="0" w:color="000000"/>
            </w:tcBorders>
          </w:tcPr>
          <w:p w14:paraId="53E37961"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16</w:t>
            </w:r>
          </w:p>
        </w:tc>
        <w:tc>
          <w:tcPr>
            <w:tcW w:w="1080" w:type="dxa"/>
            <w:tcBorders>
              <w:top w:val="single" w:sz="5" w:space="0" w:color="000000"/>
              <w:left w:val="single" w:sz="5" w:space="0" w:color="000000"/>
              <w:bottom w:val="single" w:sz="5" w:space="0" w:color="000000"/>
              <w:right w:val="single" w:sz="5" w:space="0" w:color="000000"/>
            </w:tcBorders>
          </w:tcPr>
          <w:p w14:paraId="58B46E7B" w14:textId="77777777" w:rsidR="00957F89" w:rsidRPr="00C73849" w:rsidRDefault="00D92D87">
            <w:pPr>
              <w:pStyle w:val="TableParagraph"/>
              <w:spacing w:line="222" w:lineRule="exact"/>
              <w:ind w:left="306"/>
              <w:rPr>
                <w:rFonts w:ascii="Times New Roman" w:eastAsia="Times New Roman" w:hAnsi="Times New Roman" w:cs="Times New Roman"/>
                <w:sz w:val="20"/>
                <w:szCs w:val="20"/>
              </w:rPr>
            </w:pPr>
            <w:r w:rsidRPr="00C73849">
              <w:rPr>
                <w:rFonts w:ascii="Times New Roman"/>
                <w:sz w:val="20"/>
              </w:rPr>
              <w:t>3 (25%)</w:t>
            </w:r>
          </w:p>
        </w:tc>
        <w:tc>
          <w:tcPr>
            <w:tcW w:w="630" w:type="dxa"/>
            <w:tcBorders>
              <w:top w:val="single" w:sz="5" w:space="0" w:color="000000"/>
              <w:left w:val="single" w:sz="5" w:space="0" w:color="000000"/>
              <w:bottom w:val="single" w:sz="5" w:space="0" w:color="000000"/>
              <w:right w:val="single" w:sz="12" w:space="0" w:color="000000"/>
            </w:tcBorders>
          </w:tcPr>
          <w:p w14:paraId="1CFF4246" w14:textId="77777777" w:rsidR="00957F89" w:rsidRPr="00C73849" w:rsidRDefault="00D92D87">
            <w:pPr>
              <w:pStyle w:val="TableParagraph"/>
              <w:spacing w:line="222" w:lineRule="exact"/>
              <w:ind w:left="6"/>
              <w:jc w:val="center"/>
              <w:rPr>
                <w:rFonts w:ascii="Times New Roman" w:eastAsia="Times New Roman" w:hAnsi="Times New Roman" w:cs="Times New Roman"/>
                <w:sz w:val="20"/>
                <w:szCs w:val="20"/>
              </w:rPr>
            </w:pPr>
            <w:r w:rsidRPr="00C73849">
              <w:rPr>
                <w:rFonts w:ascii="Times New Roman"/>
                <w:sz w:val="20"/>
              </w:rPr>
              <w:t>6</w:t>
            </w:r>
          </w:p>
        </w:tc>
      </w:tr>
      <w:tr w:rsidR="00957F89" w:rsidRPr="00C73849" w14:paraId="429DFD93" w14:textId="77777777" w:rsidTr="00E878A6">
        <w:trPr>
          <w:trHeight w:hRule="exact" w:val="240"/>
        </w:trPr>
        <w:tc>
          <w:tcPr>
            <w:tcW w:w="1385" w:type="dxa"/>
            <w:tcBorders>
              <w:top w:val="single" w:sz="5" w:space="0" w:color="000000"/>
              <w:left w:val="single" w:sz="12" w:space="0" w:color="000000"/>
              <w:bottom w:val="single" w:sz="5" w:space="0" w:color="000000"/>
              <w:right w:val="single" w:sz="5" w:space="0" w:color="000000"/>
            </w:tcBorders>
          </w:tcPr>
          <w:p w14:paraId="5920409E" w14:textId="77777777" w:rsidR="00957F89" w:rsidRPr="00C73849" w:rsidRDefault="00D92D87">
            <w:pPr>
              <w:pStyle w:val="TableParagraph"/>
              <w:spacing w:line="227" w:lineRule="exact"/>
              <w:ind w:left="92"/>
              <w:rPr>
                <w:rFonts w:ascii="Times New Roman" w:eastAsia="Times New Roman" w:hAnsi="Times New Roman" w:cs="Times New Roman"/>
                <w:sz w:val="13"/>
                <w:szCs w:val="13"/>
              </w:rPr>
            </w:pPr>
            <w:r w:rsidRPr="00C73849">
              <w:rPr>
                <w:rFonts w:ascii="Times New Roman"/>
                <w:b/>
                <w:sz w:val="20"/>
              </w:rPr>
              <w:t>Causality</w:t>
            </w:r>
            <w:r w:rsidRPr="00C73849">
              <w:rPr>
                <w:rFonts w:ascii="Times New Roman"/>
                <w:b/>
                <w:position w:val="9"/>
                <w:sz w:val="13"/>
              </w:rPr>
              <w:t>b</w:t>
            </w:r>
          </w:p>
        </w:tc>
        <w:tc>
          <w:tcPr>
            <w:tcW w:w="1049" w:type="dxa"/>
            <w:tcBorders>
              <w:top w:val="single" w:sz="5" w:space="0" w:color="000000"/>
              <w:left w:val="single" w:sz="5" w:space="0" w:color="000000"/>
              <w:bottom w:val="single" w:sz="5" w:space="0" w:color="000000"/>
              <w:right w:val="single" w:sz="5" w:space="0" w:color="000000"/>
            </w:tcBorders>
          </w:tcPr>
          <w:p w14:paraId="455BCE5B" w14:textId="77777777" w:rsidR="00957F89" w:rsidRPr="00C73849" w:rsidRDefault="00957F89"/>
        </w:tc>
        <w:tc>
          <w:tcPr>
            <w:tcW w:w="720" w:type="dxa"/>
            <w:tcBorders>
              <w:top w:val="single" w:sz="5" w:space="0" w:color="000000"/>
              <w:left w:val="single" w:sz="5" w:space="0" w:color="000000"/>
              <w:bottom w:val="single" w:sz="5" w:space="0" w:color="000000"/>
              <w:right w:val="single" w:sz="5" w:space="0" w:color="000000"/>
            </w:tcBorders>
          </w:tcPr>
          <w:p w14:paraId="6E08548B" w14:textId="77777777" w:rsidR="00957F89" w:rsidRPr="00C73849" w:rsidRDefault="00957F89"/>
        </w:tc>
        <w:tc>
          <w:tcPr>
            <w:tcW w:w="1080" w:type="dxa"/>
            <w:tcBorders>
              <w:top w:val="single" w:sz="5" w:space="0" w:color="000000"/>
              <w:left w:val="single" w:sz="5" w:space="0" w:color="000000"/>
              <w:bottom w:val="single" w:sz="5" w:space="0" w:color="000000"/>
              <w:right w:val="single" w:sz="5" w:space="0" w:color="000000"/>
            </w:tcBorders>
          </w:tcPr>
          <w:p w14:paraId="50A05061" w14:textId="77777777" w:rsidR="00957F89" w:rsidRPr="00C73849" w:rsidRDefault="00957F89"/>
        </w:tc>
        <w:tc>
          <w:tcPr>
            <w:tcW w:w="720" w:type="dxa"/>
            <w:tcBorders>
              <w:top w:val="single" w:sz="5" w:space="0" w:color="000000"/>
              <w:left w:val="single" w:sz="5" w:space="0" w:color="000000"/>
              <w:bottom w:val="single" w:sz="5" w:space="0" w:color="000000"/>
              <w:right w:val="single" w:sz="5" w:space="0" w:color="000000"/>
            </w:tcBorders>
          </w:tcPr>
          <w:p w14:paraId="31388B0E" w14:textId="77777777" w:rsidR="00957F89" w:rsidRPr="00C73849" w:rsidRDefault="00957F89"/>
        </w:tc>
        <w:tc>
          <w:tcPr>
            <w:tcW w:w="1080" w:type="dxa"/>
            <w:tcBorders>
              <w:top w:val="single" w:sz="5" w:space="0" w:color="000000"/>
              <w:left w:val="single" w:sz="5" w:space="0" w:color="000000"/>
              <w:bottom w:val="single" w:sz="5" w:space="0" w:color="000000"/>
              <w:right w:val="single" w:sz="5" w:space="0" w:color="000000"/>
            </w:tcBorders>
          </w:tcPr>
          <w:p w14:paraId="613B6E8D" w14:textId="77777777" w:rsidR="00957F89" w:rsidRPr="00C73849" w:rsidRDefault="00957F89"/>
        </w:tc>
        <w:tc>
          <w:tcPr>
            <w:tcW w:w="720" w:type="dxa"/>
            <w:tcBorders>
              <w:top w:val="single" w:sz="5" w:space="0" w:color="000000"/>
              <w:left w:val="single" w:sz="5" w:space="0" w:color="000000"/>
              <w:bottom w:val="single" w:sz="5" w:space="0" w:color="000000"/>
              <w:right w:val="single" w:sz="5" w:space="0" w:color="000000"/>
            </w:tcBorders>
          </w:tcPr>
          <w:p w14:paraId="400D0897" w14:textId="77777777" w:rsidR="00957F89" w:rsidRPr="00C73849" w:rsidRDefault="00957F89"/>
        </w:tc>
        <w:tc>
          <w:tcPr>
            <w:tcW w:w="1080" w:type="dxa"/>
            <w:tcBorders>
              <w:top w:val="single" w:sz="5" w:space="0" w:color="000000"/>
              <w:left w:val="single" w:sz="5" w:space="0" w:color="000000"/>
              <w:bottom w:val="single" w:sz="5" w:space="0" w:color="000000"/>
              <w:right w:val="single" w:sz="5" w:space="0" w:color="000000"/>
            </w:tcBorders>
          </w:tcPr>
          <w:p w14:paraId="4F0F5BE0" w14:textId="77777777" w:rsidR="00957F89" w:rsidRPr="00C73849" w:rsidRDefault="00957F89"/>
        </w:tc>
        <w:tc>
          <w:tcPr>
            <w:tcW w:w="720" w:type="dxa"/>
            <w:tcBorders>
              <w:top w:val="single" w:sz="5" w:space="0" w:color="000000"/>
              <w:left w:val="single" w:sz="5" w:space="0" w:color="000000"/>
              <w:bottom w:val="single" w:sz="5" w:space="0" w:color="000000"/>
              <w:right w:val="single" w:sz="5" w:space="0" w:color="000000"/>
            </w:tcBorders>
          </w:tcPr>
          <w:p w14:paraId="1B44841B" w14:textId="77777777" w:rsidR="00957F89" w:rsidRPr="00C73849" w:rsidRDefault="00957F89"/>
        </w:tc>
        <w:tc>
          <w:tcPr>
            <w:tcW w:w="1080" w:type="dxa"/>
            <w:tcBorders>
              <w:top w:val="single" w:sz="5" w:space="0" w:color="000000"/>
              <w:left w:val="single" w:sz="5" w:space="0" w:color="000000"/>
              <w:bottom w:val="single" w:sz="5" w:space="0" w:color="000000"/>
              <w:right w:val="single" w:sz="5" w:space="0" w:color="000000"/>
            </w:tcBorders>
          </w:tcPr>
          <w:p w14:paraId="2E8CD095" w14:textId="77777777" w:rsidR="00957F89" w:rsidRPr="00C73849" w:rsidRDefault="00957F89"/>
        </w:tc>
        <w:tc>
          <w:tcPr>
            <w:tcW w:w="720" w:type="dxa"/>
            <w:tcBorders>
              <w:top w:val="single" w:sz="5" w:space="0" w:color="000000"/>
              <w:left w:val="single" w:sz="5" w:space="0" w:color="000000"/>
              <w:bottom w:val="single" w:sz="5" w:space="0" w:color="000000"/>
              <w:right w:val="single" w:sz="5" w:space="0" w:color="000000"/>
            </w:tcBorders>
          </w:tcPr>
          <w:p w14:paraId="6B2AB69F" w14:textId="77777777" w:rsidR="00957F89" w:rsidRPr="00C73849" w:rsidRDefault="00957F89"/>
        </w:tc>
        <w:tc>
          <w:tcPr>
            <w:tcW w:w="1080" w:type="dxa"/>
            <w:tcBorders>
              <w:top w:val="single" w:sz="5" w:space="0" w:color="000000"/>
              <w:left w:val="single" w:sz="5" w:space="0" w:color="000000"/>
              <w:bottom w:val="single" w:sz="5" w:space="0" w:color="000000"/>
              <w:right w:val="single" w:sz="5" w:space="0" w:color="000000"/>
            </w:tcBorders>
          </w:tcPr>
          <w:p w14:paraId="60ACF170" w14:textId="77777777" w:rsidR="00957F89" w:rsidRPr="00C73849" w:rsidRDefault="00957F89"/>
        </w:tc>
        <w:tc>
          <w:tcPr>
            <w:tcW w:w="630" w:type="dxa"/>
            <w:tcBorders>
              <w:top w:val="single" w:sz="5" w:space="0" w:color="000000"/>
              <w:left w:val="single" w:sz="5" w:space="0" w:color="000000"/>
              <w:bottom w:val="single" w:sz="5" w:space="0" w:color="000000"/>
              <w:right w:val="single" w:sz="12" w:space="0" w:color="000000"/>
            </w:tcBorders>
          </w:tcPr>
          <w:p w14:paraId="65B7434E" w14:textId="77777777" w:rsidR="00957F89" w:rsidRPr="00C73849" w:rsidRDefault="00957F89"/>
        </w:tc>
      </w:tr>
      <w:tr w:rsidR="00957F89" w:rsidRPr="00C73849" w14:paraId="6354E55D" w14:textId="77777777" w:rsidTr="00E878A6">
        <w:trPr>
          <w:trHeight w:hRule="exact" w:val="240"/>
        </w:trPr>
        <w:tc>
          <w:tcPr>
            <w:tcW w:w="1385" w:type="dxa"/>
            <w:tcBorders>
              <w:top w:val="single" w:sz="5" w:space="0" w:color="000000"/>
              <w:left w:val="single" w:sz="12" w:space="0" w:color="000000"/>
              <w:bottom w:val="single" w:sz="5" w:space="0" w:color="000000"/>
              <w:right w:val="single" w:sz="5" w:space="0" w:color="000000"/>
            </w:tcBorders>
          </w:tcPr>
          <w:p w14:paraId="4215BC01" w14:textId="77777777" w:rsidR="00957F89" w:rsidRPr="00C73849" w:rsidRDefault="00D92D87">
            <w:pPr>
              <w:pStyle w:val="TableParagraph"/>
              <w:spacing w:line="222" w:lineRule="exact"/>
              <w:ind w:left="262"/>
              <w:rPr>
                <w:rFonts w:ascii="Times New Roman" w:eastAsia="Times New Roman" w:hAnsi="Times New Roman" w:cs="Times New Roman"/>
                <w:sz w:val="20"/>
                <w:szCs w:val="20"/>
              </w:rPr>
            </w:pPr>
            <w:r w:rsidRPr="00C73849">
              <w:rPr>
                <w:rFonts w:ascii="Times New Roman"/>
                <w:sz w:val="20"/>
              </w:rPr>
              <w:t>Related</w:t>
            </w:r>
          </w:p>
        </w:tc>
        <w:tc>
          <w:tcPr>
            <w:tcW w:w="1049" w:type="dxa"/>
            <w:tcBorders>
              <w:top w:val="single" w:sz="5" w:space="0" w:color="000000"/>
              <w:left w:val="single" w:sz="5" w:space="0" w:color="000000"/>
              <w:bottom w:val="single" w:sz="5" w:space="0" w:color="000000"/>
              <w:right w:val="single" w:sz="5" w:space="0" w:color="000000"/>
            </w:tcBorders>
          </w:tcPr>
          <w:p w14:paraId="56DA56C4" w14:textId="77777777" w:rsidR="00957F89" w:rsidRPr="00C73849" w:rsidRDefault="00D92D87">
            <w:pPr>
              <w:pStyle w:val="TableParagraph"/>
              <w:spacing w:line="222" w:lineRule="exact"/>
              <w:ind w:left="356"/>
              <w:rPr>
                <w:rFonts w:ascii="Times New Roman" w:eastAsia="Times New Roman" w:hAnsi="Times New Roman" w:cs="Times New Roman"/>
                <w:sz w:val="20"/>
                <w:szCs w:val="20"/>
              </w:rPr>
            </w:pPr>
            <w:r w:rsidRPr="00C73849">
              <w:rPr>
                <w:rFonts w:ascii="Times New Roman"/>
                <w:sz w:val="20"/>
              </w:rPr>
              <w:t>0 (0%)</w:t>
            </w:r>
          </w:p>
        </w:tc>
        <w:tc>
          <w:tcPr>
            <w:tcW w:w="720" w:type="dxa"/>
            <w:tcBorders>
              <w:top w:val="single" w:sz="5" w:space="0" w:color="000000"/>
              <w:left w:val="single" w:sz="5" w:space="0" w:color="000000"/>
              <w:bottom w:val="single" w:sz="5" w:space="0" w:color="000000"/>
              <w:right w:val="single" w:sz="5" w:space="0" w:color="000000"/>
            </w:tcBorders>
          </w:tcPr>
          <w:p w14:paraId="113F8655" w14:textId="77777777" w:rsidR="00957F89" w:rsidRPr="00C73849" w:rsidRDefault="00D92D87">
            <w:pPr>
              <w:pStyle w:val="TableParagraph"/>
              <w:spacing w:line="222" w:lineRule="exact"/>
              <w:ind w:right="3"/>
              <w:jc w:val="center"/>
              <w:rPr>
                <w:rFonts w:ascii="Times New Roman" w:eastAsia="Times New Roman" w:hAnsi="Times New Roman" w:cs="Times New Roman"/>
                <w:sz w:val="20"/>
                <w:szCs w:val="20"/>
              </w:rPr>
            </w:pPr>
            <w:r w:rsidRPr="00C73849">
              <w:rPr>
                <w:rFonts w:ascii="Times New Roman"/>
                <w:sz w:val="20"/>
              </w:rPr>
              <w:t>0</w:t>
            </w:r>
          </w:p>
        </w:tc>
        <w:tc>
          <w:tcPr>
            <w:tcW w:w="1080" w:type="dxa"/>
            <w:tcBorders>
              <w:top w:val="single" w:sz="5" w:space="0" w:color="000000"/>
              <w:left w:val="single" w:sz="5" w:space="0" w:color="000000"/>
              <w:bottom w:val="single" w:sz="5" w:space="0" w:color="000000"/>
              <w:right w:val="single" w:sz="5" w:space="0" w:color="000000"/>
            </w:tcBorders>
          </w:tcPr>
          <w:p w14:paraId="4D111849" w14:textId="77777777" w:rsidR="00957F89" w:rsidRPr="00C73849" w:rsidRDefault="00D92D87">
            <w:pPr>
              <w:pStyle w:val="TableParagraph"/>
              <w:spacing w:line="222" w:lineRule="exact"/>
              <w:ind w:left="303"/>
              <w:rPr>
                <w:rFonts w:ascii="Times New Roman" w:eastAsia="Times New Roman" w:hAnsi="Times New Roman" w:cs="Times New Roman"/>
                <w:sz w:val="20"/>
                <w:szCs w:val="20"/>
              </w:rPr>
            </w:pPr>
            <w:r w:rsidRPr="00C73849">
              <w:rPr>
                <w:rFonts w:ascii="Times New Roman"/>
                <w:sz w:val="20"/>
              </w:rPr>
              <w:t>2 (50%)</w:t>
            </w:r>
          </w:p>
        </w:tc>
        <w:tc>
          <w:tcPr>
            <w:tcW w:w="720" w:type="dxa"/>
            <w:tcBorders>
              <w:top w:val="single" w:sz="5" w:space="0" w:color="000000"/>
              <w:left w:val="single" w:sz="5" w:space="0" w:color="000000"/>
              <w:bottom w:val="single" w:sz="5" w:space="0" w:color="000000"/>
              <w:right w:val="single" w:sz="5" w:space="0" w:color="000000"/>
            </w:tcBorders>
          </w:tcPr>
          <w:p w14:paraId="23DD8535" w14:textId="77777777" w:rsidR="00957F89" w:rsidRPr="00C73849" w:rsidRDefault="00D92D87">
            <w:pPr>
              <w:pStyle w:val="TableParagraph"/>
              <w:spacing w:line="222" w:lineRule="exact"/>
              <w:ind w:right="1"/>
              <w:jc w:val="center"/>
              <w:rPr>
                <w:rFonts w:ascii="Times New Roman" w:eastAsia="Times New Roman" w:hAnsi="Times New Roman" w:cs="Times New Roman"/>
                <w:sz w:val="20"/>
                <w:szCs w:val="20"/>
              </w:rPr>
            </w:pPr>
            <w:r w:rsidRPr="00C73849">
              <w:rPr>
                <w:rFonts w:ascii="Times New Roman"/>
                <w:sz w:val="20"/>
              </w:rPr>
              <w:t>3</w:t>
            </w:r>
          </w:p>
        </w:tc>
        <w:tc>
          <w:tcPr>
            <w:tcW w:w="1080" w:type="dxa"/>
            <w:tcBorders>
              <w:top w:val="single" w:sz="5" w:space="0" w:color="000000"/>
              <w:left w:val="single" w:sz="5" w:space="0" w:color="000000"/>
              <w:bottom w:val="single" w:sz="5" w:space="0" w:color="000000"/>
              <w:right w:val="single" w:sz="5" w:space="0" w:color="000000"/>
            </w:tcBorders>
          </w:tcPr>
          <w:p w14:paraId="044C102F" w14:textId="77777777" w:rsidR="00957F89" w:rsidRPr="00C73849" w:rsidRDefault="00D92D87">
            <w:pPr>
              <w:pStyle w:val="TableParagraph"/>
              <w:spacing w:line="222" w:lineRule="exact"/>
              <w:ind w:left="306"/>
              <w:rPr>
                <w:rFonts w:ascii="Times New Roman" w:eastAsia="Times New Roman" w:hAnsi="Times New Roman" w:cs="Times New Roman"/>
                <w:sz w:val="20"/>
                <w:szCs w:val="20"/>
              </w:rPr>
            </w:pPr>
            <w:r w:rsidRPr="00C73849">
              <w:rPr>
                <w:rFonts w:ascii="Times New Roman"/>
                <w:sz w:val="20"/>
              </w:rPr>
              <w:t>3 (75%)</w:t>
            </w:r>
          </w:p>
        </w:tc>
        <w:tc>
          <w:tcPr>
            <w:tcW w:w="720" w:type="dxa"/>
            <w:tcBorders>
              <w:top w:val="single" w:sz="5" w:space="0" w:color="000000"/>
              <w:left w:val="single" w:sz="5" w:space="0" w:color="000000"/>
              <w:bottom w:val="single" w:sz="5" w:space="0" w:color="000000"/>
              <w:right w:val="single" w:sz="5" w:space="0" w:color="000000"/>
            </w:tcBorders>
          </w:tcPr>
          <w:p w14:paraId="75158AF3"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3</w:t>
            </w:r>
          </w:p>
        </w:tc>
        <w:tc>
          <w:tcPr>
            <w:tcW w:w="1080" w:type="dxa"/>
            <w:tcBorders>
              <w:top w:val="single" w:sz="5" w:space="0" w:color="000000"/>
              <w:left w:val="single" w:sz="5" w:space="0" w:color="000000"/>
              <w:bottom w:val="single" w:sz="5" w:space="0" w:color="000000"/>
              <w:right w:val="single" w:sz="5" w:space="0" w:color="000000"/>
            </w:tcBorders>
          </w:tcPr>
          <w:p w14:paraId="56808F1A" w14:textId="77777777" w:rsidR="00957F89" w:rsidRPr="00C73849" w:rsidRDefault="00D92D87">
            <w:pPr>
              <w:pStyle w:val="TableParagraph"/>
              <w:spacing w:line="222" w:lineRule="exact"/>
              <w:ind w:left="306"/>
              <w:rPr>
                <w:rFonts w:ascii="Times New Roman" w:eastAsia="Times New Roman" w:hAnsi="Times New Roman" w:cs="Times New Roman"/>
                <w:sz w:val="20"/>
                <w:szCs w:val="20"/>
              </w:rPr>
            </w:pPr>
            <w:r w:rsidRPr="00C73849">
              <w:rPr>
                <w:rFonts w:ascii="Times New Roman"/>
                <w:sz w:val="20"/>
              </w:rPr>
              <w:t>5 (63%)</w:t>
            </w:r>
          </w:p>
        </w:tc>
        <w:tc>
          <w:tcPr>
            <w:tcW w:w="720" w:type="dxa"/>
            <w:tcBorders>
              <w:top w:val="single" w:sz="5" w:space="0" w:color="000000"/>
              <w:left w:val="single" w:sz="5" w:space="0" w:color="000000"/>
              <w:bottom w:val="single" w:sz="5" w:space="0" w:color="000000"/>
              <w:right w:val="single" w:sz="5" w:space="0" w:color="000000"/>
            </w:tcBorders>
          </w:tcPr>
          <w:p w14:paraId="1CFEB7FB" w14:textId="77777777" w:rsidR="00957F89" w:rsidRPr="00C73849" w:rsidRDefault="00D92D87">
            <w:pPr>
              <w:pStyle w:val="TableParagraph"/>
              <w:spacing w:line="222" w:lineRule="exact"/>
              <w:ind w:right="1"/>
              <w:jc w:val="center"/>
              <w:rPr>
                <w:rFonts w:ascii="Times New Roman" w:eastAsia="Times New Roman" w:hAnsi="Times New Roman" w:cs="Times New Roman"/>
                <w:sz w:val="20"/>
                <w:szCs w:val="20"/>
              </w:rPr>
            </w:pPr>
            <w:r w:rsidRPr="00C73849">
              <w:rPr>
                <w:rFonts w:ascii="Times New Roman"/>
                <w:sz w:val="20"/>
              </w:rPr>
              <w:t>10</w:t>
            </w:r>
          </w:p>
        </w:tc>
        <w:tc>
          <w:tcPr>
            <w:tcW w:w="1080" w:type="dxa"/>
            <w:tcBorders>
              <w:top w:val="single" w:sz="5" w:space="0" w:color="000000"/>
              <w:left w:val="single" w:sz="5" w:space="0" w:color="000000"/>
              <w:bottom w:val="single" w:sz="5" w:space="0" w:color="000000"/>
              <w:right w:val="single" w:sz="5" w:space="0" w:color="000000"/>
            </w:tcBorders>
          </w:tcPr>
          <w:p w14:paraId="72E4E25C" w14:textId="77777777" w:rsidR="00957F89" w:rsidRPr="00C73849" w:rsidRDefault="00D92D87">
            <w:pPr>
              <w:pStyle w:val="TableParagraph"/>
              <w:spacing w:line="222" w:lineRule="exact"/>
              <w:ind w:left="306"/>
              <w:rPr>
                <w:rFonts w:ascii="Times New Roman" w:eastAsia="Times New Roman" w:hAnsi="Times New Roman" w:cs="Times New Roman"/>
                <w:sz w:val="20"/>
                <w:szCs w:val="20"/>
              </w:rPr>
            </w:pPr>
            <w:r w:rsidRPr="00C73849">
              <w:rPr>
                <w:rFonts w:ascii="Times New Roman"/>
                <w:sz w:val="20"/>
              </w:rPr>
              <w:t>3 (75%)</w:t>
            </w:r>
          </w:p>
        </w:tc>
        <w:tc>
          <w:tcPr>
            <w:tcW w:w="720" w:type="dxa"/>
            <w:tcBorders>
              <w:top w:val="single" w:sz="5" w:space="0" w:color="000000"/>
              <w:left w:val="single" w:sz="5" w:space="0" w:color="000000"/>
              <w:bottom w:val="single" w:sz="5" w:space="0" w:color="000000"/>
              <w:right w:val="single" w:sz="5" w:space="0" w:color="000000"/>
            </w:tcBorders>
          </w:tcPr>
          <w:p w14:paraId="51CCDCE1" w14:textId="77777777" w:rsidR="00957F89" w:rsidRPr="00C73849" w:rsidRDefault="00D92D87">
            <w:pPr>
              <w:pStyle w:val="TableParagraph"/>
              <w:spacing w:line="222" w:lineRule="exact"/>
              <w:ind w:right="1"/>
              <w:jc w:val="center"/>
              <w:rPr>
                <w:rFonts w:ascii="Times New Roman" w:eastAsia="Times New Roman" w:hAnsi="Times New Roman" w:cs="Times New Roman"/>
                <w:sz w:val="20"/>
                <w:szCs w:val="20"/>
              </w:rPr>
            </w:pPr>
            <w:r w:rsidRPr="00C73849">
              <w:rPr>
                <w:rFonts w:ascii="Times New Roman"/>
                <w:sz w:val="20"/>
              </w:rPr>
              <w:t>13</w:t>
            </w:r>
          </w:p>
        </w:tc>
        <w:tc>
          <w:tcPr>
            <w:tcW w:w="1080" w:type="dxa"/>
            <w:tcBorders>
              <w:top w:val="single" w:sz="5" w:space="0" w:color="000000"/>
              <w:left w:val="single" w:sz="5" w:space="0" w:color="000000"/>
              <w:bottom w:val="single" w:sz="5" w:space="0" w:color="000000"/>
              <w:right w:val="single" w:sz="5" w:space="0" w:color="000000"/>
            </w:tcBorders>
          </w:tcPr>
          <w:p w14:paraId="3B428E83" w14:textId="77777777" w:rsidR="00957F89" w:rsidRPr="00C73849" w:rsidRDefault="00D92D87">
            <w:pPr>
              <w:pStyle w:val="TableParagraph"/>
              <w:spacing w:line="222" w:lineRule="exact"/>
              <w:ind w:left="356"/>
              <w:rPr>
                <w:rFonts w:ascii="Times New Roman" w:eastAsia="Times New Roman" w:hAnsi="Times New Roman" w:cs="Times New Roman"/>
                <w:sz w:val="20"/>
                <w:szCs w:val="20"/>
              </w:rPr>
            </w:pPr>
            <w:r w:rsidRPr="00C73849">
              <w:rPr>
                <w:rFonts w:ascii="Times New Roman"/>
                <w:sz w:val="20"/>
              </w:rPr>
              <w:t>1 (8%)</w:t>
            </w:r>
          </w:p>
        </w:tc>
        <w:tc>
          <w:tcPr>
            <w:tcW w:w="630" w:type="dxa"/>
            <w:tcBorders>
              <w:top w:val="single" w:sz="5" w:space="0" w:color="000000"/>
              <w:left w:val="single" w:sz="5" w:space="0" w:color="000000"/>
              <w:bottom w:val="single" w:sz="5" w:space="0" w:color="000000"/>
              <w:right w:val="single" w:sz="12" w:space="0" w:color="000000"/>
            </w:tcBorders>
          </w:tcPr>
          <w:p w14:paraId="03620B37" w14:textId="77777777" w:rsidR="00957F89" w:rsidRPr="00C73849" w:rsidRDefault="00D92D87">
            <w:pPr>
              <w:pStyle w:val="TableParagraph"/>
              <w:spacing w:line="222" w:lineRule="exact"/>
              <w:ind w:left="6"/>
              <w:jc w:val="center"/>
              <w:rPr>
                <w:rFonts w:ascii="Times New Roman" w:eastAsia="Times New Roman" w:hAnsi="Times New Roman" w:cs="Times New Roman"/>
                <w:sz w:val="20"/>
                <w:szCs w:val="20"/>
              </w:rPr>
            </w:pPr>
            <w:r w:rsidRPr="00C73849">
              <w:rPr>
                <w:rFonts w:ascii="Times New Roman"/>
                <w:sz w:val="20"/>
              </w:rPr>
              <w:t>1</w:t>
            </w:r>
          </w:p>
        </w:tc>
      </w:tr>
      <w:tr w:rsidR="00957F89" w:rsidRPr="00C73849" w14:paraId="131813C5" w14:textId="77777777" w:rsidTr="00E878A6">
        <w:trPr>
          <w:trHeight w:hRule="exact" w:val="240"/>
        </w:trPr>
        <w:tc>
          <w:tcPr>
            <w:tcW w:w="1385" w:type="dxa"/>
            <w:tcBorders>
              <w:top w:val="single" w:sz="5" w:space="0" w:color="000000"/>
              <w:left w:val="single" w:sz="12" w:space="0" w:color="000000"/>
              <w:bottom w:val="single" w:sz="5" w:space="0" w:color="000000"/>
              <w:right w:val="single" w:sz="5" w:space="0" w:color="000000"/>
            </w:tcBorders>
          </w:tcPr>
          <w:p w14:paraId="4AF01D51" w14:textId="77777777" w:rsidR="00957F89" w:rsidRPr="00C73849" w:rsidRDefault="00D92D87">
            <w:pPr>
              <w:pStyle w:val="TableParagraph"/>
              <w:spacing w:line="222" w:lineRule="exact"/>
              <w:ind w:left="262"/>
              <w:rPr>
                <w:rFonts w:ascii="Times New Roman" w:eastAsia="Times New Roman" w:hAnsi="Times New Roman" w:cs="Times New Roman"/>
                <w:sz w:val="20"/>
                <w:szCs w:val="20"/>
              </w:rPr>
            </w:pPr>
            <w:r w:rsidRPr="00C73849">
              <w:rPr>
                <w:rFonts w:ascii="Times New Roman"/>
                <w:sz w:val="20"/>
              </w:rPr>
              <w:t>Not related</w:t>
            </w:r>
          </w:p>
        </w:tc>
        <w:tc>
          <w:tcPr>
            <w:tcW w:w="1049" w:type="dxa"/>
            <w:tcBorders>
              <w:top w:val="single" w:sz="5" w:space="0" w:color="000000"/>
              <w:left w:val="single" w:sz="5" w:space="0" w:color="000000"/>
              <w:bottom w:val="single" w:sz="5" w:space="0" w:color="000000"/>
              <w:right w:val="single" w:sz="5" w:space="0" w:color="000000"/>
            </w:tcBorders>
          </w:tcPr>
          <w:p w14:paraId="78A181EA" w14:textId="77777777" w:rsidR="00957F89" w:rsidRPr="00C73849" w:rsidRDefault="00D92D87">
            <w:pPr>
              <w:pStyle w:val="TableParagraph"/>
              <w:spacing w:line="222" w:lineRule="exact"/>
              <w:ind w:left="357"/>
              <w:rPr>
                <w:rFonts w:ascii="Times New Roman" w:eastAsia="Times New Roman" w:hAnsi="Times New Roman" w:cs="Times New Roman"/>
                <w:sz w:val="20"/>
                <w:szCs w:val="20"/>
              </w:rPr>
            </w:pPr>
            <w:r w:rsidRPr="00C73849">
              <w:rPr>
                <w:rFonts w:ascii="Times New Roman"/>
                <w:sz w:val="20"/>
              </w:rPr>
              <w:t>0 (0%)</w:t>
            </w:r>
          </w:p>
        </w:tc>
        <w:tc>
          <w:tcPr>
            <w:tcW w:w="720" w:type="dxa"/>
            <w:tcBorders>
              <w:top w:val="single" w:sz="5" w:space="0" w:color="000000"/>
              <w:left w:val="single" w:sz="5" w:space="0" w:color="000000"/>
              <w:bottom w:val="single" w:sz="5" w:space="0" w:color="000000"/>
              <w:right w:val="single" w:sz="5" w:space="0" w:color="000000"/>
            </w:tcBorders>
          </w:tcPr>
          <w:p w14:paraId="6701F7E0" w14:textId="77777777" w:rsidR="00957F89" w:rsidRPr="00C73849" w:rsidRDefault="00D92D87">
            <w:pPr>
              <w:pStyle w:val="TableParagraph"/>
              <w:spacing w:line="222" w:lineRule="exact"/>
              <w:ind w:right="1"/>
              <w:jc w:val="center"/>
              <w:rPr>
                <w:rFonts w:ascii="Times New Roman" w:eastAsia="Times New Roman" w:hAnsi="Times New Roman" w:cs="Times New Roman"/>
                <w:sz w:val="20"/>
                <w:szCs w:val="20"/>
              </w:rPr>
            </w:pPr>
            <w:r w:rsidRPr="00C73849">
              <w:rPr>
                <w:rFonts w:ascii="Times New Roman"/>
                <w:sz w:val="20"/>
              </w:rPr>
              <w:t>0</w:t>
            </w:r>
          </w:p>
        </w:tc>
        <w:tc>
          <w:tcPr>
            <w:tcW w:w="1080" w:type="dxa"/>
            <w:tcBorders>
              <w:top w:val="single" w:sz="5" w:space="0" w:color="000000"/>
              <w:left w:val="single" w:sz="5" w:space="0" w:color="000000"/>
              <w:bottom w:val="single" w:sz="5" w:space="0" w:color="000000"/>
              <w:right w:val="single" w:sz="5" w:space="0" w:color="000000"/>
            </w:tcBorders>
          </w:tcPr>
          <w:p w14:paraId="518F2E9B" w14:textId="77777777" w:rsidR="00957F89" w:rsidRPr="00C73849" w:rsidRDefault="00D92D87">
            <w:pPr>
              <w:pStyle w:val="TableParagraph"/>
              <w:spacing w:line="222" w:lineRule="exact"/>
              <w:ind w:left="304"/>
              <w:rPr>
                <w:rFonts w:ascii="Times New Roman" w:eastAsia="Times New Roman" w:hAnsi="Times New Roman" w:cs="Times New Roman"/>
                <w:sz w:val="20"/>
                <w:szCs w:val="20"/>
              </w:rPr>
            </w:pPr>
            <w:r w:rsidRPr="00C73849">
              <w:rPr>
                <w:rFonts w:ascii="Times New Roman"/>
                <w:sz w:val="20"/>
              </w:rPr>
              <w:t>1 (25%)</w:t>
            </w:r>
          </w:p>
        </w:tc>
        <w:tc>
          <w:tcPr>
            <w:tcW w:w="720" w:type="dxa"/>
            <w:tcBorders>
              <w:top w:val="single" w:sz="5" w:space="0" w:color="000000"/>
              <w:left w:val="single" w:sz="5" w:space="0" w:color="000000"/>
              <w:bottom w:val="single" w:sz="5" w:space="0" w:color="000000"/>
              <w:right w:val="single" w:sz="5" w:space="0" w:color="000000"/>
            </w:tcBorders>
          </w:tcPr>
          <w:p w14:paraId="7CFBCF2A" w14:textId="77777777" w:rsidR="00957F89" w:rsidRPr="00C73849" w:rsidRDefault="00D92D87">
            <w:pPr>
              <w:pStyle w:val="TableParagraph"/>
              <w:spacing w:line="222" w:lineRule="exact"/>
              <w:ind w:right="1"/>
              <w:jc w:val="center"/>
              <w:rPr>
                <w:rFonts w:ascii="Times New Roman" w:eastAsia="Times New Roman" w:hAnsi="Times New Roman" w:cs="Times New Roman"/>
                <w:sz w:val="20"/>
                <w:szCs w:val="20"/>
              </w:rPr>
            </w:pPr>
            <w:r w:rsidRPr="00C73849">
              <w:rPr>
                <w:rFonts w:ascii="Times New Roman"/>
                <w:sz w:val="20"/>
              </w:rPr>
              <w:t>1</w:t>
            </w:r>
          </w:p>
        </w:tc>
        <w:tc>
          <w:tcPr>
            <w:tcW w:w="1080" w:type="dxa"/>
            <w:tcBorders>
              <w:top w:val="single" w:sz="5" w:space="0" w:color="000000"/>
              <w:left w:val="single" w:sz="5" w:space="0" w:color="000000"/>
              <w:bottom w:val="single" w:sz="5" w:space="0" w:color="000000"/>
              <w:right w:val="single" w:sz="5" w:space="0" w:color="000000"/>
            </w:tcBorders>
          </w:tcPr>
          <w:p w14:paraId="63477CCF" w14:textId="77777777" w:rsidR="00957F89" w:rsidRPr="00C73849" w:rsidRDefault="00D92D87">
            <w:pPr>
              <w:pStyle w:val="TableParagraph"/>
              <w:spacing w:line="222" w:lineRule="exact"/>
              <w:ind w:left="307"/>
              <w:rPr>
                <w:rFonts w:ascii="Times New Roman" w:eastAsia="Times New Roman" w:hAnsi="Times New Roman" w:cs="Times New Roman"/>
                <w:sz w:val="20"/>
                <w:szCs w:val="20"/>
              </w:rPr>
            </w:pPr>
            <w:r w:rsidRPr="00C73849">
              <w:rPr>
                <w:rFonts w:ascii="Times New Roman"/>
                <w:sz w:val="20"/>
              </w:rPr>
              <w:t>1 (25%)</w:t>
            </w:r>
          </w:p>
        </w:tc>
        <w:tc>
          <w:tcPr>
            <w:tcW w:w="720" w:type="dxa"/>
            <w:tcBorders>
              <w:top w:val="single" w:sz="5" w:space="0" w:color="000000"/>
              <w:left w:val="single" w:sz="5" w:space="0" w:color="000000"/>
              <w:bottom w:val="single" w:sz="5" w:space="0" w:color="000000"/>
              <w:right w:val="single" w:sz="5" w:space="0" w:color="000000"/>
            </w:tcBorders>
          </w:tcPr>
          <w:p w14:paraId="488C0975" w14:textId="77777777" w:rsidR="00957F89" w:rsidRPr="00C73849" w:rsidRDefault="00D92D87">
            <w:pPr>
              <w:pStyle w:val="TableParagraph"/>
              <w:spacing w:line="222" w:lineRule="exact"/>
              <w:ind w:left="1"/>
              <w:jc w:val="center"/>
              <w:rPr>
                <w:rFonts w:ascii="Times New Roman" w:eastAsia="Times New Roman" w:hAnsi="Times New Roman" w:cs="Times New Roman"/>
                <w:sz w:val="20"/>
                <w:szCs w:val="20"/>
              </w:rPr>
            </w:pPr>
            <w:r w:rsidRPr="00C73849">
              <w:rPr>
                <w:rFonts w:ascii="Times New Roman"/>
                <w:sz w:val="20"/>
              </w:rPr>
              <w:t>2</w:t>
            </w:r>
          </w:p>
        </w:tc>
        <w:tc>
          <w:tcPr>
            <w:tcW w:w="1080" w:type="dxa"/>
            <w:tcBorders>
              <w:top w:val="single" w:sz="5" w:space="0" w:color="000000"/>
              <w:left w:val="single" w:sz="5" w:space="0" w:color="000000"/>
              <w:bottom w:val="single" w:sz="5" w:space="0" w:color="000000"/>
              <w:right w:val="single" w:sz="5" w:space="0" w:color="000000"/>
            </w:tcBorders>
          </w:tcPr>
          <w:p w14:paraId="3F53BBCC" w14:textId="77777777" w:rsidR="00957F89" w:rsidRPr="00C73849" w:rsidRDefault="00D92D87">
            <w:pPr>
              <w:pStyle w:val="TableParagraph"/>
              <w:spacing w:line="222" w:lineRule="exact"/>
              <w:ind w:left="357"/>
              <w:rPr>
                <w:rFonts w:ascii="Times New Roman" w:eastAsia="Times New Roman" w:hAnsi="Times New Roman" w:cs="Times New Roman"/>
                <w:sz w:val="20"/>
                <w:szCs w:val="20"/>
              </w:rPr>
            </w:pPr>
            <w:r w:rsidRPr="00C73849">
              <w:rPr>
                <w:rFonts w:ascii="Times New Roman"/>
                <w:sz w:val="20"/>
              </w:rPr>
              <w:t>0 (0%)</w:t>
            </w:r>
          </w:p>
        </w:tc>
        <w:tc>
          <w:tcPr>
            <w:tcW w:w="720" w:type="dxa"/>
            <w:tcBorders>
              <w:top w:val="single" w:sz="5" w:space="0" w:color="000000"/>
              <w:left w:val="single" w:sz="5" w:space="0" w:color="000000"/>
              <w:bottom w:val="single" w:sz="5" w:space="0" w:color="000000"/>
              <w:right w:val="single" w:sz="5" w:space="0" w:color="000000"/>
            </w:tcBorders>
          </w:tcPr>
          <w:p w14:paraId="0A586957"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0</w:t>
            </w:r>
          </w:p>
        </w:tc>
        <w:tc>
          <w:tcPr>
            <w:tcW w:w="1080" w:type="dxa"/>
            <w:tcBorders>
              <w:top w:val="single" w:sz="5" w:space="0" w:color="000000"/>
              <w:left w:val="single" w:sz="5" w:space="0" w:color="000000"/>
              <w:bottom w:val="single" w:sz="5" w:space="0" w:color="000000"/>
              <w:right w:val="single" w:sz="5" w:space="0" w:color="000000"/>
            </w:tcBorders>
          </w:tcPr>
          <w:p w14:paraId="7CCDD51D" w14:textId="77777777" w:rsidR="00957F89" w:rsidRPr="00C73849" w:rsidRDefault="00D92D87">
            <w:pPr>
              <w:pStyle w:val="TableParagraph"/>
              <w:spacing w:line="222" w:lineRule="exact"/>
              <w:ind w:left="307"/>
              <w:rPr>
                <w:rFonts w:ascii="Times New Roman" w:eastAsia="Times New Roman" w:hAnsi="Times New Roman" w:cs="Times New Roman"/>
                <w:sz w:val="20"/>
                <w:szCs w:val="20"/>
              </w:rPr>
            </w:pPr>
            <w:r w:rsidRPr="00C73849">
              <w:rPr>
                <w:rFonts w:ascii="Times New Roman"/>
                <w:sz w:val="20"/>
              </w:rPr>
              <w:t>3 (75%)</w:t>
            </w:r>
          </w:p>
        </w:tc>
        <w:tc>
          <w:tcPr>
            <w:tcW w:w="720" w:type="dxa"/>
            <w:tcBorders>
              <w:top w:val="single" w:sz="5" w:space="0" w:color="000000"/>
              <w:left w:val="single" w:sz="5" w:space="0" w:color="000000"/>
              <w:bottom w:val="single" w:sz="5" w:space="0" w:color="000000"/>
              <w:right w:val="single" w:sz="5" w:space="0" w:color="000000"/>
            </w:tcBorders>
          </w:tcPr>
          <w:p w14:paraId="7F75C7AC"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3</w:t>
            </w:r>
          </w:p>
        </w:tc>
        <w:tc>
          <w:tcPr>
            <w:tcW w:w="1080" w:type="dxa"/>
            <w:tcBorders>
              <w:top w:val="single" w:sz="5" w:space="0" w:color="000000"/>
              <w:left w:val="single" w:sz="5" w:space="0" w:color="000000"/>
              <w:bottom w:val="single" w:sz="5" w:space="0" w:color="000000"/>
              <w:right w:val="single" w:sz="5" w:space="0" w:color="000000"/>
            </w:tcBorders>
          </w:tcPr>
          <w:p w14:paraId="647A015A" w14:textId="77777777" w:rsidR="00957F89" w:rsidRPr="00C73849" w:rsidRDefault="00D92D87">
            <w:pPr>
              <w:pStyle w:val="TableParagraph"/>
              <w:spacing w:line="222" w:lineRule="exact"/>
              <w:ind w:left="307"/>
              <w:rPr>
                <w:rFonts w:ascii="Times New Roman" w:eastAsia="Times New Roman" w:hAnsi="Times New Roman" w:cs="Times New Roman"/>
                <w:sz w:val="20"/>
                <w:szCs w:val="20"/>
              </w:rPr>
            </w:pPr>
            <w:r w:rsidRPr="00C73849">
              <w:rPr>
                <w:rFonts w:ascii="Times New Roman"/>
                <w:sz w:val="20"/>
              </w:rPr>
              <w:t>3 (25%)</w:t>
            </w:r>
          </w:p>
        </w:tc>
        <w:tc>
          <w:tcPr>
            <w:tcW w:w="630" w:type="dxa"/>
            <w:tcBorders>
              <w:top w:val="single" w:sz="5" w:space="0" w:color="000000"/>
              <w:left w:val="single" w:sz="5" w:space="0" w:color="000000"/>
              <w:bottom w:val="single" w:sz="5" w:space="0" w:color="000000"/>
              <w:right w:val="single" w:sz="12" w:space="0" w:color="000000"/>
            </w:tcBorders>
          </w:tcPr>
          <w:p w14:paraId="3792BAE1" w14:textId="77777777" w:rsidR="00957F89" w:rsidRPr="00C73849" w:rsidRDefault="00D92D87">
            <w:pPr>
              <w:pStyle w:val="TableParagraph"/>
              <w:spacing w:line="222" w:lineRule="exact"/>
              <w:ind w:left="9"/>
              <w:jc w:val="center"/>
              <w:rPr>
                <w:rFonts w:ascii="Times New Roman" w:eastAsia="Times New Roman" w:hAnsi="Times New Roman" w:cs="Times New Roman"/>
                <w:sz w:val="20"/>
                <w:szCs w:val="20"/>
              </w:rPr>
            </w:pPr>
            <w:r w:rsidRPr="00C73849">
              <w:rPr>
                <w:rFonts w:ascii="Times New Roman"/>
                <w:sz w:val="20"/>
              </w:rPr>
              <w:t>5</w:t>
            </w:r>
          </w:p>
        </w:tc>
      </w:tr>
      <w:tr w:rsidR="00957F89" w:rsidRPr="00C73849" w14:paraId="73E96597" w14:textId="77777777" w:rsidTr="00E878A6">
        <w:trPr>
          <w:trHeight w:hRule="exact" w:val="240"/>
        </w:trPr>
        <w:tc>
          <w:tcPr>
            <w:tcW w:w="1385" w:type="dxa"/>
            <w:tcBorders>
              <w:top w:val="single" w:sz="5" w:space="0" w:color="000000"/>
              <w:left w:val="single" w:sz="12" w:space="0" w:color="000000"/>
              <w:bottom w:val="single" w:sz="5" w:space="0" w:color="000000"/>
              <w:right w:val="single" w:sz="5" w:space="0" w:color="000000"/>
            </w:tcBorders>
          </w:tcPr>
          <w:p w14:paraId="1DBB31BA" w14:textId="77777777" w:rsidR="00957F89" w:rsidRPr="00C73849" w:rsidRDefault="00D92D87">
            <w:pPr>
              <w:pStyle w:val="TableParagraph"/>
              <w:spacing w:line="227" w:lineRule="exact"/>
              <w:ind w:left="92"/>
              <w:rPr>
                <w:rFonts w:ascii="Times New Roman" w:eastAsia="Times New Roman" w:hAnsi="Times New Roman" w:cs="Times New Roman"/>
                <w:sz w:val="13"/>
                <w:szCs w:val="13"/>
              </w:rPr>
            </w:pPr>
            <w:r w:rsidRPr="00C73849">
              <w:rPr>
                <w:rFonts w:ascii="Times New Roman"/>
                <w:b/>
                <w:sz w:val="20"/>
              </w:rPr>
              <w:t>Intensity</w:t>
            </w:r>
            <w:r w:rsidRPr="00C73849">
              <w:rPr>
                <w:rFonts w:ascii="Times New Roman"/>
                <w:b/>
                <w:position w:val="9"/>
                <w:sz w:val="13"/>
              </w:rPr>
              <w:t>b</w:t>
            </w:r>
          </w:p>
        </w:tc>
        <w:tc>
          <w:tcPr>
            <w:tcW w:w="1049" w:type="dxa"/>
            <w:tcBorders>
              <w:top w:val="single" w:sz="5" w:space="0" w:color="000000"/>
              <w:left w:val="single" w:sz="5" w:space="0" w:color="000000"/>
              <w:bottom w:val="single" w:sz="5" w:space="0" w:color="000000"/>
              <w:right w:val="single" w:sz="5" w:space="0" w:color="000000"/>
            </w:tcBorders>
          </w:tcPr>
          <w:p w14:paraId="316F7926" w14:textId="77777777" w:rsidR="00957F89" w:rsidRPr="00C73849" w:rsidRDefault="00957F89"/>
        </w:tc>
        <w:tc>
          <w:tcPr>
            <w:tcW w:w="720" w:type="dxa"/>
            <w:tcBorders>
              <w:top w:val="single" w:sz="5" w:space="0" w:color="000000"/>
              <w:left w:val="single" w:sz="5" w:space="0" w:color="000000"/>
              <w:bottom w:val="single" w:sz="5" w:space="0" w:color="000000"/>
              <w:right w:val="single" w:sz="5" w:space="0" w:color="000000"/>
            </w:tcBorders>
          </w:tcPr>
          <w:p w14:paraId="1C8772B6" w14:textId="77777777" w:rsidR="00957F89" w:rsidRPr="00C73849" w:rsidRDefault="00957F89"/>
        </w:tc>
        <w:tc>
          <w:tcPr>
            <w:tcW w:w="1080" w:type="dxa"/>
            <w:tcBorders>
              <w:top w:val="single" w:sz="5" w:space="0" w:color="000000"/>
              <w:left w:val="single" w:sz="5" w:space="0" w:color="000000"/>
              <w:bottom w:val="single" w:sz="5" w:space="0" w:color="000000"/>
              <w:right w:val="single" w:sz="5" w:space="0" w:color="000000"/>
            </w:tcBorders>
          </w:tcPr>
          <w:p w14:paraId="134863AC" w14:textId="77777777" w:rsidR="00957F89" w:rsidRPr="00C73849" w:rsidRDefault="00957F89"/>
        </w:tc>
        <w:tc>
          <w:tcPr>
            <w:tcW w:w="720" w:type="dxa"/>
            <w:tcBorders>
              <w:top w:val="single" w:sz="5" w:space="0" w:color="000000"/>
              <w:left w:val="single" w:sz="5" w:space="0" w:color="000000"/>
              <w:bottom w:val="single" w:sz="5" w:space="0" w:color="000000"/>
              <w:right w:val="single" w:sz="5" w:space="0" w:color="000000"/>
            </w:tcBorders>
          </w:tcPr>
          <w:p w14:paraId="5B246FC3" w14:textId="77777777" w:rsidR="00957F89" w:rsidRPr="00C73849" w:rsidRDefault="00957F89"/>
        </w:tc>
        <w:tc>
          <w:tcPr>
            <w:tcW w:w="1080" w:type="dxa"/>
            <w:tcBorders>
              <w:top w:val="single" w:sz="5" w:space="0" w:color="000000"/>
              <w:left w:val="single" w:sz="5" w:space="0" w:color="000000"/>
              <w:bottom w:val="single" w:sz="5" w:space="0" w:color="000000"/>
              <w:right w:val="single" w:sz="5" w:space="0" w:color="000000"/>
            </w:tcBorders>
          </w:tcPr>
          <w:p w14:paraId="1FE0611C" w14:textId="77777777" w:rsidR="00957F89" w:rsidRPr="00C73849" w:rsidRDefault="00957F89"/>
        </w:tc>
        <w:tc>
          <w:tcPr>
            <w:tcW w:w="720" w:type="dxa"/>
            <w:tcBorders>
              <w:top w:val="single" w:sz="5" w:space="0" w:color="000000"/>
              <w:left w:val="single" w:sz="5" w:space="0" w:color="000000"/>
              <w:bottom w:val="single" w:sz="5" w:space="0" w:color="000000"/>
              <w:right w:val="single" w:sz="5" w:space="0" w:color="000000"/>
            </w:tcBorders>
          </w:tcPr>
          <w:p w14:paraId="7DFA3DC5" w14:textId="77777777" w:rsidR="00957F89" w:rsidRPr="00C73849" w:rsidRDefault="00957F89"/>
        </w:tc>
        <w:tc>
          <w:tcPr>
            <w:tcW w:w="1080" w:type="dxa"/>
            <w:tcBorders>
              <w:top w:val="single" w:sz="5" w:space="0" w:color="000000"/>
              <w:left w:val="single" w:sz="5" w:space="0" w:color="000000"/>
              <w:bottom w:val="single" w:sz="5" w:space="0" w:color="000000"/>
              <w:right w:val="single" w:sz="5" w:space="0" w:color="000000"/>
            </w:tcBorders>
          </w:tcPr>
          <w:p w14:paraId="04209D2A" w14:textId="77777777" w:rsidR="00957F89" w:rsidRPr="00C73849" w:rsidRDefault="00957F89"/>
        </w:tc>
        <w:tc>
          <w:tcPr>
            <w:tcW w:w="720" w:type="dxa"/>
            <w:tcBorders>
              <w:top w:val="single" w:sz="5" w:space="0" w:color="000000"/>
              <w:left w:val="single" w:sz="5" w:space="0" w:color="000000"/>
              <w:bottom w:val="single" w:sz="5" w:space="0" w:color="000000"/>
              <w:right w:val="single" w:sz="5" w:space="0" w:color="000000"/>
            </w:tcBorders>
          </w:tcPr>
          <w:p w14:paraId="723A0BA1" w14:textId="77777777" w:rsidR="00957F89" w:rsidRPr="00C73849" w:rsidRDefault="00957F89"/>
        </w:tc>
        <w:tc>
          <w:tcPr>
            <w:tcW w:w="1080" w:type="dxa"/>
            <w:tcBorders>
              <w:top w:val="single" w:sz="5" w:space="0" w:color="000000"/>
              <w:left w:val="single" w:sz="5" w:space="0" w:color="000000"/>
              <w:bottom w:val="single" w:sz="5" w:space="0" w:color="000000"/>
              <w:right w:val="single" w:sz="5" w:space="0" w:color="000000"/>
            </w:tcBorders>
          </w:tcPr>
          <w:p w14:paraId="37DD023F" w14:textId="77777777" w:rsidR="00957F89" w:rsidRPr="00C73849" w:rsidRDefault="00957F89"/>
        </w:tc>
        <w:tc>
          <w:tcPr>
            <w:tcW w:w="720" w:type="dxa"/>
            <w:tcBorders>
              <w:top w:val="single" w:sz="5" w:space="0" w:color="000000"/>
              <w:left w:val="single" w:sz="5" w:space="0" w:color="000000"/>
              <w:bottom w:val="single" w:sz="5" w:space="0" w:color="000000"/>
              <w:right w:val="single" w:sz="5" w:space="0" w:color="000000"/>
            </w:tcBorders>
          </w:tcPr>
          <w:p w14:paraId="34ABEDF3" w14:textId="77777777" w:rsidR="00957F89" w:rsidRPr="00C73849" w:rsidRDefault="00957F89"/>
        </w:tc>
        <w:tc>
          <w:tcPr>
            <w:tcW w:w="1080" w:type="dxa"/>
            <w:tcBorders>
              <w:top w:val="single" w:sz="5" w:space="0" w:color="000000"/>
              <w:left w:val="single" w:sz="5" w:space="0" w:color="000000"/>
              <w:bottom w:val="single" w:sz="5" w:space="0" w:color="000000"/>
              <w:right w:val="single" w:sz="5" w:space="0" w:color="000000"/>
            </w:tcBorders>
          </w:tcPr>
          <w:p w14:paraId="42D44C8F" w14:textId="77777777" w:rsidR="00957F89" w:rsidRPr="00C73849" w:rsidRDefault="00957F89"/>
        </w:tc>
        <w:tc>
          <w:tcPr>
            <w:tcW w:w="630" w:type="dxa"/>
            <w:tcBorders>
              <w:top w:val="single" w:sz="5" w:space="0" w:color="000000"/>
              <w:left w:val="single" w:sz="5" w:space="0" w:color="000000"/>
              <w:bottom w:val="single" w:sz="5" w:space="0" w:color="000000"/>
              <w:right w:val="single" w:sz="12" w:space="0" w:color="000000"/>
            </w:tcBorders>
          </w:tcPr>
          <w:p w14:paraId="6589D626" w14:textId="77777777" w:rsidR="00957F89" w:rsidRPr="00C73849" w:rsidRDefault="00957F89"/>
        </w:tc>
      </w:tr>
      <w:tr w:rsidR="00957F89" w:rsidRPr="00C73849" w14:paraId="166397BD" w14:textId="77777777" w:rsidTr="00E878A6">
        <w:trPr>
          <w:trHeight w:hRule="exact" w:val="240"/>
        </w:trPr>
        <w:tc>
          <w:tcPr>
            <w:tcW w:w="1385" w:type="dxa"/>
            <w:tcBorders>
              <w:top w:val="single" w:sz="5" w:space="0" w:color="000000"/>
              <w:left w:val="single" w:sz="12" w:space="0" w:color="000000"/>
              <w:bottom w:val="single" w:sz="5" w:space="0" w:color="000000"/>
              <w:right w:val="single" w:sz="5" w:space="0" w:color="000000"/>
            </w:tcBorders>
          </w:tcPr>
          <w:p w14:paraId="5BEB4060" w14:textId="77777777" w:rsidR="00957F89" w:rsidRPr="00C73849" w:rsidRDefault="00D92D87">
            <w:pPr>
              <w:pStyle w:val="TableParagraph"/>
              <w:spacing w:line="222" w:lineRule="exact"/>
              <w:ind w:left="262"/>
              <w:rPr>
                <w:rFonts w:ascii="Times New Roman" w:eastAsia="Times New Roman" w:hAnsi="Times New Roman" w:cs="Times New Roman"/>
                <w:sz w:val="20"/>
                <w:szCs w:val="20"/>
              </w:rPr>
            </w:pPr>
            <w:r w:rsidRPr="00C73849">
              <w:rPr>
                <w:rFonts w:ascii="Times New Roman"/>
                <w:sz w:val="20"/>
              </w:rPr>
              <w:t>Mild</w:t>
            </w:r>
          </w:p>
        </w:tc>
        <w:tc>
          <w:tcPr>
            <w:tcW w:w="1049" w:type="dxa"/>
            <w:tcBorders>
              <w:top w:val="single" w:sz="5" w:space="0" w:color="000000"/>
              <w:left w:val="single" w:sz="5" w:space="0" w:color="000000"/>
              <w:bottom w:val="single" w:sz="5" w:space="0" w:color="000000"/>
              <w:right w:val="single" w:sz="5" w:space="0" w:color="000000"/>
            </w:tcBorders>
          </w:tcPr>
          <w:p w14:paraId="6B1179B7" w14:textId="77777777" w:rsidR="00957F89" w:rsidRPr="00C73849" w:rsidRDefault="00D92D87">
            <w:pPr>
              <w:pStyle w:val="TableParagraph"/>
              <w:spacing w:line="222" w:lineRule="exact"/>
              <w:ind w:left="356"/>
              <w:rPr>
                <w:rFonts w:ascii="Times New Roman" w:eastAsia="Times New Roman" w:hAnsi="Times New Roman" w:cs="Times New Roman"/>
                <w:sz w:val="20"/>
                <w:szCs w:val="20"/>
              </w:rPr>
            </w:pPr>
            <w:r w:rsidRPr="00C73849">
              <w:rPr>
                <w:rFonts w:ascii="Times New Roman"/>
                <w:sz w:val="20"/>
              </w:rPr>
              <w:t>0 (0%)</w:t>
            </w:r>
          </w:p>
        </w:tc>
        <w:tc>
          <w:tcPr>
            <w:tcW w:w="720" w:type="dxa"/>
            <w:tcBorders>
              <w:top w:val="single" w:sz="5" w:space="0" w:color="000000"/>
              <w:left w:val="single" w:sz="5" w:space="0" w:color="000000"/>
              <w:bottom w:val="single" w:sz="5" w:space="0" w:color="000000"/>
              <w:right w:val="single" w:sz="5" w:space="0" w:color="000000"/>
            </w:tcBorders>
          </w:tcPr>
          <w:p w14:paraId="18774F54" w14:textId="77777777" w:rsidR="00957F89" w:rsidRPr="00C73849" w:rsidRDefault="00D92D87">
            <w:pPr>
              <w:pStyle w:val="TableParagraph"/>
              <w:spacing w:line="222" w:lineRule="exact"/>
              <w:ind w:right="3"/>
              <w:jc w:val="center"/>
              <w:rPr>
                <w:rFonts w:ascii="Times New Roman" w:eastAsia="Times New Roman" w:hAnsi="Times New Roman" w:cs="Times New Roman"/>
                <w:sz w:val="20"/>
                <w:szCs w:val="20"/>
              </w:rPr>
            </w:pPr>
            <w:r w:rsidRPr="00C73849">
              <w:rPr>
                <w:rFonts w:ascii="Times New Roman"/>
                <w:sz w:val="20"/>
              </w:rPr>
              <w:t>0</w:t>
            </w:r>
          </w:p>
        </w:tc>
        <w:tc>
          <w:tcPr>
            <w:tcW w:w="1080" w:type="dxa"/>
            <w:tcBorders>
              <w:top w:val="single" w:sz="5" w:space="0" w:color="000000"/>
              <w:left w:val="single" w:sz="5" w:space="0" w:color="000000"/>
              <w:bottom w:val="single" w:sz="5" w:space="0" w:color="000000"/>
              <w:right w:val="single" w:sz="5" w:space="0" w:color="000000"/>
            </w:tcBorders>
          </w:tcPr>
          <w:p w14:paraId="342B0815" w14:textId="77777777" w:rsidR="00957F89" w:rsidRPr="00C73849" w:rsidRDefault="00D92D87">
            <w:pPr>
              <w:pStyle w:val="TableParagraph"/>
              <w:spacing w:line="222" w:lineRule="exact"/>
              <w:ind w:left="303"/>
              <w:rPr>
                <w:rFonts w:ascii="Times New Roman" w:eastAsia="Times New Roman" w:hAnsi="Times New Roman" w:cs="Times New Roman"/>
                <w:sz w:val="20"/>
                <w:szCs w:val="20"/>
              </w:rPr>
            </w:pPr>
            <w:r w:rsidRPr="00C73849">
              <w:rPr>
                <w:rFonts w:ascii="Times New Roman"/>
                <w:sz w:val="20"/>
              </w:rPr>
              <w:t>3 (75%)</w:t>
            </w:r>
          </w:p>
        </w:tc>
        <w:tc>
          <w:tcPr>
            <w:tcW w:w="720" w:type="dxa"/>
            <w:tcBorders>
              <w:top w:val="single" w:sz="5" w:space="0" w:color="000000"/>
              <w:left w:val="single" w:sz="5" w:space="0" w:color="000000"/>
              <w:bottom w:val="single" w:sz="5" w:space="0" w:color="000000"/>
              <w:right w:val="single" w:sz="5" w:space="0" w:color="000000"/>
            </w:tcBorders>
          </w:tcPr>
          <w:p w14:paraId="71E1DACD" w14:textId="77777777" w:rsidR="00957F89" w:rsidRPr="00C73849" w:rsidRDefault="00D92D87">
            <w:pPr>
              <w:pStyle w:val="TableParagraph"/>
              <w:spacing w:line="222" w:lineRule="exact"/>
              <w:ind w:right="1"/>
              <w:jc w:val="center"/>
              <w:rPr>
                <w:rFonts w:ascii="Times New Roman" w:eastAsia="Times New Roman" w:hAnsi="Times New Roman" w:cs="Times New Roman"/>
                <w:sz w:val="20"/>
                <w:szCs w:val="20"/>
              </w:rPr>
            </w:pPr>
            <w:r w:rsidRPr="00C73849">
              <w:rPr>
                <w:rFonts w:ascii="Times New Roman"/>
                <w:sz w:val="20"/>
              </w:rPr>
              <w:t>4</w:t>
            </w:r>
          </w:p>
        </w:tc>
        <w:tc>
          <w:tcPr>
            <w:tcW w:w="1080" w:type="dxa"/>
            <w:tcBorders>
              <w:top w:val="single" w:sz="5" w:space="0" w:color="000000"/>
              <w:left w:val="single" w:sz="5" w:space="0" w:color="000000"/>
              <w:bottom w:val="single" w:sz="5" w:space="0" w:color="000000"/>
              <w:right w:val="single" w:sz="5" w:space="0" w:color="000000"/>
            </w:tcBorders>
          </w:tcPr>
          <w:p w14:paraId="0093EE20" w14:textId="77777777" w:rsidR="00957F89" w:rsidRPr="00C73849" w:rsidRDefault="00D92D87">
            <w:pPr>
              <w:pStyle w:val="TableParagraph"/>
              <w:spacing w:line="222" w:lineRule="exact"/>
              <w:ind w:left="255"/>
              <w:rPr>
                <w:rFonts w:ascii="Times New Roman" w:eastAsia="Times New Roman" w:hAnsi="Times New Roman" w:cs="Times New Roman"/>
                <w:sz w:val="20"/>
                <w:szCs w:val="20"/>
              </w:rPr>
            </w:pPr>
            <w:r w:rsidRPr="00C73849">
              <w:rPr>
                <w:rFonts w:ascii="Times New Roman"/>
                <w:sz w:val="20"/>
              </w:rPr>
              <w:t>4 (100%)</w:t>
            </w:r>
          </w:p>
        </w:tc>
        <w:tc>
          <w:tcPr>
            <w:tcW w:w="720" w:type="dxa"/>
            <w:tcBorders>
              <w:top w:val="single" w:sz="5" w:space="0" w:color="000000"/>
              <w:left w:val="single" w:sz="5" w:space="0" w:color="000000"/>
              <w:bottom w:val="single" w:sz="5" w:space="0" w:color="000000"/>
              <w:right w:val="single" w:sz="5" w:space="0" w:color="000000"/>
            </w:tcBorders>
          </w:tcPr>
          <w:p w14:paraId="4622FAA5"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5</w:t>
            </w:r>
          </w:p>
        </w:tc>
        <w:tc>
          <w:tcPr>
            <w:tcW w:w="1080" w:type="dxa"/>
            <w:tcBorders>
              <w:top w:val="single" w:sz="5" w:space="0" w:color="000000"/>
              <w:left w:val="single" w:sz="5" w:space="0" w:color="000000"/>
              <w:bottom w:val="single" w:sz="5" w:space="0" w:color="000000"/>
              <w:right w:val="single" w:sz="5" w:space="0" w:color="000000"/>
            </w:tcBorders>
          </w:tcPr>
          <w:p w14:paraId="46F66E8C" w14:textId="77777777" w:rsidR="00957F89" w:rsidRPr="00C73849" w:rsidRDefault="00D92D87">
            <w:pPr>
              <w:pStyle w:val="TableParagraph"/>
              <w:spacing w:line="222" w:lineRule="exact"/>
              <w:ind w:left="306"/>
              <w:rPr>
                <w:rFonts w:ascii="Times New Roman" w:eastAsia="Times New Roman" w:hAnsi="Times New Roman" w:cs="Times New Roman"/>
                <w:sz w:val="20"/>
                <w:szCs w:val="20"/>
              </w:rPr>
            </w:pPr>
            <w:r w:rsidRPr="00C73849">
              <w:rPr>
                <w:rFonts w:ascii="Times New Roman"/>
                <w:sz w:val="20"/>
              </w:rPr>
              <w:t>5 (63%)</w:t>
            </w:r>
          </w:p>
        </w:tc>
        <w:tc>
          <w:tcPr>
            <w:tcW w:w="720" w:type="dxa"/>
            <w:tcBorders>
              <w:top w:val="single" w:sz="5" w:space="0" w:color="000000"/>
              <w:left w:val="single" w:sz="5" w:space="0" w:color="000000"/>
              <w:bottom w:val="single" w:sz="5" w:space="0" w:color="000000"/>
              <w:right w:val="single" w:sz="5" w:space="0" w:color="000000"/>
            </w:tcBorders>
          </w:tcPr>
          <w:p w14:paraId="76FBD7A8" w14:textId="77777777" w:rsidR="00957F89" w:rsidRPr="00C73849" w:rsidRDefault="00D92D87">
            <w:pPr>
              <w:pStyle w:val="TableParagraph"/>
              <w:spacing w:line="222" w:lineRule="exact"/>
              <w:ind w:right="1"/>
              <w:jc w:val="center"/>
              <w:rPr>
                <w:rFonts w:ascii="Times New Roman" w:eastAsia="Times New Roman" w:hAnsi="Times New Roman" w:cs="Times New Roman"/>
                <w:sz w:val="20"/>
                <w:szCs w:val="20"/>
              </w:rPr>
            </w:pPr>
            <w:r w:rsidRPr="00C73849">
              <w:rPr>
                <w:rFonts w:ascii="Times New Roman"/>
                <w:sz w:val="20"/>
              </w:rPr>
              <w:t>10</w:t>
            </w:r>
          </w:p>
        </w:tc>
        <w:tc>
          <w:tcPr>
            <w:tcW w:w="1080" w:type="dxa"/>
            <w:tcBorders>
              <w:top w:val="single" w:sz="5" w:space="0" w:color="000000"/>
              <w:left w:val="single" w:sz="5" w:space="0" w:color="000000"/>
              <w:bottom w:val="single" w:sz="5" w:space="0" w:color="000000"/>
              <w:right w:val="single" w:sz="5" w:space="0" w:color="000000"/>
            </w:tcBorders>
          </w:tcPr>
          <w:p w14:paraId="368D5054" w14:textId="77777777" w:rsidR="00957F89" w:rsidRPr="00C73849" w:rsidRDefault="00D92D87">
            <w:pPr>
              <w:pStyle w:val="TableParagraph"/>
              <w:spacing w:line="222" w:lineRule="exact"/>
              <w:ind w:left="306"/>
              <w:rPr>
                <w:rFonts w:ascii="Times New Roman" w:eastAsia="Times New Roman" w:hAnsi="Times New Roman" w:cs="Times New Roman"/>
                <w:sz w:val="20"/>
                <w:szCs w:val="20"/>
              </w:rPr>
            </w:pPr>
            <w:r w:rsidRPr="00C73849">
              <w:rPr>
                <w:rFonts w:ascii="Times New Roman"/>
                <w:sz w:val="20"/>
              </w:rPr>
              <w:t>3 (75%)</w:t>
            </w:r>
          </w:p>
        </w:tc>
        <w:tc>
          <w:tcPr>
            <w:tcW w:w="720" w:type="dxa"/>
            <w:tcBorders>
              <w:top w:val="single" w:sz="5" w:space="0" w:color="000000"/>
              <w:left w:val="single" w:sz="5" w:space="0" w:color="000000"/>
              <w:bottom w:val="single" w:sz="5" w:space="0" w:color="000000"/>
              <w:right w:val="single" w:sz="5" w:space="0" w:color="000000"/>
            </w:tcBorders>
          </w:tcPr>
          <w:p w14:paraId="664F6993"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12</w:t>
            </w:r>
          </w:p>
        </w:tc>
        <w:tc>
          <w:tcPr>
            <w:tcW w:w="1080" w:type="dxa"/>
            <w:tcBorders>
              <w:top w:val="single" w:sz="5" w:space="0" w:color="000000"/>
              <w:left w:val="single" w:sz="5" w:space="0" w:color="000000"/>
              <w:bottom w:val="single" w:sz="5" w:space="0" w:color="000000"/>
              <w:right w:val="single" w:sz="5" w:space="0" w:color="000000"/>
            </w:tcBorders>
          </w:tcPr>
          <w:p w14:paraId="0F921C0C" w14:textId="77777777" w:rsidR="00957F89" w:rsidRPr="00C73849" w:rsidRDefault="00D92D87">
            <w:pPr>
              <w:pStyle w:val="TableParagraph"/>
              <w:spacing w:line="222" w:lineRule="exact"/>
              <w:ind w:left="306"/>
              <w:rPr>
                <w:rFonts w:ascii="Times New Roman" w:eastAsia="Times New Roman" w:hAnsi="Times New Roman" w:cs="Times New Roman"/>
                <w:sz w:val="20"/>
                <w:szCs w:val="20"/>
              </w:rPr>
            </w:pPr>
            <w:r w:rsidRPr="00C73849">
              <w:rPr>
                <w:rFonts w:ascii="Times New Roman"/>
                <w:sz w:val="20"/>
              </w:rPr>
              <w:t>3 (25%)</w:t>
            </w:r>
          </w:p>
        </w:tc>
        <w:tc>
          <w:tcPr>
            <w:tcW w:w="630" w:type="dxa"/>
            <w:tcBorders>
              <w:top w:val="single" w:sz="5" w:space="0" w:color="000000"/>
              <w:left w:val="single" w:sz="5" w:space="0" w:color="000000"/>
              <w:bottom w:val="single" w:sz="5" w:space="0" w:color="000000"/>
              <w:right w:val="single" w:sz="12" w:space="0" w:color="000000"/>
            </w:tcBorders>
          </w:tcPr>
          <w:p w14:paraId="734AC48F" w14:textId="77777777" w:rsidR="00957F89" w:rsidRPr="00C73849" w:rsidRDefault="00D92D87">
            <w:pPr>
              <w:pStyle w:val="TableParagraph"/>
              <w:spacing w:line="222" w:lineRule="exact"/>
              <w:ind w:left="6"/>
              <w:jc w:val="center"/>
              <w:rPr>
                <w:rFonts w:ascii="Times New Roman" w:eastAsia="Times New Roman" w:hAnsi="Times New Roman" w:cs="Times New Roman"/>
                <w:sz w:val="20"/>
                <w:szCs w:val="20"/>
              </w:rPr>
            </w:pPr>
            <w:r w:rsidRPr="00C73849">
              <w:rPr>
                <w:rFonts w:ascii="Times New Roman"/>
                <w:sz w:val="20"/>
              </w:rPr>
              <w:t>6</w:t>
            </w:r>
          </w:p>
        </w:tc>
      </w:tr>
      <w:tr w:rsidR="00957F89" w:rsidRPr="00C73849" w14:paraId="7DB334C1" w14:textId="77777777" w:rsidTr="00E878A6">
        <w:trPr>
          <w:trHeight w:hRule="exact" w:val="240"/>
        </w:trPr>
        <w:tc>
          <w:tcPr>
            <w:tcW w:w="1385" w:type="dxa"/>
            <w:tcBorders>
              <w:top w:val="single" w:sz="5" w:space="0" w:color="000000"/>
              <w:left w:val="single" w:sz="12" w:space="0" w:color="000000"/>
              <w:bottom w:val="single" w:sz="5" w:space="0" w:color="000000"/>
              <w:right w:val="single" w:sz="5" w:space="0" w:color="000000"/>
            </w:tcBorders>
          </w:tcPr>
          <w:p w14:paraId="05C0F5D2" w14:textId="77777777" w:rsidR="00957F89" w:rsidRPr="00C73849" w:rsidRDefault="00D92D87">
            <w:pPr>
              <w:pStyle w:val="TableParagraph"/>
              <w:spacing w:line="222" w:lineRule="exact"/>
              <w:ind w:left="262"/>
              <w:rPr>
                <w:rFonts w:ascii="Times New Roman" w:eastAsia="Times New Roman" w:hAnsi="Times New Roman" w:cs="Times New Roman"/>
                <w:sz w:val="20"/>
                <w:szCs w:val="20"/>
              </w:rPr>
            </w:pPr>
            <w:r w:rsidRPr="00C73849">
              <w:rPr>
                <w:rFonts w:ascii="Times New Roman"/>
                <w:sz w:val="20"/>
              </w:rPr>
              <w:t>Moderate</w:t>
            </w:r>
          </w:p>
        </w:tc>
        <w:tc>
          <w:tcPr>
            <w:tcW w:w="1049" w:type="dxa"/>
            <w:tcBorders>
              <w:top w:val="single" w:sz="5" w:space="0" w:color="000000"/>
              <w:left w:val="single" w:sz="5" w:space="0" w:color="000000"/>
              <w:bottom w:val="single" w:sz="5" w:space="0" w:color="000000"/>
              <w:right w:val="single" w:sz="5" w:space="0" w:color="000000"/>
            </w:tcBorders>
          </w:tcPr>
          <w:p w14:paraId="56A329B1" w14:textId="77777777" w:rsidR="00957F89" w:rsidRPr="00C73849" w:rsidRDefault="00D92D87">
            <w:pPr>
              <w:pStyle w:val="TableParagraph"/>
              <w:spacing w:line="222" w:lineRule="exact"/>
              <w:ind w:left="356"/>
              <w:rPr>
                <w:rFonts w:ascii="Times New Roman" w:eastAsia="Times New Roman" w:hAnsi="Times New Roman" w:cs="Times New Roman"/>
                <w:sz w:val="20"/>
                <w:szCs w:val="20"/>
              </w:rPr>
            </w:pPr>
            <w:r w:rsidRPr="00C73849">
              <w:rPr>
                <w:rFonts w:ascii="Times New Roman"/>
                <w:sz w:val="20"/>
              </w:rPr>
              <w:t>0 (0%)</w:t>
            </w:r>
          </w:p>
        </w:tc>
        <w:tc>
          <w:tcPr>
            <w:tcW w:w="720" w:type="dxa"/>
            <w:tcBorders>
              <w:top w:val="single" w:sz="5" w:space="0" w:color="000000"/>
              <w:left w:val="single" w:sz="5" w:space="0" w:color="000000"/>
              <w:bottom w:val="single" w:sz="5" w:space="0" w:color="000000"/>
              <w:right w:val="single" w:sz="5" w:space="0" w:color="000000"/>
            </w:tcBorders>
          </w:tcPr>
          <w:p w14:paraId="4C83522D" w14:textId="77777777" w:rsidR="00957F89" w:rsidRPr="00C73849" w:rsidRDefault="00D92D87">
            <w:pPr>
              <w:pStyle w:val="TableParagraph"/>
              <w:spacing w:line="222" w:lineRule="exact"/>
              <w:ind w:right="3"/>
              <w:jc w:val="center"/>
              <w:rPr>
                <w:rFonts w:ascii="Times New Roman" w:eastAsia="Times New Roman" w:hAnsi="Times New Roman" w:cs="Times New Roman"/>
                <w:sz w:val="20"/>
                <w:szCs w:val="20"/>
              </w:rPr>
            </w:pPr>
            <w:r w:rsidRPr="00C73849">
              <w:rPr>
                <w:rFonts w:ascii="Times New Roman"/>
                <w:sz w:val="20"/>
              </w:rPr>
              <w:t>0</w:t>
            </w:r>
          </w:p>
        </w:tc>
        <w:tc>
          <w:tcPr>
            <w:tcW w:w="1080" w:type="dxa"/>
            <w:tcBorders>
              <w:top w:val="single" w:sz="5" w:space="0" w:color="000000"/>
              <w:left w:val="single" w:sz="5" w:space="0" w:color="000000"/>
              <w:bottom w:val="single" w:sz="5" w:space="0" w:color="000000"/>
              <w:right w:val="single" w:sz="5" w:space="0" w:color="000000"/>
            </w:tcBorders>
          </w:tcPr>
          <w:p w14:paraId="64F4713F" w14:textId="77777777" w:rsidR="00957F89" w:rsidRPr="00C73849" w:rsidRDefault="00D92D87">
            <w:pPr>
              <w:pStyle w:val="TableParagraph"/>
              <w:spacing w:line="222" w:lineRule="exact"/>
              <w:ind w:left="354"/>
              <w:rPr>
                <w:rFonts w:ascii="Times New Roman" w:eastAsia="Times New Roman" w:hAnsi="Times New Roman" w:cs="Times New Roman"/>
                <w:sz w:val="20"/>
                <w:szCs w:val="20"/>
              </w:rPr>
            </w:pPr>
            <w:r w:rsidRPr="00C73849">
              <w:rPr>
                <w:rFonts w:ascii="Times New Roman"/>
                <w:sz w:val="20"/>
              </w:rPr>
              <w:t>0 (0%)</w:t>
            </w:r>
          </w:p>
        </w:tc>
        <w:tc>
          <w:tcPr>
            <w:tcW w:w="720" w:type="dxa"/>
            <w:tcBorders>
              <w:top w:val="single" w:sz="5" w:space="0" w:color="000000"/>
              <w:left w:val="single" w:sz="5" w:space="0" w:color="000000"/>
              <w:bottom w:val="single" w:sz="5" w:space="0" w:color="000000"/>
              <w:right w:val="single" w:sz="5" w:space="0" w:color="000000"/>
            </w:tcBorders>
          </w:tcPr>
          <w:p w14:paraId="10A9631E" w14:textId="77777777" w:rsidR="00957F89" w:rsidRPr="00C73849" w:rsidRDefault="00D92D87">
            <w:pPr>
              <w:pStyle w:val="TableParagraph"/>
              <w:spacing w:line="222" w:lineRule="exact"/>
              <w:ind w:right="1"/>
              <w:jc w:val="center"/>
              <w:rPr>
                <w:rFonts w:ascii="Times New Roman" w:eastAsia="Times New Roman" w:hAnsi="Times New Roman" w:cs="Times New Roman"/>
                <w:sz w:val="20"/>
                <w:szCs w:val="20"/>
              </w:rPr>
            </w:pPr>
            <w:r w:rsidRPr="00C73849">
              <w:rPr>
                <w:rFonts w:ascii="Times New Roman"/>
                <w:sz w:val="20"/>
              </w:rPr>
              <w:t>0</w:t>
            </w:r>
          </w:p>
        </w:tc>
        <w:tc>
          <w:tcPr>
            <w:tcW w:w="1080" w:type="dxa"/>
            <w:tcBorders>
              <w:top w:val="single" w:sz="5" w:space="0" w:color="000000"/>
              <w:left w:val="single" w:sz="5" w:space="0" w:color="000000"/>
              <w:bottom w:val="single" w:sz="5" w:space="0" w:color="000000"/>
              <w:right w:val="single" w:sz="5" w:space="0" w:color="000000"/>
            </w:tcBorders>
          </w:tcPr>
          <w:p w14:paraId="4D4C3896" w14:textId="77777777" w:rsidR="00957F89" w:rsidRPr="00C73849" w:rsidRDefault="00D92D87">
            <w:pPr>
              <w:pStyle w:val="TableParagraph"/>
              <w:spacing w:line="222" w:lineRule="exact"/>
              <w:ind w:left="356"/>
              <w:rPr>
                <w:rFonts w:ascii="Times New Roman" w:eastAsia="Times New Roman" w:hAnsi="Times New Roman" w:cs="Times New Roman"/>
                <w:sz w:val="20"/>
                <w:szCs w:val="20"/>
              </w:rPr>
            </w:pPr>
            <w:r w:rsidRPr="00C73849">
              <w:rPr>
                <w:rFonts w:ascii="Times New Roman"/>
                <w:sz w:val="20"/>
              </w:rPr>
              <w:t>0 (0%)</w:t>
            </w:r>
          </w:p>
        </w:tc>
        <w:tc>
          <w:tcPr>
            <w:tcW w:w="720" w:type="dxa"/>
            <w:tcBorders>
              <w:top w:val="single" w:sz="5" w:space="0" w:color="000000"/>
              <w:left w:val="single" w:sz="5" w:space="0" w:color="000000"/>
              <w:bottom w:val="single" w:sz="5" w:space="0" w:color="000000"/>
              <w:right w:val="single" w:sz="5" w:space="0" w:color="000000"/>
            </w:tcBorders>
          </w:tcPr>
          <w:p w14:paraId="00239F4C"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0</w:t>
            </w:r>
          </w:p>
        </w:tc>
        <w:tc>
          <w:tcPr>
            <w:tcW w:w="1080" w:type="dxa"/>
            <w:tcBorders>
              <w:top w:val="single" w:sz="5" w:space="0" w:color="000000"/>
              <w:left w:val="single" w:sz="5" w:space="0" w:color="000000"/>
              <w:bottom w:val="single" w:sz="5" w:space="0" w:color="000000"/>
              <w:right w:val="single" w:sz="5" w:space="0" w:color="000000"/>
            </w:tcBorders>
          </w:tcPr>
          <w:p w14:paraId="71A2E10D" w14:textId="77777777" w:rsidR="00957F89" w:rsidRPr="00C73849" w:rsidRDefault="00D92D87">
            <w:pPr>
              <w:pStyle w:val="TableParagraph"/>
              <w:spacing w:line="222" w:lineRule="exact"/>
              <w:ind w:left="357"/>
              <w:rPr>
                <w:rFonts w:ascii="Times New Roman" w:eastAsia="Times New Roman" w:hAnsi="Times New Roman" w:cs="Times New Roman"/>
                <w:sz w:val="20"/>
                <w:szCs w:val="20"/>
              </w:rPr>
            </w:pPr>
            <w:r w:rsidRPr="00C73849">
              <w:rPr>
                <w:rFonts w:ascii="Times New Roman"/>
                <w:sz w:val="20"/>
              </w:rPr>
              <w:t>0 (0%)</w:t>
            </w:r>
          </w:p>
        </w:tc>
        <w:tc>
          <w:tcPr>
            <w:tcW w:w="720" w:type="dxa"/>
            <w:tcBorders>
              <w:top w:val="single" w:sz="5" w:space="0" w:color="000000"/>
              <w:left w:val="single" w:sz="5" w:space="0" w:color="000000"/>
              <w:bottom w:val="single" w:sz="5" w:space="0" w:color="000000"/>
              <w:right w:val="single" w:sz="5" w:space="0" w:color="000000"/>
            </w:tcBorders>
          </w:tcPr>
          <w:p w14:paraId="10A0A3A4"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0</w:t>
            </w:r>
          </w:p>
        </w:tc>
        <w:tc>
          <w:tcPr>
            <w:tcW w:w="1080" w:type="dxa"/>
            <w:tcBorders>
              <w:top w:val="single" w:sz="5" w:space="0" w:color="000000"/>
              <w:left w:val="single" w:sz="5" w:space="0" w:color="000000"/>
              <w:bottom w:val="single" w:sz="5" w:space="0" w:color="000000"/>
              <w:right w:val="single" w:sz="5" w:space="0" w:color="000000"/>
            </w:tcBorders>
          </w:tcPr>
          <w:p w14:paraId="7DB28C70" w14:textId="77777777" w:rsidR="00957F89" w:rsidRPr="00C73849" w:rsidRDefault="00D92D87">
            <w:pPr>
              <w:pStyle w:val="TableParagraph"/>
              <w:spacing w:line="222" w:lineRule="exact"/>
              <w:ind w:left="306"/>
              <w:rPr>
                <w:rFonts w:ascii="Times New Roman" w:eastAsia="Times New Roman" w:hAnsi="Times New Roman" w:cs="Times New Roman"/>
                <w:sz w:val="20"/>
                <w:szCs w:val="20"/>
              </w:rPr>
            </w:pPr>
            <w:r w:rsidRPr="00C73849">
              <w:rPr>
                <w:rFonts w:ascii="Times New Roman"/>
                <w:sz w:val="20"/>
              </w:rPr>
              <w:t>2 (50%)</w:t>
            </w:r>
          </w:p>
        </w:tc>
        <w:tc>
          <w:tcPr>
            <w:tcW w:w="720" w:type="dxa"/>
            <w:tcBorders>
              <w:top w:val="single" w:sz="5" w:space="0" w:color="000000"/>
              <w:left w:val="single" w:sz="5" w:space="0" w:color="000000"/>
              <w:bottom w:val="single" w:sz="5" w:space="0" w:color="000000"/>
              <w:right w:val="single" w:sz="5" w:space="0" w:color="000000"/>
            </w:tcBorders>
          </w:tcPr>
          <w:p w14:paraId="45C297ED" w14:textId="77777777" w:rsidR="00957F89" w:rsidRPr="00C73849" w:rsidRDefault="00D92D87">
            <w:pPr>
              <w:pStyle w:val="TableParagraph"/>
              <w:spacing w:line="222" w:lineRule="exact"/>
              <w:ind w:right="1"/>
              <w:jc w:val="center"/>
              <w:rPr>
                <w:rFonts w:ascii="Times New Roman" w:eastAsia="Times New Roman" w:hAnsi="Times New Roman" w:cs="Times New Roman"/>
                <w:sz w:val="20"/>
                <w:szCs w:val="20"/>
              </w:rPr>
            </w:pPr>
            <w:r w:rsidRPr="00C73849">
              <w:rPr>
                <w:rFonts w:ascii="Times New Roman"/>
                <w:sz w:val="20"/>
              </w:rPr>
              <w:t>3</w:t>
            </w:r>
          </w:p>
        </w:tc>
        <w:tc>
          <w:tcPr>
            <w:tcW w:w="1080" w:type="dxa"/>
            <w:tcBorders>
              <w:top w:val="single" w:sz="5" w:space="0" w:color="000000"/>
              <w:left w:val="single" w:sz="5" w:space="0" w:color="000000"/>
              <w:bottom w:val="single" w:sz="5" w:space="0" w:color="000000"/>
              <w:right w:val="single" w:sz="5" w:space="0" w:color="000000"/>
            </w:tcBorders>
          </w:tcPr>
          <w:p w14:paraId="554B4706" w14:textId="77777777" w:rsidR="00957F89" w:rsidRPr="00C73849" w:rsidRDefault="00D92D87">
            <w:pPr>
              <w:pStyle w:val="TableParagraph"/>
              <w:spacing w:line="222" w:lineRule="exact"/>
              <w:ind w:left="357"/>
              <w:rPr>
                <w:rFonts w:ascii="Times New Roman" w:eastAsia="Times New Roman" w:hAnsi="Times New Roman" w:cs="Times New Roman"/>
                <w:sz w:val="20"/>
                <w:szCs w:val="20"/>
              </w:rPr>
            </w:pPr>
            <w:r w:rsidRPr="00C73849">
              <w:rPr>
                <w:rFonts w:ascii="Times New Roman"/>
                <w:sz w:val="20"/>
              </w:rPr>
              <w:t>0 (0%)</w:t>
            </w:r>
          </w:p>
        </w:tc>
        <w:tc>
          <w:tcPr>
            <w:tcW w:w="630" w:type="dxa"/>
            <w:tcBorders>
              <w:top w:val="single" w:sz="5" w:space="0" w:color="000000"/>
              <w:left w:val="single" w:sz="5" w:space="0" w:color="000000"/>
              <w:bottom w:val="single" w:sz="5" w:space="0" w:color="000000"/>
              <w:right w:val="single" w:sz="12" w:space="0" w:color="000000"/>
            </w:tcBorders>
          </w:tcPr>
          <w:p w14:paraId="43F0888C" w14:textId="77777777" w:rsidR="00957F89" w:rsidRPr="00C73849" w:rsidRDefault="00D92D87">
            <w:pPr>
              <w:pStyle w:val="TableParagraph"/>
              <w:spacing w:line="222" w:lineRule="exact"/>
              <w:ind w:left="7"/>
              <w:jc w:val="center"/>
              <w:rPr>
                <w:rFonts w:ascii="Times New Roman" w:eastAsia="Times New Roman" w:hAnsi="Times New Roman" w:cs="Times New Roman"/>
                <w:sz w:val="20"/>
                <w:szCs w:val="20"/>
              </w:rPr>
            </w:pPr>
            <w:r w:rsidRPr="00C73849">
              <w:rPr>
                <w:rFonts w:ascii="Times New Roman"/>
                <w:sz w:val="20"/>
              </w:rPr>
              <w:t>0</w:t>
            </w:r>
          </w:p>
        </w:tc>
      </w:tr>
      <w:tr w:rsidR="00957F89" w:rsidRPr="00C73849" w14:paraId="169FF5B6" w14:textId="77777777" w:rsidTr="00E878A6">
        <w:trPr>
          <w:trHeight w:hRule="exact" w:val="240"/>
        </w:trPr>
        <w:tc>
          <w:tcPr>
            <w:tcW w:w="1385" w:type="dxa"/>
            <w:tcBorders>
              <w:top w:val="single" w:sz="5" w:space="0" w:color="000000"/>
              <w:left w:val="single" w:sz="12" w:space="0" w:color="000000"/>
              <w:bottom w:val="single" w:sz="5" w:space="0" w:color="000000"/>
              <w:right w:val="single" w:sz="5" w:space="0" w:color="000000"/>
            </w:tcBorders>
          </w:tcPr>
          <w:p w14:paraId="5EFBBE68" w14:textId="77777777" w:rsidR="00957F89" w:rsidRPr="00C73849" w:rsidRDefault="00D92D87">
            <w:pPr>
              <w:pStyle w:val="TableParagraph"/>
              <w:spacing w:line="222" w:lineRule="exact"/>
              <w:ind w:left="262"/>
              <w:rPr>
                <w:rFonts w:ascii="Times New Roman" w:eastAsia="Times New Roman" w:hAnsi="Times New Roman" w:cs="Times New Roman"/>
                <w:sz w:val="20"/>
                <w:szCs w:val="20"/>
              </w:rPr>
            </w:pPr>
            <w:r w:rsidRPr="00C73849">
              <w:rPr>
                <w:rFonts w:ascii="Times New Roman"/>
                <w:sz w:val="20"/>
              </w:rPr>
              <w:t>Severe</w:t>
            </w:r>
          </w:p>
        </w:tc>
        <w:tc>
          <w:tcPr>
            <w:tcW w:w="1049" w:type="dxa"/>
            <w:tcBorders>
              <w:top w:val="single" w:sz="5" w:space="0" w:color="000000"/>
              <w:left w:val="single" w:sz="5" w:space="0" w:color="000000"/>
              <w:bottom w:val="single" w:sz="5" w:space="0" w:color="000000"/>
              <w:right w:val="single" w:sz="5" w:space="0" w:color="000000"/>
            </w:tcBorders>
          </w:tcPr>
          <w:p w14:paraId="7AC48401" w14:textId="77777777" w:rsidR="00957F89" w:rsidRPr="00C73849" w:rsidRDefault="00D92D87">
            <w:pPr>
              <w:pStyle w:val="TableParagraph"/>
              <w:spacing w:line="222" w:lineRule="exact"/>
              <w:ind w:left="356"/>
              <w:rPr>
                <w:rFonts w:ascii="Times New Roman" w:eastAsia="Times New Roman" w:hAnsi="Times New Roman" w:cs="Times New Roman"/>
                <w:sz w:val="20"/>
                <w:szCs w:val="20"/>
              </w:rPr>
            </w:pPr>
            <w:r w:rsidRPr="00C73849">
              <w:rPr>
                <w:rFonts w:ascii="Times New Roman"/>
                <w:sz w:val="20"/>
              </w:rPr>
              <w:t>0 (0%)</w:t>
            </w:r>
          </w:p>
        </w:tc>
        <w:tc>
          <w:tcPr>
            <w:tcW w:w="720" w:type="dxa"/>
            <w:tcBorders>
              <w:top w:val="single" w:sz="5" w:space="0" w:color="000000"/>
              <w:left w:val="single" w:sz="5" w:space="0" w:color="000000"/>
              <w:bottom w:val="single" w:sz="5" w:space="0" w:color="000000"/>
              <w:right w:val="single" w:sz="5" w:space="0" w:color="000000"/>
            </w:tcBorders>
          </w:tcPr>
          <w:p w14:paraId="60090D9A" w14:textId="77777777" w:rsidR="00957F89" w:rsidRPr="00C73849" w:rsidRDefault="00D92D87">
            <w:pPr>
              <w:pStyle w:val="TableParagraph"/>
              <w:spacing w:line="222" w:lineRule="exact"/>
              <w:ind w:right="3"/>
              <w:jc w:val="center"/>
              <w:rPr>
                <w:rFonts w:ascii="Times New Roman" w:eastAsia="Times New Roman" w:hAnsi="Times New Roman" w:cs="Times New Roman"/>
                <w:sz w:val="20"/>
                <w:szCs w:val="20"/>
              </w:rPr>
            </w:pPr>
            <w:r w:rsidRPr="00C73849">
              <w:rPr>
                <w:rFonts w:ascii="Times New Roman"/>
                <w:sz w:val="20"/>
              </w:rPr>
              <w:t>0</w:t>
            </w:r>
          </w:p>
        </w:tc>
        <w:tc>
          <w:tcPr>
            <w:tcW w:w="1080" w:type="dxa"/>
            <w:tcBorders>
              <w:top w:val="single" w:sz="5" w:space="0" w:color="000000"/>
              <w:left w:val="single" w:sz="5" w:space="0" w:color="000000"/>
              <w:bottom w:val="single" w:sz="5" w:space="0" w:color="000000"/>
              <w:right w:val="single" w:sz="5" w:space="0" w:color="000000"/>
            </w:tcBorders>
          </w:tcPr>
          <w:p w14:paraId="565BB4DF" w14:textId="77777777" w:rsidR="00957F89" w:rsidRPr="00C73849" w:rsidRDefault="00D92D87">
            <w:pPr>
              <w:pStyle w:val="TableParagraph"/>
              <w:spacing w:line="222" w:lineRule="exact"/>
              <w:ind w:left="354"/>
              <w:rPr>
                <w:rFonts w:ascii="Times New Roman" w:eastAsia="Times New Roman" w:hAnsi="Times New Roman" w:cs="Times New Roman"/>
                <w:sz w:val="20"/>
                <w:szCs w:val="20"/>
              </w:rPr>
            </w:pPr>
            <w:r w:rsidRPr="00C73849">
              <w:rPr>
                <w:rFonts w:ascii="Times New Roman"/>
                <w:sz w:val="20"/>
              </w:rPr>
              <w:t>0 (0%)</w:t>
            </w:r>
          </w:p>
        </w:tc>
        <w:tc>
          <w:tcPr>
            <w:tcW w:w="720" w:type="dxa"/>
            <w:tcBorders>
              <w:top w:val="single" w:sz="5" w:space="0" w:color="000000"/>
              <w:left w:val="single" w:sz="5" w:space="0" w:color="000000"/>
              <w:bottom w:val="single" w:sz="5" w:space="0" w:color="000000"/>
              <w:right w:val="single" w:sz="5" w:space="0" w:color="000000"/>
            </w:tcBorders>
          </w:tcPr>
          <w:p w14:paraId="1736A662" w14:textId="77777777" w:rsidR="00957F89" w:rsidRPr="00C73849" w:rsidRDefault="00D92D87">
            <w:pPr>
              <w:pStyle w:val="TableParagraph"/>
              <w:spacing w:line="222" w:lineRule="exact"/>
              <w:ind w:right="1"/>
              <w:jc w:val="center"/>
              <w:rPr>
                <w:rFonts w:ascii="Times New Roman" w:eastAsia="Times New Roman" w:hAnsi="Times New Roman" w:cs="Times New Roman"/>
                <w:sz w:val="20"/>
                <w:szCs w:val="20"/>
              </w:rPr>
            </w:pPr>
            <w:r w:rsidRPr="00C73849">
              <w:rPr>
                <w:rFonts w:ascii="Times New Roman"/>
                <w:sz w:val="20"/>
              </w:rPr>
              <w:t>0</w:t>
            </w:r>
          </w:p>
        </w:tc>
        <w:tc>
          <w:tcPr>
            <w:tcW w:w="1080" w:type="dxa"/>
            <w:tcBorders>
              <w:top w:val="single" w:sz="5" w:space="0" w:color="000000"/>
              <w:left w:val="single" w:sz="5" w:space="0" w:color="000000"/>
              <w:bottom w:val="single" w:sz="5" w:space="0" w:color="000000"/>
              <w:right w:val="single" w:sz="5" w:space="0" w:color="000000"/>
            </w:tcBorders>
          </w:tcPr>
          <w:p w14:paraId="2699A923" w14:textId="77777777" w:rsidR="00957F89" w:rsidRPr="00C73849" w:rsidRDefault="00D92D87">
            <w:pPr>
              <w:pStyle w:val="TableParagraph"/>
              <w:spacing w:line="222" w:lineRule="exact"/>
              <w:ind w:left="356"/>
              <w:rPr>
                <w:rFonts w:ascii="Times New Roman" w:eastAsia="Times New Roman" w:hAnsi="Times New Roman" w:cs="Times New Roman"/>
                <w:sz w:val="20"/>
                <w:szCs w:val="20"/>
              </w:rPr>
            </w:pPr>
            <w:r w:rsidRPr="00C73849">
              <w:rPr>
                <w:rFonts w:ascii="Times New Roman"/>
                <w:sz w:val="20"/>
              </w:rPr>
              <w:t>0 (0%)</w:t>
            </w:r>
          </w:p>
        </w:tc>
        <w:tc>
          <w:tcPr>
            <w:tcW w:w="720" w:type="dxa"/>
            <w:tcBorders>
              <w:top w:val="single" w:sz="5" w:space="0" w:color="000000"/>
              <w:left w:val="single" w:sz="5" w:space="0" w:color="000000"/>
              <w:bottom w:val="single" w:sz="5" w:space="0" w:color="000000"/>
              <w:right w:val="single" w:sz="5" w:space="0" w:color="000000"/>
            </w:tcBorders>
          </w:tcPr>
          <w:p w14:paraId="6FFA6BA5"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0</w:t>
            </w:r>
          </w:p>
        </w:tc>
        <w:tc>
          <w:tcPr>
            <w:tcW w:w="1080" w:type="dxa"/>
            <w:tcBorders>
              <w:top w:val="single" w:sz="5" w:space="0" w:color="000000"/>
              <w:left w:val="single" w:sz="5" w:space="0" w:color="000000"/>
              <w:bottom w:val="single" w:sz="5" w:space="0" w:color="000000"/>
              <w:right w:val="single" w:sz="5" w:space="0" w:color="000000"/>
            </w:tcBorders>
          </w:tcPr>
          <w:p w14:paraId="7500812A" w14:textId="77777777" w:rsidR="00957F89" w:rsidRPr="00C73849" w:rsidRDefault="00D92D87">
            <w:pPr>
              <w:pStyle w:val="TableParagraph"/>
              <w:spacing w:line="222" w:lineRule="exact"/>
              <w:ind w:left="357"/>
              <w:rPr>
                <w:rFonts w:ascii="Times New Roman" w:eastAsia="Times New Roman" w:hAnsi="Times New Roman" w:cs="Times New Roman"/>
                <w:sz w:val="20"/>
                <w:szCs w:val="20"/>
              </w:rPr>
            </w:pPr>
            <w:r w:rsidRPr="00C73849">
              <w:rPr>
                <w:rFonts w:ascii="Times New Roman"/>
                <w:sz w:val="20"/>
              </w:rPr>
              <w:t>0 (0%)</w:t>
            </w:r>
          </w:p>
        </w:tc>
        <w:tc>
          <w:tcPr>
            <w:tcW w:w="720" w:type="dxa"/>
            <w:tcBorders>
              <w:top w:val="single" w:sz="5" w:space="0" w:color="000000"/>
              <w:left w:val="single" w:sz="5" w:space="0" w:color="000000"/>
              <w:bottom w:val="single" w:sz="5" w:space="0" w:color="000000"/>
              <w:right w:val="single" w:sz="5" w:space="0" w:color="000000"/>
            </w:tcBorders>
          </w:tcPr>
          <w:p w14:paraId="2F681B93"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0</w:t>
            </w:r>
          </w:p>
        </w:tc>
        <w:tc>
          <w:tcPr>
            <w:tcW w:w="1080" w:type="dxa"/>
            <w:tcBorders>
              <w:top w:val="single" w:sz="5" w:space="0" w:color="000000"/>
              <w:left w:val="single" w:sz="5" w:space="0" w:color="000000"/>
              <w:bottom w:val="single" w:sz="5" w:space="0" w:color="000000"/>
              <w:right w:val="single" w:sz="5" w:space="0" w:color="000000"/>
            </w:tcBorders>
          </w:tcPr>
          <w:p w14:paraId="47F69EDC" w14:textId="77777777" w:rsidR="00957F89" w:rsidRPr="00C73849" w:rsidRDefault="00D92D87">
            <w:pPr>
              <w:pStyle w:val="TableParagraph"/>
              <w:spacing w:line="222" w:lineRule="exact"/>
              <w:ind w:left="306"/>
              <w:rPr>
                <w:rFonts w:ascii="Times New Roman" w:eastAsia="Times New Roman" w:hAnsi="Times New Roman" w:cs="Times New Roman"/>
                <w:sz w:val="20"/>
                <w:szCs w:val="20"/>
              </w:rPr>
            </w:pPr>
            <w:r w:rsidRPr="00C73849">
              <w:rPr>
                <w:rFonts w:ascii="Times New Roman"/>
                <w:sz w:val="20"/>
              </w:rPr>
              <w:t>1 (25%)</w:t>
            </w:r>
          </w:p>
        </w:tc>
        <w:tc>
          <w:tcPr>
            <w:tcW w:w="720" w:type="dxa"/>
            <w:tcBorders>
              <w:top w:val="single" w:sz="5" w:space="0" w:color="000000"/>
              <w:left w:val="single" w:sz="5" w:space="0" w:color="000000"/>
              <w:bottom w:val="single" w:sz="5" w:space="0" w:color="000000"/>
              <w:right w:val="single" w:sz="5" w:space="0" w:color="000000"/>
            </w:tcBorders>
          </w:tcPr>
          <w:p w14:paraId="5B392A33" w14:textId="77777777" w:rsidR="00957F89" w:rsidRPr="00C73849" w:rsidRDefault="00D92D87">
            <w:pPr>
              <w:pStyle w:val="TableParagraph"/>
              <w:spacing w:line="222" w:lineRule="exact"/>
              <w:ind w:right="1"/>
              <w:jc w:val="center"/>
              <w:rPr>
                <w:rFonts w:ascii="Times New Roman" w:eastAsia="Times New Roman" w:hAnsi="Times New Roman" w:cs="Times New Roman"/>
                <w:sz w:val="20"/>
                <w:szCs w:val="20"/>
              </w:rPr>
            </w:pPr>
            <w:r w:rsidRPr="00C73849">
              <w:rPr>
                <w:rFonts w:ascii="Times New Roman"/>
                <w:sz w:val="20"/>
              </w:rPr>
              <w:t>1</w:t>
            </w:r>
          </w:p>
        </w:tc>
        <w:tc>
          <w:tcPr>
            <w:tcW w:w="1080" w:type="dxa"/>
            <w:tcBorders>
              <w:top w:val="single" w:sz="5" w:space="0" w:color="000000"/>
              <w:left w:val="single" w:sz="5" w:space="0" w:color="000000"/>
              <w:bottom w:val="single" w:sz="5" w:space="0" w:color="000000"/>
              <w:right w:val="single" w:sz="5" w:space="0" w:color="000000"/>
            </w:tcBorders>
          </w:tcPr>
          <w:p w14:paraId="3B14BCEC" w14:textId="77777777" w:rsidR="00957F89" w:rsidRPr="00C73849" w:rsidRDefault="00D92D87">
            <w:pPr>
              <w:pStyle w:val="TableParagraph"/>
              <w:spacing w:line="222" w:lineRule="exact"/>
              <w:ind w:left="357"/>
              <w:rPr>
                <w:rFonts w:ascii="Times New Roman" w:eastAsia="Times New Roman" w:hAnsi="Times New Roman" w:cs="Times New Roman"/>
                <w:sz w:val="20"/>
                <w:szCs w:val="20"/>
              </w:rPr>
            </w:pPr>
            <w:r w:rsidRPr="00C73849">
              <w:rPr>
                <w:rFonts w:ascii="Times New Roman"/>
                <w:sz w:val="20"/>
              </w:rPr>
              <w:t>0 (0%)</w:t>
            </w:r>
          </w:p>
        </w:tc>
        <w:tc>
          <w:tcPr>
            <w:tcW w:w="630" w:type="dxa"/>
            <w:tcBorders>
              <w:top w:val="single" w:sz="5" w:space="0" w:color="000000"/>
              <w:left w:val="single" w:sz="5" w:space="0" w:color="000000"/>
              <w:bottom w:val="single" w:sz="5" w:space="0" w:color="000000"/>
              <w:right w:val="single" w:sz="12" w:space="0" w:color="000000"/>
            </w:tcBorders>
          </w:tcPr>
          <w:p w14:paraId="25A06DC5" w14:textId="77777777" w:rsidR="00957F89" w:rsidRPr="00C73849" w:rsidRDefault="00D92D87">
            <w:pPr>
              <w:pStyle w:val="TableParagraph"/>
              <w:spacing w:line="222" w:lineRule="exact"/>
              <w:ind w:left="7"/>
              <w:jc w:val="center"/>
              <w:rPr>
                <w:rFonts w:ascii="Times New Roman" w:eastAsia="Times New Roman" w:hAnsi="Times New Roman" w:cs="Times New Roman"/>
                <w:sz w:val="20"/>
                <w:szCs w:val="20"/>
              </w:rPr>
            </w:pPr>
            <w:r w:rsidRPr="00C73849">
              <w:rPr>
                <w:rFonts w:ascii="Times New Roman"/>
                <w:sz w:val="20"/>
              </w:rPr>
              <w:t>0</w:t>
            </w:r>
          </w:p>
        </w:tc>
      </w:tr>
      <w:tr w:rsidR="00957F89" w:rsidRPr="00C73849" w14:paraId="455AAA1C" w14:textId="77777777" w:rsidTr="00E878A6">
        <w:trPr>
          <w:trHeight w:hRule="exact" w:val="240"/>
        </w:trPr>
        <w:tc>
          <w:tcPr>
            <w:tcW w:w="1385" w:type="dxa"/>
            <w:tcBorders>
              <w:top w:val="single" w:sz="5" w:space="0" w:color="000000"/>
              <w:left w:val="single" w:sz="12" w:space="0" w:color="000000"/>
              <w:bottom w:val="single" w:sz="5" w:space="0" w:color="000000"/>
              <w:right w:val="single" w:sz="5" w:space="0" w:color="000000"/>
            </w:tcBorders>
          </w:tcPr>
          <w:p w14:paraId="11A2041D" w14:textId="77777777" w:rsidR="00957F89" w:rsidRPr="00C73849" w:rsidRDefault="00D92D87">
            <w:pPr>
              <w:pStyle w:val="TableParagraph"/>
              <w:spacing w:line="227" w:lineRule="exact"/>
              <w:ind w:left="92"/>
              <w:rPr>
                <w:rFonts w:ascii="Times New Roman" w:eastAsia="Times New Roman" w:hAnsi="Times New Roman" w:cs="Times New Roman"/>
                <w:sz w:val="20"/>
                <w:szCs w:val="20"/>
              </w:rPr>
            </w:pPr>
            <w:r w:rsidRPr="00C73849">
              <w:rPr>
                <w:rFonts w:ascii="Times New Roman"/>
                <w:b/>
                <w:sz w:val="20"/>
              </w:rPr>
              <w:t>Serious AEs</w:t>
            </w:r>
          </w:p>
        </w:tc>
        <w:tc>
          <w:tcPr>
            <w:tcW w:w="1049" w:type="dxa"/>
            <w:tcBorders>
              <w:top w:val="single" w:sz="5" w:space="0" w:color="000000"/>
              <w:left w:val="single" w:sz="5" w:space="0" w:color="000000"/>
              <w:bottom w:val="single" w:sz="5" w:space="0" w:color="000000"/>
              <w:right w:val="single" w:sz="5" w:space="0" w:color="000000"/>
            </w:tcBorders>
          </w:tcPr>
          <w:p w14:paraId="0F847A78" w14:textId="77777777" w:rsidR="00957F89" w:rsidRPr="00C73849" w:rsidRDefault="00D92D87">
            <w:pPr>
              <w:pStyle w:val="TableParagraph"/>
              <w:spacing w:line="222" w:lineRule="exact"/>
              <w:ind w:left="356"/>
              <w:rPr>
                <w:rFonts w:ascii="Times New Roman" w:eastAsia="Times New Roman" w:hAnsi="Times New Roman" w:cs="Times New Roman"/>
                <w:sz w:val="20"/>
                <w:szCs w:val="20"/>
              </w:rPr>
            </w:pPr>
            <w:r w:rsidRPr="00C73849">
              <w:rPr>
                <w:rFonts w:ascii="Times New Roman"/>
                <w:sz w:val="20"/>
              </w:rPr>
              <w:t>0 (0%)</w:t>
            </w:r>
          </w:p>
        </w:tc>
        <w:tc>
          <w:tcPr>
            <w:tcW w:w="720" w:type="dxa"/>
            <w:tcBorders>
              <w:top w:val="single" w:sz="5" w:space="0" w:color="000000"/>
              <w:left w:val="single" w:sz="5" w:space="0" w:color="000000"/>
              <w:bottom w:val="single" w:sz="5" w:space="0" w:color="000000"/>
              <w:right w:val="single" w:sz="5" w:space="0" w:color="000000"/>
            </w:tcBorders>
          </w:tcPr>
          <w:p w14:paraId="685B0E54" w14:textId="77777777" w:rsidR="00957F89" w:rsidRPr="00C73849" w:rsidRDefault="00D92D87">
            <w:pPr>
              <w:pStyle w:val="TableParagraph"/>
              <w:spacing w:line="222" w:lineRule="exact"/>
              <w:ind w:right="3"/>
              <w:jc w:val="center"/>
              <w:rPr>
                <w:rFonts w:ascii="Times New Roman" w:eastAsia="Times New Roman" w:hAnsi="Times New Roman" w:cs="Times New Roman"/>
                <w:sz w:val="20"/>
                <w:szCs w:val="20"/>
              </w:rPr>
            </w:pPr>
            <w:r w:rsidRPr="00C73849">
              <w:rPr>
                <w:rFonts w:ascii="Times New Roman"/>
                <w:sz w:val="20"/>
              </w:rPr>
              <w:t>0</w:t>
            </w:r>
          </w:p>
        </w:tc>
        <w:tc>
          <w:tcPr>
            <w:tcW w:w="1080" w:type="dxa"/>
            <w:tcBorders>
              <w:top w:val="single" w:sz="5" w:space="0" w:color="000000"/>
              <w:left w:val="single" w:sz="5" w:space="0" w:color="000000"/>
              <w:bottom w:val="single" w:sz="5" w:space="0" w:color="000000"/>
              <w:right w:val="single" w:sz="5" w:space="0" w:color="000000"/>
            </w:tcBorders>
          </w:tcPr>
          <w:p w14:paraId="0841AA53" w14:textId="77777777" w:rsidR="00957F89" w:rsidRPr="00C73849" w:rsidRDefault="00D92D87">
            <w:pPr>
              <w:pStyle w:val="TableParagraph"/>
              <w:spacing w:line="222" w:lineRule="exact"/>
              <w:ind w:left="354"/>
              <w:rPr>
                <w:rFonts w:ascii="Times New Roman" w:eastAsia="Times New Roman" w:hAnsi="Times New Roman" w:cs="Times New Roman"/>
                <w:sz w:val="20"/>
                <w:szCs w:val="20"/>
              </w:rPr>
            </w:pPr>
            <w:r w:rsidRPr="00C73849">
              <w:rPr>
                <w:rFonts w:ascii="Times New Roman"/>
                <w:sz w:val="20"/>
              </w:rPr>
              <w:t>0 (0%)</w:t>
            </w:r>
          </w:p>
        </w:tc>
        <w:tc>
          <w:tcPr>
            <w:tcW w:w="720" w:type="dxa"/>
            <w:tcBorders>
              <w:top w:val="single" w:sz="5" w:space="0" w:color="000000"/>
              <w:left w:val="single" w:sz="5" w:space="0" w:color="000000"/>
              <w:bottom w:val="single" w:sz="5" w:space="0" w:color="000000"/>
              <w:right w:val="single" w:sz="5" w:space="0" w:color="000000"/>
            </w:tcBorders>
          </w:tcPr>
          <w:p w14:paraId="5A2FE4A7" w14:textId="77777777" w:rsidR="00957F89" w:rsidRPr="00C73849" w:rsidRDefault="00D92D87">
            <w:pPr>
              <w:pStyle w:val="TableParagraph"/>
              <w:spacing w:line="222" w:lineRule="exact"/>
              <w:ind w:right="1"/>
              <w:jc w:val="center"/>
              <w:rPr>
                <w:rFonts w:ascii="Times New Roman" w:eastAsia="Times New Roman" w:hAnsi="Times New Roman" w:cs="Times New Roman"/>
                <w:sz w:val="20"/>
                <w:szCs w:val="20"/>
              </w:rPr>
            </w:pPr>
            <w:r w:rsidRPr="00C73849">
              <w:rPr>
                <w:rFonts w:ascii="Times New Roman"/>
                <w:sz w:val="20"/>
              </w:rPr>
              <w:t>0</w:t>
            </w:r>
          </w:p>
        </w:tc>
        <w:tc>
          <w:tcPr>
            <w:tcW w:w="1080" w:type="dxa"/>
            <w:tcBorders>
              <w:top w:val="single" w:sz="5" w:space="0" w:color="000000"/>
              <w:left w:val="single" w:sz="5" w:space="0" w:color="000000"/>
              <w:bottom w:val="single" w:sz="5" w:space="0" w:color="000000"/>
              <w:right w:val="single" w:sz="5" w:space="0" w:color="000000"/>
            </w:tcBorders>
          </w:tcPr>
          <w:p w14:paraId="7A63C4D7" w14:textId="77777777" w:rsidR="00957F89" w:rsidRPr="00C73849" w:rsidRDefault="00D92D87">
            <w:pPr>
              <w:pStyle w:val="TableParagraph"/>
              <w:spacing w:line="222" w:lineRule="exact"/>
              <w:ind w:left="356"/>
              <w:rPr>
                <w:rFonts w:ascii="Times New Roman" w:eastAsia="Times New Roman" w:hAnsi="Times New Roman" w:cs="Times New Roman"/>
                <w:sz w:val="20"/>
                <w:szCs w:val="20"/>
              </w:rPr>
            </w:pPr>
            <w:r w:rsidRPr="00C73849">
              <w:rPr>
                <w:rFonts w:ascii="Times New Roman"/>
                <w:sz w:val="20"/>
              </w:rPr>
              <w:t>0 (0%)</w:t>
            </w:r>
          </w:p>
        </w:tc>
        <w:tc>
          <w:tcPr>
            <w:tcW w:w="720" w:type="dxa"/>
            <w:tcBorders>
              <w:top w:val="single" w:sz="5" w:space="0" w:color="000000"/>
              <w:left w:val="single" w:sz="5" w:space="0" w:color="000000"/>
              <w:bottom w:val="single" w:sz="5" w:space="0" w:color="000000"/>
              <w:right w:val="single" w:sz="5" w:space="0" w:color="000000"/>
            </w:tcBorders>
          </w:tcPr>
          <w:p w14:paraId="608354B4"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0</w:t>
            </w:r>
          </w:p>
        </w:tc>
        <w:tc>
          <w:tcPr>
            <w:tcW w:w="1080" w:type="dxa"/>
            <w:tcBorders>
              <w:top w:val="single" w:sz="5" w:space="0" w:color="000000"/>
              <w:left w:val="single" w:sz="5" w:space="0" w:color="000000"/>
              <w:bottom w:val="single" w:sz="5" w:space="0" w:color="000000"/>
              <w:right w:val="single" w:sz="5" w:space="0" w:color="000000"/>
            </w:tcBorders>
          </w:tcPr>
          <w:p w14:paraId="29556D1C" w14:textId="77777777" w:rsidR="00957F89" w:rsidRPr="00C73849" w:rsidRDefault="00D92D87">
            <w:pPr>
              <w:pStyle w:val="TableParagraph"/>
              <w:spacing w:line="222" w:lineRule="exact"/>
              <w:ind w:left="357"/>
              <w:rPr>
                <w:rFonts w:ascii="Times New Roman" w:eastAsia="Times New Roman" w:hAnsi="Times New Roman" w:cs="Times New Roman"/>
                <w:sz w:val="20"/>
                <w:szCs w:val="20"/>
              </w:rPr>
            </w:pPr>
            <w:r w:rsidRPr="00C73849">
              <w:rPr>
                <w:rFonts w:ascii="Times New Roman"/>
                <w:sz w:val="20"/>
              </w:rPr>
              <w:t>0 (0%)</w:t>
            </w:r>
          </w:p>
        </w:tc>
        <w:tc>
          <w:tcPr>
            <w:tcW w:w="720" w:type="dxa"/>
            <w:tcBorders>
              <w:top w:val="single" w:sz="5" w:space="0" w:color="000000"/>
              <w:left w:val="single" w:sz="5" w:space="0" w:color="000000"/>
              <w:bottom w:val="single" w:sz="5" w:space="0" w:color="000000"/>
              <w:right w:val="single" w:sz="5" w:space="0" w:color="000000"/>
            </w:tcBorders>
          </w:tcPr>
          <w:p w14:paraId="4D479E57"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0</w:t>
            </w:r>
          </w:p>
        </w:tc>
        <w:tc>
          <w:tcPr>
            <w:tcW w:w="1080" w:type="dxa"/>
            <w:tcBorders>
              <w:top w:val="single" w:sz="5" w:space="0" w:color="000000"/>
              <w:left w:val="single" w:sz="5" w:space="0" w:color="000000"/>
              <w:bottom w:val="single" w:sz="5" w:space="0" w:color="000000"/>
              <w:right w:val="single" w:sz="5" w:space="0" w:color="000000"/>
            </w:tcBorders>
          </w:tcPr>
          <w:p w14:paraId="4F926145" w14:textId="77777777" w:rsidR="00957F89" w:rsidRPr="00C73849" w:rsidRDefault="00D92D87">
            <w:pPr>
              <w:pStyle w:val="TableParagraph"/>
              <w:spacing w:line="222" w:lineRule="exact"/>
              <w:ind w:left="357"/>
              <w:rPr>
                <w:rFonts w:ascii="Times New Roman" w:eastAsia="Times New Roman" w:hAnsi="Times New Roman" w:cs="Times New Roman"/>
                <w:sz w:val="20"/>
                <w:szCs w:val="20"/>
              </w:rPr>
            </w:pPr>
            <w:r w:rsidRPr="00C73849">
              <w:rPr>
                <w:rFonts w:ascii="Times New Roman"/>
                <w:sz w:val="20"/>
              </w:rPr>
              <w:t>0 (0%)</w:t>
            </w:r>
          </w:p>
        </w:tc>
        <w:tc>
          <w:tcPr>
            <w:tcW w:w="720" w:type="dxa"/>
            <w:tcBorders>
              <w:top w:val="single" w:sz="5" w:space="0" w:color="000000"/>
              <w:left w:val="single" w:sz="5" w:space="0" w:color="000000"/>
              <w:bottom w:val="single" w:sz="5" w:space="0" w:color="000000"/>
              <w:right w:val="single" w:sz="5" w:space="0" w:color="000000"/>
            </w:tcBorders>
          </w:tcPr>
          <w:p w14:paraId="3DAA82F6"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0</w:t>
            </w:r>
          </w:p>
        </w:tc>
        <w:tc>
          <w:tcPr>
            <w:tcW w:w="1080" w:type="dxa"/>
            <w:tcBorders>
              <w:top w:val="single" w:sz="5" w:space="0" w:color="000000"/>
              <w:left w:val="single" w:sz="5" w:space="0" w:color="000000"/>
              <w:bottom w:val="single" w:sz="5" w:space="0" w:color="000000"/>
              <w:right w:val="single" w:sz="5" w:space="0" w:color="000000"/>
            </w:tcBorders>
          </w:tcPr>
          <w:p w14:paraId="516EEA9D" w14:textId="77777777" w:rsidR="00957F89" w:rsidRPr="00C73849" w:rsidRDefault="00D92D87">
            <w:pPr>
              <w:pStyle w:val="TableParagraph"/>
              <w:spacing w:line="222" w:lineRule="exact"/>
              <w:ind w:left="357"/>
              <w:rPr>
                <w:rFonts w:ascii="Times New Roman" w:eastAsia="Times New Roman" w:hAnsi="Times New Roman" w:cs="Times New Roman"/>
                <w:sz w:val="20"/>
                <w:szCs w:val="20"/>
              </w:rPr>
            </w:pPr>
            <w:r w:rsidRPr="00C73849">
              <w:rPr>
                <w:rFonts w:ascii="Times New Roman"/>
                <w:sz w:val="20"/>
              </w:rPr>
              <w:t>0 (0%)</w:t>
            </w:r>
          </w:p>
        </w:tc>
        <w:tc>
          <w:tcPr>
            <w:tcW w:w="630" w:type="dxa"/>
            <w:tcBorders>
              <w:top w:val="single" w:sz="5" w:space="0" w:color="000000"/>
              <w:left w:val="single" w:sz="5" w:space="0" w:color="000000"/>
              <w:bottom w:val="single" w:sz="5" w:space="0" w:color="000000"/>
              <w:right w:val="single" w:sz="12" w:space="0" w:color="000000"/>
            </w:tcBorders>
          </w:tcPr>
          <w:p w14:paraId="272B5B4F" w14:textId="77777777" w:rsidR="00957F89" w:rsidRPr="00C73849" w:rsidRDefault="00D92D87">
            <w:pPr>
              <w:pStyle w:val="TableParagraph"/>
              <w:spacing w:line="222" w:lineRule="exact"/>
              <w:ind w:left="7"/>
              <w:jc w:val="center"/>
              <w:rPr>
                <w:rFonts w:ascii="Times New Roman" w:eastAsia="Times New Roman" w:hAnsi="Times New Roman" w:cs="Times New Roman"/>
                <w:sz w:val="20"/>
                <w:szCs w:val="20"/>
              </w:rPr>
            </w:pPr>
            <w:r w:rsidRPr="00C73849">
              <w:rPr>
                <w:rFonts w:ascii="Times New Roman"/>
                <w:sz w:val="20"/>
              </w:rPr>
              <w:t>0</w:t>
            </w:r>
          </w:p>
        </w:tc>
      </w:tr>
      <w:tr w:rsidR="00957F89" w:rsidRPr="00C73849" w14:paraId="040849B1" w14:textId="77777777" w:rsidTr="00E878A6">
        <w:trPr>
          <w:trHeight w:hRule="exact" w:val="470"/>
        </w:trPr>
        <w:tc>
          <w:tcPr>
            <w:tcW w:w="1385" w:type="dxa"/>
            <w:tcBorders>
              <w:top w:val="single" w:sz="5" w:space="0" w:color="000000"/>
              <w:left w:val="single" w:sz="12" w:space="0" w:color="000000"/>
              <w:bottom w:val="single" w:sz="5" w:space="0" w:color="000000"/>
              <w:right w:val="single" w:sz="5" w:space="0" w:color="000000"/>
            </w:tcBorders>
          </w:tcPr>
          <w:p w14:paraId="423CC7CB" w14:textId="77777777" w:rsidR="00957F89" w:rsidRPr="00C73849" w:rsidRDefault="00D92D87">
            <w:pPr>
              <w:pStyle w:val="TableParagraph"/>
              <w:ind w:left="92" w:right="157"/>
              <w:rPr>
                <w:rFonts w:ascii="Times New Roman" w:eastAsia="Times New Roman" w:hAnsi="Times New Roman" w:cs="Times New Roman"/>
                <w:sz w:val="20"/>
                <w:szCs w:val="20"/>
              </w:rPr>
            </w:pPr>
            <w:r w:rsidRPr="00C73849">
              <w:rPr>
                <w:rFonts w:ascii="Times New Roman"/>
                <w:b/>
                <w:w w:val="95"/>
                <w:sz w:val="20"/>
              </w:rPr>
              <w:t>Withdrawals</w:t>
            </w:r>
            <w:r w:rsidRPr="00C73849">
              <w:rPr>
                <w:rFonts w:ascii="Times New Roman"/>
                <w:b/>
                <w:w w:val="99"/>
                <w:sz w:val="20"/>
              </w:rPr>
              <w:t xml:space="preserve"> </w:t>
            </w:r>
            <w:r w:rsidRPr="00C73849">
              <w:rPr>
                <w:rFonts w:ascii="Times New Roman"/>
                <w:b/>
                <w:sz w:val="20"/>
              </w:rPr>
              <w:t>due to AE</w:t>
            </w:r>
          </w:p>
        </w:tc>
        <w:tc>
          <w:tcPr>
            <w:tcW w:w="1049" w:type="dxa"/>
            <w:tcBorders>
              <w:top w:val="single" w:sz="5" w:space="0" w:color="000000"/>
              <w:left w:val="single" w:sz="5" w:space="0" w:color="000000"/>
              <w:bottom w:val="single" w:sz="5" w:space="0" w:color="000000"/>
              <w:right w:val="single" w:sz="5" w:space="0" w:color="000000"/>
            </w:tcBorders>
          </w:tcPr>
          <w:p w14:paraId="30C9857F" w14:textId="77777777" w:rsidR="00957F89" w:rsidRPr="00C73849" w:rsidRDefault="00D92D87">
            <w:pPr>
              <w:pStyle w:val="TableParagraph"/>
              <w:spacing w:line="222" w:lineRule="exact"/>
              <w:ind w:left="356"/>
              <w:rPr>
                <w:rFonts w:ascii="Times New Roman" w:eastAsia="Times New Roman" w:hAnsi="Times New Roman" w:cs="Times New Roman"/>
                <w:sz w:val="20"/>
                <w:szCs w:val="20"/>
              </w:rPr>
            </w:pPr>
            <w:r w:rsidRPr="00C73849">
              <w:rPr>
                <w:rFonts w:ascii="Times New Roman"/>
                <w:sz w:val="20"/>
              </w:rPr>
              <w:t>0 (0%)</w:t>
            </w:r>
          </w:p>
        </w:tc>
        <w:tc>
          <w:tcPr>
            <w:tcW w:w="720" w:type="dxa"/>
            <w:tcBorders>
              <w:top w:val="single" w:sz="5" w:space="0" w:color="000000"/>
              <w:left w:val="single" w:sz="5" w:space="0" w:color="000000"/>
              <w:bottom w:val="single" w:sz="5" w:space="0" w:color="000000"/>
              <w:right w:val="single" w:sz="5" w:space="0" w:color="000000"/>
            </w:tcBorders>
          </w:tcPr>
          <w:p w14:paraId="3E132F4E" w14:textId="77777777" w:rsidR="00957F89" w:rsidRPr="00C73849" w:rsidRDefault="00D92D87">
            <w:pPr>
              <w:pStyle w:val="TableParagraph"/>
              <w:spacing w:line="222" w:lineRule="exact"/>
              <w:ind w:right="3"/>
              <w:jc w:val="center"/>
              <w:rPr>
                <w:rFonts w:ascii="Times New Roman" w:eastAsia="Times New Roman" w:hAnsi="Times New Roman" w:cs="Times New Roman"/>
                <w:sz w:val="20"/>
                <w:szCs w:val="20"/>
              </w:rPr>
            </w:pPr>
            <w:r w:rsidRPr="00C73849">
              <w:rPr>
                <w:rFonts w:ascii="Times New Roman"/>
                <w:sz w:val="20"/>
              </w:rPr>
              <w:t>0</w:t>
            </w:r>
          </w:p>
        </w:tc>
        <w:tc>
          <w:tcPr>
            <w:tcW w:w="1080" w:type="dxa"/>
            <w:tcBorders>
              <w:top w:val="single" w:sz="5" w:space="0" w:color="000000"/>
              <w:left w:val="single" w:sz="5" w:space="0" w:color="000000"/>
              <w:bottom w:val="single" w:sz="5" w:space="0" w:color="000000"/>
              <w:right w:val="single" w:sz="5" w:space="0" w:color="000000"/>
            </w:tcBorders>
          </w:tcPr>
          <w:p w14:paraId="010A98D5" w14:textId="77777777" w:rsidR="00957F89" w:rsidRPr="00C73849" w:rsidRDefault="00D92D87">
            <w:pPr>
              <w:pStyle w:val="TableParagraph"/>
              <w:spacing w:line="222" w:lineRule="exact"/>
              <w:ind w:left="354"/>
              <w:rPr>
                <w:rFonts w:ascii="Times New Roman" w:eastAsia="Times New Roman" w:hAnsi="Times New Roman" w:cs="Times New Roman"/>
                <w:sz w:val="20"/>
                <w:szCs w:val="20"/>
              </w:rPr>
            </w:pPr>
            <w:r w:rsidRPr="00C73849">
              <w:rPr>
                <w:rFonts w:ascii="Times New Roman"/>
                <w:sz w:val="20"/>
              </w:rPr>
              <w:t>0 (0%)</w:t>
            </w:r>
          </w:p>
        </w:tc>
        <w:tc>
          <w:tcPr>
            <w:tcW w:w="720" w:type="dxa"/>
            <w:tcBorders>
              <w:top w:val="single" w:sz="5" w:space="0" w:color="000000"/>
              <w:left w:val="single" w:sz="5" w:space="0" w:color="000000"/>
              <w:bottom w:val="single" w:sz="5" w:space="0" w:color="000000"/>
              <w:right w:val="single" w:sz="5" w:space="0" w:color="000000"/>
            </w:tcBorders>
          </w:tcPr>
          <w:p w14:paraId="0E95E086" w14:textId="77777777" w:rsidR="00957F89" w:rsidRPr="00C73849" w:rsidRDefault="00D92D87">
            <w:pPr>
              <w:pStyle w:val="TableParagraph"/>
              <w:spacing w:line="222" w:lineRule="exact"/>
              <w:ind w:right="1"/>
              <w:jc w:val="center"/>
              <w:rPr>
                <w:rFonts w:ascii="Times New Roman" w:eastAsia="Times New Roman" w:hAnsi="Times New Roman" w:cs="Times New Roman"/>
                <w:sz w:val="20"/>
                <w:szCs w:val="20"/>
              </w:rPr>
            </w:pPr>
            <w:r w:rsidRPr="00C73849">
              <w:rPr>
                <w:rFonts w:ascii="Times New Roman"/>
                <w:sz w:val="20"/>
              </w:rPr>
              <w:t>0</w:t>
            </w:r>
          </w:p>
        </w:tc>
        <w:tc>
          <w:tcPr>
            <w:tcW w:w="1080" w:type="dxa"/>
            <w:tcBorders>
              <w:top w:val="single" w:sz="5" w:space="0" w:color="000000"/>
              <w:left w:val="single" w:sz="5" w:space="0" w:color="000000"/>
              <w:bottom w:val="single" w:sz="5" w:space="0" w:color="000000"/>
              <w:right w:val="single" w:sz="5" w:space="0" w:color="000000"/>
            </w:tcBorders>
          </w:tcPr>
          <w:p w14:paraId="26D3308D" w14:textId="77777777" w:rsidR="00957F89" w:rsidRPr="00C73849" w:rsidRDefault="00D92D87">
            <w:pPr>
              <w:pStyle w:val="TableParagraph"/>
              <w:spacing w:line="222" w:lineRule="exact"/>
              <w:ind w:left="356"/>
              <w:rPr>
                <w:rFonts w:ascii="Times New Roman" w:eastAsia="Times New Roman" w:hAnsi="Times New Roman" w:cs="Times New Roman"/>
                <w:sz w:val="20"/>
                <w:szCs w:val="20"/>
              </w:rPr>
            </w:pPr>
            <w:r w:rsidRPr="00C73849">
              <w:rPr>
                <w:rFonts w:ascii="Times New Roman"/>
                <w:sz w:val="20"/>
              </w:rPr>
              <w:t>0 (0%)</w:t>
            </w:r>
          </w:p>
        </w:tc>
        <w:tc>
          <w:tcPr>
            <w:tcW w:w="720" w:type="dxa"/>
            <w:tcBorders>
              <w:top w:val="single" w:sz="5" w:space="0" w:color="000000"/>
              <w:left w:val="single" w:sz="5" w:space="0" w:color="000000"/>
              <w:bottom w:val="single" w:sz="5" w:space="0" w:color="000000"/>
              <w:right w:val="single" w:sz="5" w:space="0" w:color="000000"/>
            </w:tcBorders>
          </w:tcPr>
          <w:p w14:paraId="0EFA5539"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0</w:t>
            </w:r>
          </w:p>
        </w:tc>
        <w:tc>
          <w:tcPr>
            <w:tcW w:w="1080" w:type="dxa"/>
            <w:tcBorders>
              <w:top w:val="single" w:sz="5" w:space="0" w:color="000000"/>
              <w:left w:val="single" w:sz="5" w:space="0" w:color="000000"/>
              <w:bottom w:val="single" w:sz="5" w:space="0" w:color="000000"/>
              <w:right w:val="single" w:sz="5" w:space="0" w:color="000000"/>
            </w:tcBorders>
          </w:tcPr>
          <w:p w14:paraId="34A42C2F" w14:textId="77777777" w:rsidR="00957F89" w:rsidRPr="00C73849" w:rsidRDefault="00D92D87">
            <w:pPr>
              <w:pStyle w:val="TableParagraph"/>
              <w:spacing w:line="222" w:lineRule="exact"/>
              <w:ind w:left="357"/>
              <w:rPr>
                <w:rFonts w:ascii="Times New Roman" w:eastAsia="Times New Roman" w:hAnsi="Times New Roman" w:cs="Times New Roman"/>
                <w:sz w:val="20"/>
                <w:szCs w:val="20"/>
              </w:rPr>
            </w:pPr>
            <w:r w:rsidRPr="00C73849">
              <w:rPr>
                <w:rFonts w:ascii="Times New Roman"/>
                <w:sz w:val="20"/>
              </w:rPr>
              <w:t>0 (0%)</w:t>
            </w:r>
          </w:p>
        </w:tc>
        <w:tc>
          <w:tcPr>
            <w:tcW w:w="720" w:type="dxa"/>
            <w:tcBorders>
              <w:top w:val="single" w:sz="5" w:space="0" w:color="000000"/>
              <w:left w:val="single" w:sz="5" w:space="0" w:color="000000"/>
              <w:bottom w:val="single" w:sz="5" w:space="0" w:color="000000"/>
              <w:right w:val="single" w:sz="5" w:space="0" w:color="000000"/>
            </w:tcBorders>
          </w:tcPr>
          <w:p w14:paraId="193FD950"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0</w:t>
            </w:r>
          </w:p>
        </w:tc>
        <w:tc>
          <w:tcPr>
            <w:tcW w:w="1080" w:type="dxa"/>
            <w:tcBorders>
              <w:top w:val="single" w:sz="5" w:space="0" w:color="000000"/>
              <w:left w:val="single" w:sz="5" w:space="0" w:color="000000"/>
              <w:bottom w:val="single" w:sz="5" w:space="0" w:color="000000"/>
              <w:right w:val="single" w:sz="5" w:space="0" w:color="000000"/>
            </w:tcBorders>
          </w:tcPr>
          <w:p w14:paraId="41807FCE" w14:textId="77777777" w:rsidR="00957F89" w:rsidRPr="00C73849" w:rsidRDefault="00D92D87">
            <w:pPr>
              <w:pStyle w:val="TableParagraph"/>
              <w:spacing w:line="222" w:lineRule="exact"/>
              <w:ind w:left="357"/>
              <w:rPr>
                <w:rFonts w:ascii="Times New Roman" w:eastAsia="Times New Roman" w:hAnsi="Times New Roman" w:cs="Times New Roman"/>
                <w:sz w:val="20"/>
                <w:szCs w:val="20"/>
              </w:rPr>
            </w:pPr>
            <w:r w:rsidRPr="00C73849">
              <w:rPr>
                <w:rFonts w:ascii="Times New Roman"/>
                <w:sz w:val="20"/>
              </w:rPr>
              <w:t>0 (0%)</w:t>
            </w:r>
          </w:p>
        </w:tc>
        <w:tc>
          <w:tcPr>
            <w:tcW w:w="720" w:type="dxa"/>
            <w:tcBorders>
              <w:top w:val="single" w:sz="5" w:space="0" w:color="000000"/>
              <w:left w:val="single" w:sz="5" w:space="0" w:color="000000"/>
              <w:bottom w:val="single" w:sz="5" w:space="0" w:color="000000"/>
              <w:right w:val="single" w:sz="5" w:space="0" w:color="000000"/>
            </w:tcBorders>
          </w:tcPr>
          <w:p w14:paraId="79B3EAB2"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0</w:t>
            </w:r>
          </w:p>
        </w:tc>
        <w:tc>
          <w:tcPr>
            <w:tcW w:w="1080" w:type="dxa"/>
            <w:tcBorders>
              <w:top w:val="single" w:sz="5" w:space="0" w:color="000000"/>
              <w:left w:val="single" w:sz="5" w:space="0" w:color="000000"/>
              <w:bottom w:val="single" w:sz="5" w:space="0" w:color="000000"/>
              <w:right w:val="single" w:sz="5" w:space="0" w:color="000000"/>
            </w:tcBorders>
          </w:tcPr>
          <w:p w14:paraId="063FA38E" w14:textId="77777777" w:rsidR="00957F89" w:rsidRPr="00C73849" w:rsidRDefault="00D92D87">
            <w:pPr>
              <w:pStyle w:val="TableParagraph"/>
              <w:spacing w:line="222" w:lineRule="exact"/>
              <w:ind w:left="357"/>
              <w:rPr>
                <w:rFonts w:ascii="Times New Roman" w:eastAsia="Times New Roman" w:hAnsi="Times New Roman" w:cs="Times New Roman"/>
                <w:sz w:val="20"/>
                <w:szCs w:val="20"/>
              </w:rPr>
            </w:pPr>
            <w:r w:rsidRPr="00C73849">
              <w:rPr>
                <w:rFonts w:ascii="Times New Roman"/>
                <w:sz w:val="20"/>
              </w:rPr>
              <w:t>0 (0%)</w:t>
            </w:r>
          </w:p>
        </w:tc>
        <w:tc>
          <w:tcPr>
            <w:tcW w:w="630" w:type="dxa"/>
            <w:tcBorders>
              <w:top w:val="single" w:sz="5" w:space="0" w:color="000000"/>
              <w:left w:val="single" w:sz="5" w:space="0" w:color="000000"/>
              <w:bottom w:val="single" w:sz="5" w:space="0" w:color="000000"/>
              <w:right w:val="single" w:sz="12" w:space="0" w:color="000000"/>
            </w:tcBorders>
          </w:tcPr>
          <w:p w14:paraId="52723FD9" w14:textId="77777777" w:rsidR="00957F89" w:rsidRPr="00C73849" w:rsidRDefault="00D92D87">
            <w:pPr>
              <w:pStyle w:val="TableParagraph"/>
              <w:spacing w:line="222" w:lineRule="exact"/>
              <w:ind w:left="7"/>
              <w:jc w:val="center"/>
              <w:rPr>
                <w:rFonts w:ascii="Times New Roman" w:eastAsia="Times New Roman" w:hAnsi="Times New Roman" w:cs="Times New Roman"/>
                <w:sz w:val="20"/>
                <w:szCs w:val="20"/>
              </w:rPr>
            </w:pPr>
            <w:r w:rsidRPr="00C73849">
              <w:rPr>
                <w:rFonts w:ascii="Times New Roman"/>
                <w:sz w:val="20"/>
              </w:rPr>
              <w:t>0</w:t>
            </w:r>
          </w:p>
        </w:tc>
      </w:tr>
      <w:tr w:rsidR="00957F89" w:rsidRPr="00C73849" w14:paraId="0C957611" w14:textId="77777777" w:rsidTr="00E878A6">
        <w:trPr>
          <w:trHeight w:hRule="exact" w:val="250"/>
        </w:trPr>
        <w:tc>
          <w:tcPr>
            <w:tcW w:w="1385" w:type="dxa"/>
            <w:tcBorders>
              <w:top w:val="single" w:sz="5" w:space="0" w:color="000000"/>
              <w:left w:val="single" w:sz="12" w:space="0" w:color="000000"/>
              <w:bottom w:val="single" w:sz="12" w:space="0" w:color="000000"/>
              <w:right w:val="single" w:sz="5" w:space="0" w:color="000000"/>
            </w:tcBorders>
          </w:tcPr>
          <w:p w14:paraId="4CFFC751" w14:textId="77777777" w:rsidR="00957F89" w:rsidRPr="00C73849" w:rsidRDefault="00D92D87">
            <w:pPr>
              <w:pStyle w:val="TableParagraph"/>
              <w:spacing w:line="227" w:lineRule="exact"/>
              <w:ind w:left="92"/>
              <w:rPr>
                <w:rFonts w:ascii="Times New Roman" w:eastAsia="Times New Roman" w:hAnsi="Times New Roman" w:cs="Times New Roman"/>
                <w:sz w:val="20"/>
                <w:szCs w:val="20"/>
              </w:rPr>
            </w:pPr>
            <w:r w:rsidRPr="00C73849">
              <w:rPr>
                <w:rFonts w:ascii="Times New Roman"/>
                <w:b/>
                <w:sz w:val="20"/>
              </w:rPr>
              <w:t>Deaths</w:t>
            </w:r>
          </w:p>
        </w:tc>
        <w:tc>
          <w:tcPr>
            <w:tcW w:w="1049" w:type="dxa"/>
            <w:tcBorders>
              <w:top w:val="single" w:sz="5" w:space="0" w:color="000000"/>
              <w:left w:val="single" w:sz="5" w:space="0" w:color="000000"/>
              <w:bottom w:val="single" w:sz="12" w:space="0" w:color="000000"/>
              <w:right w:val="single" w:sz="5" w:space="0" w:color="000000"/>
            </w:tcBorders>
          </w:tcPr>
          <w:p w14:paraId="0B8E5B3A" w14:textId="77777777" w:rsidR="00957F89" w:rsidRPr="00C73849" w:rsidRDefault="00D92D87">
            <w:pPr>
              <w:pStyle w:val="TableParagraph"/>
              <w:spacing w:line="222" w:lineRule="exact"/>
              <w:ind w:left="356"/>
              <w:rPr>
                <w:rFonts w:ascii="Times New Roman" w:eastAsia="Times New Roman" w:hAnsi="Times New Roman" w:cs="Times New Roman"/>
                <w:sz w:val="20"/>
                <w:szCs w:val="20"/>
              </w:rPr>
            </w:pPr>
            <w:r w:rsidRPr="00C73849">
              <w:rPr>
                <w:rFonts w:ascii="Times New Roman"/>
                <w:sz w:val="20"/>
              </w:rPr>
              <w:t>0 (0%)</w:t>
            </w:r>
          </w:p>
        </w:tc>
        <w:tc>
          <w:tcPr>
            <w:tcW w:w="720" w:type="dxa"/>
            <w:tcBorders>
              <w:top w:val="single" w:sz="5" w:space="0" w:color="000000"/>
              <w:left w:val="single" w:sz="5" w:space="0" w:color="000000"/>
              <w:bottom w:val="single" w:sz="12" w:space="0" w:color="000000"/>
              <w:right w:val="single" w:sz="5" w:space="0" w:color="000000"/>
            </w:tcBorders>
          </w:tcPr>
          <w:p w14:paraId="6F4E69A7" w14:textId="77777777" w:rsidR="00957F89" w:rsidRPr="00C73849" w:rsidRDefault="00D92D87">
            <w:pPr>
              <w:pStyle w:val="TableParagraph"/>
              <w:spacing w:line="222" w:lineRule="exact"/>
              <w:ind w:right="3"/>
              <w:jc w:val="center"/>
              <w:rPr>
                <w:rFonts w:ascii="Times New Roman" w:eastAsia="Times New Roman" w:hAnsi="Times New Roman" w:cs="Times New Roman"/>
                <w:sz w:val="20"/>
                <w:szCs w:val="20"/>
              </w:rPr>
            </w:pPr>
            <w:r w:rsidRPr="00C73849">
              <w:rPr>
                <w:rFonts w:ascii="Times New Roman"/>
                <w:sz w:val="20"/>
              </w:rPr>
              <w:t>0</w:t>
            </w:r>
          </w:p>
        </w:tc>
        <w:tc>
          <w:tcPr>
            <w:tcW w:w="1080" w:type="dxa"/>
            <w:tcBorders>
              <w:top w:val="single" w:sz="5" w:space="0" w:color="000000"/>
              <w:left w:val="single" w:sz="5" w:space="0" w:color="000000"/>
              <w:bottom w:val="single" w:sz="12" w:space="0" w:color="000000"/>
              <w:right w:val="single" w:sz="5" w:space="0" w:color="000000"/>
            </w:tcBorders>
          </w:tcPr>
          <w:p w14:paraId="2E38249B" w14:textId="77777777" w:rsidR="00957F89" w:rsidRPr="00C73849" w:rsidRDefault="00D92D87">
            <w:pPr>
              <w:pStyle w:val="TableParagraph"/>
              <w:spacing w:line="222" w:lineRule="exact"/>
              <w:ind w:left="354"/>
              <w:rPr>
                <w:rFonts w:ascii="Times New Roman" w:eastAsia="Times New Roman" w:hAnsi="Times New Roman" w:cs="Times New Roman"/>
                <w:sz w:val="20"/>
                <w:szCs w:val="20"/>
              </w:rPr>
            </w:pPr>
            <w:r w:rsidRPr="00C73849">
              <w:rPr>
                <w:rFonts w:ascii="Times New Roman"/>
                <w:sz w:val="20"/>
              </w:rPr>
              <w:t>0 (0%)</w:t>
            </w:r>
          </w:p>
        </w:tc>
        <w:tc>
          <w:tcPr>
            <w:tcW w:w="720" w:type="dxa"/>
            <w:tcBorders>
              <w:top w:val="single" w:sz="5" w:space="0" w:color="000000"/>
              <w:left w:val="single" w:sz="5" w:space="0" w:color="000000"/>
              <w:bottom w:val="single" w:sz="12" w:space="0" w:color="000000"/>
              <w:right w:val="single" w:sz="5" w:space="0" w:color="000000"/>
            </w:tcBorders>
          </w:tcPr>
          <w:p w14:paraId="3AE10861" w14:textId="77777777" w:rsidR="00957F89" w:rsidRPr="00C73849" w:rsidRDefault="00D92D87">
            <w:pPr>
              <w:pStyle w:val="TableParagraph"/>
              <w:spacing w:line="222" w:lineRule="exact"/>
              <w:ind w:right="1"/>
              <w:jc w:val="center"/>
              <w:rPr>
                <w:rFonts w:ascii="Times New Roman" w:eastAsia="Times New Roman" w:hAnsi="Times New Roman" w:cs="Times New Roman"/>
                <w:sz w:val="20"/>
                <w:szCs w:val="20"/>
              </w:rPr>
            </w:pPr>
            <w:r w:rsidRPr="00C73849">
              <w:rPr>
                <w:rFonts w:ascii="Times New Roman"/>
                <w:sz w:val="20"/>
              </w:rPr>
              <w:t>0</w:t>
            </w:r>
          </w:p>
        </w:tc>
        <w:tc>
          <w:tcPr>
            <w:tcW w:w="1080" w:type="dxa"/>
            <w:tcBorders>
              <w:top w:val="single" w:sz="5" w:space="0" w:color="000000"/>
              <w:left w:val="single" w:sz="5" w:space="0" w:color="000000"/>
              <w:bottom w:val="single" w:sz="12" w:space="0" w:color="000000"/>
              <w:right w:val="single" w:sz="5" w:space="0" w:color="000000"/>
            </w:tcBorders>
          </w:tcPr>
          <w:p w14:paraId="660B424F" w14:textId="77777777" w:rsidR="00957F89" w:rsidRPr="00C73849" w:rsidRDefault="00D92D87">
            <w:pPr>
              <w:pStyle w:val="TableParagraph"/>
              <w:spacing w:line="222" w:lineRule="exact"/>
              <w:ind w:left="356"/>
              <w:rPr>
                <w:rFonts w:ascii="Times New Roman" w:eastAsia="Times New Roman" w:hAnsi="Times New Roman" w:cs="Times New Roman"/>
                <w:sz w:val="20"/>
                <w:szCs w:val="20"/>
              </w:rPr>
            </w:pPr>
            <w:r w:rsidRPr="00C73849">
              <w:rPr>
                <w:rFonts w:ascii="Times New Roman"/>
                <w:sz w:val="20"/>
              </w:rPr>
              <w:t>0 (0%)</w:t>
            </w:r>
          </w:p>
        </w:tc>
        <w:tc>
          <w:tcPr>
            <w:tcW w:w="720" w:type="dxa"/>
            <w:tcBorders>
              <w:top w:val="single" w:sz="5" w:space="0" w:color="000000"/>
              <w:left w:val="single" w:sz="5" w:space="0" w:color="000000"/>
              <w:bottom w:val="single" w:sz="12" w:space="0" w:color="000000"/>
              <w:right w:val="single" w:sz="5" w:space="0" w:color="000000"/>
            </w:tcBorders>
          </w:tcPr>
          <w:p w14:paraId="58FBBF11"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0</w:t>
            </w:r>
          </w:p>
        </w:tc>
        <w:tc>
          <w:tcPr>
            <w:tcW w:w="1080" w:type="dxa"/>
            <w:tcBorders>
              <w:top w:val="single" w:sz="5" w:space="0" w:color="000000"/>
              <w:left w:val="single" w:sz="5" w:space="0" w:color="000000"/>
              <w:bottom w:val="single" w:sz="12" w:space="0" w:color="000000"/>
              <w:right w:val="single" w:sz="5" w:space="0" w:color="000000"/>
            </w:tcBorders>
          </w:tcPr>
          <w:p w14:paraId="4CDDDE5E" w14:textId="77777777" w:rsidR="00957F89" w:rsidRPr="00C73849" w:rsidRDefault="00D92D87">
            <w:pPr>
              <w:pStyle w:val="TableParagraph"/>
              <w:spacing w:line="222" w:lineRule="exact"/>
              <w:ind w:left="357"/>
              <w:rPr>
                <w:rFonts w:ascii="Times New Roman" w:eastAsia="Times New Roman" w:hAnsi="Times New Roman" w:cs="Times New Roman"/>
                <w:sz w:val="20"/>
                <w:szCs w:val="20"/>
              </w:rPr>
            </w:pPr>
            <w:r w:rsidRPr="00C73849">
              <w:rPr>
                <w:rFonts w:ascii="Times New Roman"/>
                <w:sz w:val="20"/>
              </w:rPr>
              <w:t>0 (0%)</w:t>
            </w:r>
          </w:p>
        </w:tc>
        <w:tc>
          <w:tcPr>
            <w:tcW w:w="720" w:type="dxa"/>
            <w:tcBorders>
              <w:top w:val="single" w:sz="5" w:space="0" w:color="000000"/>
              <w:left w:val="single" w:sz="5" w:space="0" w:color="000000"/>
              <w:bottom w:val="single" w:sz="12" w:space="0" w:color="000000"/>
              <w:right w:val="single" w:sz="5" w:space="0" w:color="000000"/>
            </w:tcBorders>
          </w:tcPr>
          <w:p w14:paraId="76A8AB44"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0</w:t>
            </w:r>
          </w:p>
        </w:tc>
        <w:tc>
          <w:tcPr>
            <w:tcW w:w="1080" w:type="dxa"/>
            <w:tcBorders>
              <w:top w:val="single" w:sz="5" w:space="0" w:color="000000"/>
              <w:left w:val="single" w:sz="5" w:space="0" w:color="000000"/>
              <w:bottom w:val="single" w:sz="12" w:space="0" w:color="000000"/>
              <w:right w:val="single" w:sz="5" w:space="0" w:color="000000"/>
            </w:tcBorders>
          </w:tcPr>
          <w:p w14:paraId="3FBF37DB" w14:textId="77777777" w:rsidR="00957F89" w:rsidRPr="00C73849" w:rsidRDefault="00D92D87">
            <w:pPr>
              <w:pStyle w:val="TableParagraph"/>
              <w:spacing w:line="222" w:lineRule="exact"/>
              <w:ind w:left="357"/>
              <w:rPr>
                <w:rFonts w:ascii="Times New Roman" w:eastAsia="Times New Roman" w:hAnsi="Times New Roman" w:cs="Times New Roman"/>
                <w:sz w:val="20"/>
                <w:szCs w:val="20"/>
              </w:rPr>
            </w:pPr>
            <w:r w:rsidRPr="00C73849">
              <w:rPr>
                <w:rFonts w:ascii="Times New Roman"/>
                <w:sz w:val="20"/>
              </w:rPr>
              <w:t>0 (0%)</w:t>
            </w:r>
          </w:p>
        </w:tc>
        <w:tc>
          <w:tcPr>
            <w:tcW w:w="720" w:type="dxa"/>
            <w:tcBorders>
              <w:top w:val="single" w:sz="5" w:space="0" w:color="000000"/>
              <w:left w:val="single" w:sz="5" w:space="0" w:color="000000"/>
              <w:bottom w:val="single" w:sz="12" w:space="0" w:color="000000"/>
              <w:right w:val="single" w:sz="5" w:space="0" w:color="000000"/>
            </w:tcBorders>
          </w:tcPr>
          <w:p w14:paraId="25CE929E"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0</w:t>
            </w:r>
          </w:p>
        </w:tc>
        <w:tc>
          <w:tcPr>
            <w:tcW w:w="1080" w:type="dxa"/>
            <w:tcBorders>
              <w:top w:val="single" w:sz="5" w:space="0" w:color="000000"/>
              <w:left w:val="single" w:sz="5" w:space="0" w:color="000000"/>
              <w:bottom w:val="single" w:sz="12" w:space="0" w:color="000000"/>
              <w:right w:val="single" w:sz="5" w:space="0" w:color="000000"/>
            </w:tcBorders>
          </w:tcPr>
          <w:p w14:paraId="00DB8ADF" w14:textId="77777777" w:rsidR="00957F89" w:rsidRPr="00C73849" w:rsidRDefault="00D92D87">
            <w:pPr>
              <w:pStyle w:val="TableParagraph"/>
              <w:spacing w:line="222" w:lineRule="exact"/>
              <w:ind w:left="357"/>
              <w:rPr>
                <w:rFonts w:ascii="Times New Roman" w:eastAsia="Times New Roman" w:hAnsi="Times New Roman" w:cs="Times New Roman"/>
                <w:sz w:val="20"/>
                <w:szCs w:val="20"/>
              </w:rPr>
            </w:pPr>
            <w:r w:rsidRPr="00C73849">
              <w:rPr>
                <w:rFonts w:ascii="Times New Roman"/>
                <w:sz w:val="20"/>
              </w:rPr>
              <w:t>0 (0%)</w:t>
            </w:r>
          </w:p>
        </w:tc>
        <w:tc>
          <w:tcPr>
            <w:tcW w:w="630" w:type="dxa"/>
            <w:tcBorders>
              <w:top w:val="single" w:sz="5" w:space="0" w:color="000000"/>
              <w:left w:val="single" w:sz="5" w:space="0" w:color="000000"/>
              <w:bottom w:val="single" w:sz="12" w:space="0" w:color="000000"/>
              <w:right w:val="single" w:sz="12" w:space="0" w:color="000000"/>
            </w:tcBorders>
          </w:tcPr>
          <w:p w14:paraId="016B4DD4" w14:textId="77777777" w:rsidR="00957F89" w:rsidRPr="00C73849" w:rsidRDefault="00D92D87">
            <w:pPr>
              <w:pStyle w:val="TableParagraph"/>
              <w:spacing w:line="222" w:lineRule="exact"/>
              <w:ind w:left="7"/>
              <w:jc w:val="center"/>
              <w:rPr>
                <w:rFonts w:ascii="Times New Roman" w:eastAsia="Times New Roman" w:hAnsi="Times New Roman" w:cs="Times New Roman"/>
                <w:sz w:val="20"/>
                <w:szCs w:val="20"/>
              </w:rPr>
            </w:pPr>
            <w:r w:rsidRPr="00C73849">
              <w:rPr>
                <w:rFonts w:ascii="Times New Roman"/>
                <w:sz w:val="20"/>
              </w:rPr>
              <w:t>0</w:t>
            </w:r>
          </w:p>
        </w:tc>
      </w:tr>
    </w:tbl>
    <w:p w14:paraId="5CDF240E" w14:textId="77777777" w:rsidR="00957F89" w:rsidRPr="00C73849" w:rsidRDefault="00D92D87">
      <w:pPr>
        <w:spacing w:line="213" w:lineRule="exact"/>
        <w:ind w:left="224"/>
        <w:rPr>
          <w:rFonts w:ascii="Times New Roman" w:eastAsia="Times New Roman" w:hAnsi="Times New Roman" w:cs="Times New Roman"/>
          <w:sz w:val="20"/>
          <w:szCs w:val="20"/>
        </w:rPr>
      </w:pPr>
      <w:r w:rsidRPr="00C73849">
        <w:rPr>
          <w:rFonts w:ascii="Times New Roman"/>
          <w:sz w:val="20"/>
        </w:rPr>
        <w:t>N = Total number of subjects in that treatment group.</w:t>
      </w:r>
    </w:p>
    <w:p w14:paraId="77770F49" w14:textId="77777777" w:rsidR="00957F89" w:rsidRPr="00C73849" w:rsidRDefault="00D92D87">
      <w:pPr>
        <w:spacing w:line="230" w:lineRule="exact"/>
        <w:ind w:left="224"/>
        <w:rPr>
          <w:rFonts w:ascii="Times New Roman" w:eastAsia="Times New Roman" w:hAnsi="Times New Roman" w:cs="Times New Roman"/>
          <w:sz w:val="20"/>
          <w:szCs w:val="20"/>
        </w:rPr>
      </w:pPr>
      <w:proofErr w:type="gramStart"/>
      <w:r w:rsidRPr="00C73849">
        <w:rPr>
          <w:rFonts w:ascii="Times New Roman"/>
          <w:position w:val="9"/>
          <w:sz w:val="13"/>
        </w:rPr>
        <w:t>a</w:t>
      </w:r>
      <w:r w:rsidR="001E1911">
        <w:rPr>
          <w:rFonts w:ascii="Times New Roman"/>
          <w:position w:val="9"/>
          <w:sz w:val="13"/>
        </w:rPr>
        <w:t xml:space="preserve">  </w:t>
      </w:r>
      <w:r w:rsidRPr="00C73849">
        <w:rPr>
          <w:rFonts w:ascii="Times New Roman"/>
          <w:sz w:val="20"/>
        </w:rPr>
        <w:t>Subjects</w:t>
      </w:r>
      <w:proofErr w:type="gramEnd"/>
      <w:r w:rsidRPr="00C73849">
        <w:rPr>
          <w:rFonts w:ascii="Times New Roman"/>
          <w:sz w:val="20"/>
        </w:rPr>
        <w:t xml:space="preserve"> may have experienced more than 1 AE.</w:t>
      </w:r>
    </w:p>
    <w:p w14:paraId="2D926153" w14:textId="77777777" w:rsidR="00957F89" w:rsidRPr="00C73849" w:rsidRDefault="00D92D87">
      <w:pPr>
        <w:spacing w:line="243" w:lineRule="exact"/>
        <w:ind w:left="224"/>
        <w:rPr>
          <w:rFonts w:ascii="Times New Roman" w:eastAsia="Times New Roman" w:hAnsi="Times New Roman" w:cs="Times New Roman"/>
          <w:sz w:val="20"/>
          <w:szCs w:val="20"/>
        </w:rPr>
      </w:pPr>
      <w:proofErr w:type="gramStart"/>
      <w:r w:rsidRPr="00C73849">
        <w:rPr>
          <w:rFonts w:ascii="Times New Roman"/>
          <w:position w:val="9"/>
          <w:sz w:val="13"/>
        </w:rPr>
        <w:t>b</w:t>
      </w:r>
      <w:r w:rsidR="001E1911">
        <w:rPr>
          <w:rFonts w:ascii="Times New Roman"/>
          <w:position w:val="9"/>
          <w:sz w:val="13"/>
        </w:rPr>
        <w:t xml:space="preserve">  </w:t>
      </w:r>
      <w:r w:rsidRPr="00C73849">
        <w:rPr>
          <w:rFonts w:ascii="Times New Roman"/>
          <w:sz w:val="20"/>
        </w:rPr>
        <w:t>Subjects</w:t>
      </w:r>
      <w:proofErr w:type="gramEnd"/>
      <w:r w:rsidRPr="00C73849">
        <w:rPr>
          <w:rFonts w:ascii="Times New Roman"/>
          <w:sz w:val="20"/>
        </w:rPr>
        <w:t xml:space="preserve"> are counted once for each subset in which they have recorded at least 1 AE of this causality or intensity.</w:t>
      </w:r>
    </w:p>
    <w:p w14:paraId="63AC8617" w14:textId="77777777" w:rsidR="00957F89" w:rsidRPr="00C73849" w:rsidRDefault="00957F89">
      <w:pPr>
        <w:rPr>
          <w:rFonts w:ascii="Times New Roman" w:eastAsia="Times New Roman" w:hAnsi="Times New Roman" w:cs="Times New Roman"/>
          <w:sz w:val="20"/>
          <w:szCs w:val="20"/>
        </w:rPr>
      </w:pPr>
    </w:p>
    <w:p w14:paraId="6CA1117F" w14:textId="77777777" w:rsidR="00CC7DF9" w:rsidRPr="0087360C" w:rsidRDefault="00CC7DF9" w:rsidP="0087360C">
      <w:pPr>
        <w:rPr>
          <w:rFonts w:ascii="Times New Roman" w:eastAsia="Times New Roman" w:hAnsi="Times New Roman" w:cs="Times New Roman"/>
          <w:sz w:val="19"/>
          <w:szCs w:val="19"/>
        </w:rPr>
      </w:pPr>
    </w:p>
    <w:p w14:paraId="7A29199D" w14:textId="77777777" w:rsidR="00CC7DF9" w:rsidRPr="0087360C" w:rsidRDefault="00CC7DF9" w:rsidP="0087360C">
      <w:pPr>
        <w:rPr>
          <w:rFonts w:ascii="Times New Roman" w:eastAsia="Times New Roman" w:hAnsi="Times New Roman" w:cs="Times New Roman"/>
          <w:sz w:val="19"/>
          <w:szCs w:val="19"/>
        </w:rPr>
      </w:pPr>
    </w:p>
    <w:p w14:paraId="15C88C35" w14:textId="77777777" w:rsidR="00957F89" w:rsidRPr="00CC7DF9" w:rsidRDefault="00957F89" w:rsidP="00CC7DF9">
      <w:pPr>
        <w:rPr>
          <w:rFonts w:ascii="Times New Roman" w:eastAsia="Times New Roman" w:hAnsi="Times New Roman" w:cs="Times New Roman"/>
          <w:sz w:val="19"/>
          <w:szCs w:val="19"/>
        </w:rPr>
        <w:sectPr w:rsidR="00957F89" w:rsidRPr="00CC7DF9" w:rsidSect="002131A0">
          <w:pgSz w:w="16834" w:h="11909" w:orient="landscape" w:code="9"/>
          <w:pgMar w:top="1440" w:right="1440" w:bottom="1440" w:left="1440" w:header="720" w:footer="720" w:gutter="0"/>
          <w:cols w:space="720"/>
        </w:sectPr>
      </w:pPr>
    </w:p>
    <w:p w14:paraId="49B77D95" w14:textId="77777777" w:rsidR="00957F89" w:rsidRPr="00C73849" w:rsidRDefault="00D92D87">
      <w:pPr>
        <w:pStyle w:val="BodyText"/>
        <w:spacing w:before="69"/>
        <w:ind w:left="222" w:right="160"/>
      </w:pPr>
      <w:r w:rsidRPr="00C73849">
        <w:lastRenderedPageBreak/>
        <w:t>Overall, 18 subjects (50%) experienced a total of 41 AEs. Of the 24 subjects given Pyruvate</w:t>
      </w:r>
      <w:r w:rsidRPr="00C73849">
        <w:rPr>
          <w:w w:val="99"/>
        </w:rPr>
        <w:t xml:space="preserve"> </w:t>
      </w:r>
      <w:r w:rsidRPr="00C73849">
        <w:t>Injection, 15 subjects (63%) experienced 35 AEs. Of the 12 subjects given placebo, 3 subjects</w:t>
      </w:r>
      <w:r w:rsidRPr="00C73849">
        <w:rPr>
          <w:w w:val="99"/>
        </w:rPr>
        <w:t xml:space="preserve"> </w:t>
      </w:r>
      <w:r w:rsidRPr="00C73849">
        <w:t xml:space="preserve">(25%) experienced 6 AEs. No SAEs or deaths were </w:t>
      </w:r>
      <w:proofErr w:type="gramStart"/>
      <w:r w:rsidRPr="00C73849">
        <w:t>reported</w:t>
      </w:r>
      <w:proofErr w:type="gramEnd"/>
      <w:r w:rsidRPr="00C73849">
        <w:t xml:space="preserve"> and no subjects were withdrawn due to AEs.</w:t>
      </w:r>
    </w:p>
    <w:p w14:paraId="1F599D0A" w14:textId="77777777" w:rsidR="00957F89" w:rsidRPr="00C73849" w:rsidRDefault="00957F89">
      <w:pPr>
        <w:spacing w:before="10"/>
        <w:rPr>
          <w:rFonts w:ascii="Times New Roman" w:eastAsia="Times New Roman" w:hAnsi="Times New Roman" w:cs="Times New Roman"/>
          <w:sz w:val="20"/>
          <w:szCs w:val="20"/>
        </w:rPr>
      </w:pPr>
    </w:p>
    <w:p w14:paraId="4BEA4F4A" w14:textId="77777777" w:rsidR="00957F89" w:rsidRPr="00C73849" w:rsidRDefault="00D92D87">
      <w:pPr>
        <w:pStyle w:val="BodyText"/>
        <w:ind w:left="222" w:right="160"/>
      </w:pPr>
      <w:r w:rsidRPr="00C73849">
        <w:t>Similar numbers/percentages of AEs were reported across the Pyruvate Injection dose groups, with the exception of the 0.57 ml/kg dose group where a clearly increased number and</w:t>
      </w:r>
      <w:r w:rsidRPr="00C73849">
        <w:rPr>
          <w:w w:val="99"/>
        </w:rPr>
        <w:t xml:space="preserve"> </w:t>
      </w:r>
      <w:r w:rsidRPr="00C73849">
        <w:t xml:space="preserve">percentage of total AEs was </w:t>
      </w:r>
      <w:proofErr w:type="gramStart"/>
      <w:r w:rsidRPr="00C73849">
        <w:t>reported</w:t>
      </w:r>
      <w:proofErr w:type="gramEnd"/>
      <w:r w:rsidRPr="00C73849">
        <w:t xml:space="preserve"> and some safety concerns were raised (see below).</w:t>
      </w:r>
    </w:p>
    <w:p w14:paraId="76F0AEBC" w14:textId="77777777" w:rsidR="00957F89" w:rsidRPr="00C73849" w:rsidRDefault="00957F89">
      <w:pPr>
        <w:spacing w:before="8"/>
        <w:rPr>
          <w:rFonts w:ascii="Times New Roman" w:eastAsia="Times New Roman" w:hAnsi="Times New Roman" w:cs="Times New Roman"/>
          <w:sz w:val="31"/>
          <w:szCs w:val="31"/>
        </w:rPr>
      </w:pPr>
    </w:p>
    <w:p w14:paraId="0A6C4EDF" w14:textId="77777777" w:rsidR="00957F89" w:rsidRPr="00C73849" w:rsidRDefault="00D92D87">
      <w:pPr>
        <w:ind w:left="1302" w:right="512" w:hanging="1080"/>
        <w:rPr>
          <w:rFonts w:ascii="Times New Roman" w:eastAsia="Times New Roman" w:hAnsi="Times New Roman" w:cs="Times New Roman"/>
          <w:sz w:val="24"/>
          <w:szCs w:val="24"/>
        </w:rPr>
      </w:pPr>
      <w:r w:rsidRPr="00C73849">
        <w:rPr>
          <w:rFonts w:ascii="Times New Roman"/>
          <w:b/>
          <w:sz w:val="24"/>
        </w:rPr>
        <w:t>Summary of AE Duration, Intensity, Relationship to Investigational Medicinal</w:t>
      </w:r>
      <w:r w:rsidRPr="00C73849">
        <w:rPr>
          <w:rFonts w:ascii="Times New Roman"/>
          <w:b/>
          <w:w w:val="99"/>
          <w:sz w:val="24"/>
        </w:rPr>
        <w:t xml:space="preserve"> </w:t>
      </w:r>
      <w:r w:rsidRPr="00C73849">
        <w:rPr>
          <w:rFonts w:ascii="Times New Roman"/>
          <w:b/>
          <w:sz w:val="24"/>
        </w:rPr>
        <w:t>Product, and Outcome, by Treatment Group</w:t>
      </w:r>
    </w:p>
    <w:p w14:paraId="781A7C21" w14:textId="77777777" w:rsidR="00957F89" w:rsidRPr="00C73849" w:rsidRDefault="00957F89">
      <w:pPr>
        <w:spacing w:before="7"/>
        <w:rPr>
          <w:rFonts w:ascii="Times New Roman" w:eastAsia="Times New Roman" w:hAnsi="Times New Roman" w:cs="Times New Roman"/>
          <w:b/>
          <w:bCs/>
          <w:sz w:val="10"/>
          <w:szCs w:val="10"/>
        </w:rPr>
      </w:pPr>
    </w:p>
    <w:tbl>
      <w:tblPr>
        <w:tblW w:w="0" w:type="auto"/>
        <w:tblInd w:w="99" w:type="dxa"/>
        <w:tblLayout w:type="fixed"/>
        <w:tblCellMar>
          <w:left w:w="0" w:type="dxa"/>
          <w:right w:w="0" w:type="dxa"/>
        </w:tblCellMar>
        <w:tblLook w:val="01E0" w:firstRow="1" w:lastRow="1" w:firstColumn="1" w:lastColumn="1" w:noHBand="0" w:noVBand="0"/>
      </w:tblPr>
      <w:tblGrid>
        <w:gridCol w:w="1385"/>
        <w:gridCol w:w="996"/>
        <w:gridCol w:w="905"/>
        <w:gridCol w:w="1188"/>
        <w:gridCol w:w="1061"/>
        <w:gridCol w:w="979"/>
        <w:gridCol w:w="1380"/>
        <w:gridCol w:w="1277"/>
      </w:tblGrid>
      <w:tr w:rsidR="00957F89" w:rsidRPr="00C73849" w14:paraId="2040A85F" w14:textId="77777777">
        <w:trPr>
          <w:trHeight w:hRule="exact" w:val="709"/>
        </w:trPr>
        <w:tc>
          <w:tcPr>
            <w:tcW w:w="1385" w:type="dxa"/>
            <w:tcBorders>
              <w:top w:val="single" w:sz="13" w:space="0" w:color="000000"/>
              <w:left w:val="single" w:sz="12" w:space="0" w:color="000000"/>
              <w:bottom w:val="single" w:sz="5" w:space="0" w:color="000000"/>
              <w:right w:val="single" w:sz="5" w:space="0" w:color="000000"/>
            </w:tcBorders>
          </w:tcPr>
          <w:p w14:paraId="2B18E3E4" w14:textId="77777777" w:rsidR="00957F89" w:rsidRPr="00C73849" w:rsidRDefault="00957F89">
            <w:pPr>
              <w:pStyle w:val="TableParagraph"/>
              <w:spacing w:before="7"/>
              <w:rPr>
                <w:rFonts w:ascii="Times New Roman" w:eastAsia="Times New Roman" w:hAnsi="Times New Roman" w:cs="Times New Roman"/>
                <w:b/>
                <w:bCs/>
                <w:sz w:val="19"/>
                <w:szCs w:val="19"/>
              </w:rPr>
            </w:pPr>
          </w:p>
          <w:p w14:paraId="74EB7CDD" w14:textId="77777777" w:rsidR="00957F89" w:rsidRPr="00C73849" w:rsidRDefault="00D92D87">
            <w:pPr>
              <w:pStyle w:val="TableParagraph"/>
              <w:ind w:left="92" w:right="570"/>
              <w:rPr>
                <w:rFonts w:ascii="Times New Roman" w:eastAsia="Times New Roman" w:hAnsi="Times New Roman" w:cs="Times New Roman"/>
                <w:sz w:val="20"/>
                <w:szCs w:val="20"/>
              </w:rPr>
            </w:pPr>
            <w:r w:rsidRPr="00C73849">
              <w:rPr>
                <w:rFonts w:ascii="Times New Roman"/>
                <w:b/>
                <w:sz w:val="20"/>
              </w:rPr>
              <w:t>Adverse</w:t>
            </w:r>
            <w:r w:rsidRPr="00C73849">
              <w:rPr>
                <w:rFonts w:ascii="Times New Roman"/>
                <w:b/>
                <w:w w:val="99"/>
                <w:sz w:val="20"/>
              </w:rPr>
              <w:t xml:space="preserve"> </w:t>
            </w:r>
            <w:r w:rsidRPr="00C73849">
              <w:rPr>
                <w:rFonts w:ascii="Times New Roman"/>
                <w:b/>
                <w:sz w:val="20"/>
              </w:rPr>
              <w:t>Event</w:t>
            </w:r>
          </w:p>
        </w:tc>
        <w:tc>
          <w:tcPr>
            <w:tcW w:w="996" w:type="dxa"/>
            <w:tcBorders>
              <w:top w:val="single" w:sz="13" w:space="0" w:color="000000"/>
              <w:left w:val="single" w:sz="5" w:space="0" w:color="000000"/>
              <w:bottom w:val="single" w:sz="5" w:space="0" w:color="000000"/>
              <w:right w:val="single" w:sz="5" w:space="0" w:color="000000"/>
            </w:tcBorders>
          </w:tcPr>
          <w:p w14:paraId="09221EBA" w14:textId="77777777" w:rsidR="00957F89" w:rsidRPr="00C73849" w:rsidRDefault="00957F89">
            <w:pPr>
              <w:pStyle w:val="TableParagraph"/>
              <w:spacing w:before="7"/>
              <w:rPr>
                <w:rFonts w:ascii="Times New Roman" w:eastAsia="Times New Roman" w:hAnsi="Times New Roman" w:cs="Times New Roman"/>
                <w:b/>
                <w:bCs/>
                <w:sz w:val="19"/>
                <w:szCs w:val="19"/>
              </w:rPr>
            </w:pPr>
          </w:p>
          <w:p w14:paraId="7D018388" w14:textId="77777777" w:rsidR="00957F89" w:rsidRPr="00C73849" w:rsidRDefault="00D92D87">
            <w:pPr>
              <w:pStyle w:val="TableParagraph"/>
              <w:ind w:left="102" w:right="172"/>
              <w:rPr>
                <w:rFonts w:ascii="Times New Roman" w:eastAsia="Times New Roman" w:hAnsi="Times New Roman" w:cs="Times New Roman"/>
                <w:sz w:val="20"/>
                <w:szCs w:val="20"/>
              </w:rPr>
            </w:pPr>
            <w:r w:rsidRPr="00C73849">
              <w:rPr>
                <w:rFonts w:ascii="Times New Roman"/>
                <w:b/>
                <w:sz w:val="20"/>
              </w:rPr>
              <w:t>Subject</w:t>
            </w:r>
            <w:r w:rsidRPr="00C73849">
              <w:rPr>
                <w:rFonts w:ascii="Times New Roman"/>
                <w:b/>
                <w:w w:val="99"/>
                <w:sz w:val="20"/>
              </w:rPr>
              <w:t xml:space="preserve"> </w:t>
            </w:r>
            <w:r w:rsidRPr="00C73849">
              <w:rPr>
                <w:rFonts w:ascii="Times New Roman"/>
                <w:b/>
                <w:sz w:val="20"/>
              </w:rPr>
              <w:t>Number</w:t>
            </w:r>
          </w:p>
        </w:tc>
        <w:tc>
          <w:tcPr>
            <w:tcW w:w="905" w:type="dxa"/>
            <w:tcBorders>
              <w:top w:val="single" w:sz="13" w:space="0" w:color="000000"/>
              <w:left w:val="single" w:sz="5" w:space="0" w:color="000000"/>
              <w:bottom w:val="single" w:sz="5" w:space="0" w:color="000000"/>
              <w:right w:val="single" w:sz="5" w:space="0" w:color="000000"/>
            </w:tcBorders>
          </w:tcPr>
          <w:p w14:paraId="3E2000ED" w14:textId="77777777" w:rsidR="00957F89" w:rsidRPr="00C73849" w:rsidRDefault="00957F89">
            <w:pPr>
              <w:pStyle w:val="TableParagraph"/>
              <w:spacing w:before="7"/>
              <w:rPr>
                <w:rFonts w:ascii="Times New Roman" w:eastAsia="Times New Roman" w:hAnsi="Times New Roman" w:cs="Times New Roman"/>
                <w:b/>
                <w:bCs/>
                <w:sz w:val="19"/>
                <w:szCs w:val="19"/>
              </w:rPr>
            </w:pPr>
          </w:p>
          <w:p w14:paraId="6CD05C23" w14:textId="77777777" w:rsidR="00957F89" w:rsidRPr="00C73849" w:rsidRDefault="00D92D87">
            <w:pPr>
              <w:pStyle w:val="TableParagraph"/>
              <w:ind w:left="102" w:right="122"/>
              <w:rPr>
                <w:rFonts w:ascii="Times New Roman" w:eastAsia="Times New Roman" w:hAnsi="Times New Roman" w:cs="Times New Roman"/>
                <w:sz w:val="20"/>
                <w:szCs w:val="20"/>
              </w:rPr>
            </w:pPr>
            <w:r w:rsidRPr="00C73849">
              <w:rPr>
                <w:rFonts w:ascii="Times New Roman"/>
                <w:b/>
                <w:sz w:val="20"/>
              </w:rPr>
              <w:t>Serious</w:t>
            </w:r>
            <w:r w:rsidRPr="00C73849">
              <w:rPr>
                <w:rFonts w:ascii="Times New Roman"/>
                <w:b/>
                <w:w w:val="99"/>
                <w:sz w:val="20"/>
              </w:rPr>
              <w:t xml:space="preserve"> </w:t>
            </w:r>
            <w:r w:rsidRPr="00C73849">
              <w:rPr>
                <w:rFonts w:ascii="Times New Roman"/>
                <w:b/>
                <w:sz w:val="20"/>
              </w:rPr>
              <w:t>(yes/no)</w:t>
            </w:r>
          </w:p>
        </w:tc>
        <w:tc>
          <w:tcPr>
            <w:tcW w:w="1188" w:type="dxa"/>
            <w:tcBorders>
              <w:top w:val="single" w:sz="13" w:space="0" w:color="000000"/>
              <w:left w:val="single" w:sz="5" w:space="0" w:color="000000"/>
              <w:bottom w:val="single" w:sz="5" w:space="0" w:color="000000"/>
              <w:right w:val="single" w:sz="5" w:space="0" w:color="000000"/>
            </w:tcBorders>
          </w:tcPr>
          <w:p w14:paraId="106B94F7" w14:textId="77777777" w:rsidR="00957F89" w:rsidRPr="00C73849" w:rsidRDefault="00D92D87">
            <w:pPr>
              <w:pStyle w:val="TableParagraph"/>
              <w:spacing w:line="239" w:lineRule="auto"/>
              <w:ind w:left="102" w:right="154"/>
              <w:rPr>
                <w:rFonts w:ascii="Times New Roman" w:eastAsia="Times New Roman" w:hAnsi="Times New Roman" w:cs="Times New Roman"/>
                <w:sz w:val="20"/>
                <w:szCs w:val="20"/>
              </w:rPr>
            </w:pPr>
            <w:r w:rsidRPr="00C73849">
              <w:rPr>
                <w:rFonts w:ascii="Times New Roman"/>
                <w:b/>
                <w:sz w:val="20"/>
              </w:rPr>
              <w:t>Time from</w:t>
            </w:r>
            <w:r w:rsidRPr="00C73849">
              <w:rPr>
                <w:rFonts w:ascii="Times New Roman"/>
                <w:b/>
                <w:w w:val="99"/>
                <w:sz w:val="20"/>
              </w:rPr>
              <w:t xml:space="preserve"> </w:t>
            </w:r>
            <w:r w:rsidRPr="00C73849">
              <w:rPr>
                <w:rFonts w:ascii="Times New Roman"/>
                <w:b/>
                <w:sz w:val="20"/>
              </w:rPr>
              <w:t>Injection</w:t>
            </w:r>
            <w:r w:rsidRPr="00C73849">
              <w:rPr>
                <w:rFonts w:ascii="Times New Roman"/>
                <w:b/>
                <w:w w:val="99"/>
                <w:sz w:val="20"/>
              </w:rPr>
              <w:t xml:space="preserve"> </w:t>
            </w:r>
            <w:r w:rsidRPr="00C73849">
              <w:rPr>
                <w:rFonts w:ascii="Times New Roman"/>
                <w:b/>
                <w:sz w:val="20"/>
              </w:rPr>
              <w:t>to Onset</w:t>
            </w:r>
          </w:p>
        </w:tc>
        <w:tc>
          <w:tcPr>
            <w:tcW w:w="1061" w:type="dxa"/>
            <w:tcBorders>
              <w:top w:val="single" w:sz="13" w:space="0" w:color="000000"/>
              <w:left w:val="single" w:sz="5" w:space="0" w:color="000000"/>
              <w:bottom w:val="single" w:sz="5" w:space="0" w:color="000000"/>
              <w:right w:val="single" w:sz="5" w:space="0" w:color="000000"/>
            </w:tcBorders>
          </w:tcPr>
          <w:p w14:paraId="0A3E9117" w14:textId="77777777" w:rsidR="00957F89" w:rsidRPr="00C73849" w:rsidRDefault="00957F89">
            <w:pPr>
              <w:pStyle w:val="TableParagraph"/>
              <w:spacing w:before="7"/>
              <w:rPr>
                <w:rFonts w:ascii="Times New Roman" w:eastAsia="Times New Roman" w:hAnsi="Times New Roman" w:cs="Times New Roman"/>
                <w:b/>
                <w:bCs/>
                <w:sz w:val="19"/>
                <w:szCs w:val="19"/>
              </w:rPr>
            </w:pPr>
          </w:p>
          <w:p w14:paraId="1D50CC2A" w14:textId="77777777" w:rsidR="00957F89" w:rsidRPr="00C73849" w:rsidRDefault="00D92D87">
            <w:pPr>
              <w:pStyle w:val="TableParagraph"/>
              <w:ind w:left="102" w:right="166"/>
              <w:rPr>
                <w:rFonts w:ascii="Times New Roman" w:eastAsia="Times New Roman" w:hAnsi="Times New Roman" w:cs="Times New Roman"/>
                <w:sz w:val="20"/>
                <w:szCs w:val="20"/>
              </w:rPr>
            </w:pPr>
            <w:r w:rsidRPr="00C73849">
              <w:rPr>
                <w:rFonts w:ascii="Times New Roman"/>
                <w:b/>
                <w:w w:val="95"/>
                <w:sz w:val="20"/>
              </w:rPr>
              <w:t>Duration</w:t>
            </w:r>
            <w:r w:rsidRPr="00C73849">
              <w:rPr>
                <w:rFonts w:ascii="Times New Roman"/>
                <w:b/>
                <w:w w:val="99"/>
                <w:sz w:val="20"/>
              </w:rPr>
              <w:t xml:space="preserve"> </w:t>
            </w:r>
            <w:r w:rsidRPr="00C73849">
              <w:rPr>
                <w:rFonts w:ascii="Times New Roman"/>
                <w:b/>
                <w:sz w:val="20"/>
              </w:rPr>
              <w:t>of AE</w:t>
            </w:r>
          </w:p>
        </w:tc>
        <w:tc>
          <w:tcPr>
            <w:tcW w:w="979" w:type="dxa"/>
            <w:tcBorders>
              <w:top w:val="single" w:sz="13" w:space="0" w:color="000000"/>
              <w:left w:val="single" w:sz="5" w:space="0" w:color="000000"/>
              <w:bottom w:val="single" w:sz="5" w:space="0" w:color="000000"/>
              <w:right w:val="single" w:sz="5" w:space="0" w:color="000000"/>
            </w:tcBorders>
          </w:tcPr>
          <w:p w14:paraId="3FB53290" w14:textId="77777777" w:rsidR="00957F89" w:rsidRPr="00C73849" w:rsidRDefault="00957F89">
            <w:pPr>
              <w:pStyle w:val="TableParagraph"/>
              <w:rPr>
                <w:rFonts w:ascii="Times New Roman" w:eastAsia="Times New Roman" w:hAnsi="Times New Roman" w:cs="Times New Roman"/>
                <w:b/>
                <w:bCs/>
                <w:sz w:val="20"/>
                <w:szCs w:val="20"/>
              </w:rPr>
            </w:pPr>
          </w:p>
          <w:p w14:paraId="256186D8" w14:textId="77777777" w:rsidR="00957F89" w:rsidRPr="00C73849" w:rsidRDefault="00957F89">
            <w:pPr>
              <w:pStyle w:val="TableParagraph"/>
              <w:spacing w:before="7"/>
              <w:rPr>
                <w:rFonts w:ascii="Times New Roman" w:eastAsia="Times New Roman" w:hAnsi="Times New Roman" w:cs="Times New Roman"/>
                <w:b/>
                <w:bCs/>
                <w:sz w:val="19"/>
                <w:szCs w:val="19"/>
              </w:rPr>
            </w:pPr>
          </w:p>
          <w:p w14:paraId="297EDFB7" w14:textId="77777777" w:rsidR="00957F89" w:rsidRPr="00C73849" w:rsidRDefault="00D92D87">
            <w:pPr>
              <w:pStyle w:val="TableParagraph"/>
              <w:ind w:left="102"/>
              <w:rPr>
                <w:rFonts w:ascii="Times New Roman" w:eastAsia="Times New Roman" w:hAnsi="Times New Roman" w:cs="Times New Roman"/>
                <w:sz w:val="20"/>
                <w:szCs w:val="20"/>
              </w:rPr>
            </w:pPr>
            <w:r w:rsidRPr="00C73849">
              <w:rPr>
                <w:rFonts w:ascii="Times New Roman"/>
                <w:b/>
                <w:sz w:val="20"/>
              </w:rPr>
              <w:t>Intensity</w:t>
            </w:r>
          </w:p>
        </w:tc>
        <w:tc>
          <w:tcPr>
            <w:tcW w:w="1380" w:type="dxa"/>
            <w:tcBorders>
              <w:top w:val="single" w:sz="13" w:space="0" w:color="000000"/>
              <w:left w:val="single" w:sz="5" w:space="0" w:color="000000"/>
              <w:bottom w:val="single" w:sz="5" w:space="0" w:color="000000"/>
              <w:right w:val="single" w:sz="5" w:space="0" w:color="000000"/>
            </w:tcBorders>
          </w:tcPr>
          <w:p w14:paraId="035941C1" w14:textId="77777777" w:rsidR="00957F89" w:rsidRPr="00C73849" w:rsidRDefault="00957F89">
            <w:pPr>
              <w:pStyle w:val="TableParagraph"/>
              <w:spacing w:before="7"/>
              <w:rPr>
                <w:rFonts w:ascii="Times New Roman" w:eastAsia="Times New Roman" w:hAnsi="Times New Roman" w:cs="Times New Roman"/>
                <w:b/>
                <w:bCs/>
                <w:sz w:val="19"/>
                <w:szCs w:val="19"/>
              </w:rPr>
            </w:pPr>
          </w:p>
          <w:p w14:paraId="123C4D87" w14:textId="77777777" w:rsidR="00957F89" w:rsidRPr="00C73849" w:rsidRDefault="00D92D87">
            <w:pPr>
              <w:pStyle w:val="TableParagraph"/>
              <w:ind w:left="102" w:right="189"/>
              <w:rPr>
                <w:rFonts w:ascii="Times New Roman" w:eastAsia="Times New Roman" w:hAnsi="Times New Roman" w:cs="Times New Roman"/>
                <w:sz w:val="20"/>
                <w:szCs w:val="20"/>
              </w:rPr>
            </w:pPr>
            <w:r w:rsidRPr="00C73849">
              <w:rPr>
                <w:rFonts w:ascii="Times New Roman"/>
                <w:b/>
                <w:sz w:val="20"/>
              </w:rPr>
              <w:t>Relationship</w:t>
            </w:r>
            <w:r w:rsidRPr="00C73849">
              <w:rPr>
                <w:rFonts w:ascii="Times New Roman"/>
                <w:b/>
                <w:w w:val="99"/>
                <w:sz w:val="20"/>
              </w:rPr>
              <w:t xml:space="preserve"> </w:t>
            </w:r>
            <w:r w:rsidRPr="00C73849">
              <w:rPr>
                <w:rFonts w:ascii="Times New Roman"/>
                <w:b/>
                <w:sz w:val="20"/>
              </w:rPr>
              <w:t>to IMP</w:t>
            </w:r>
          </w:p>
        </w:tc>
        <w:tc>
          <w:tcPr>
            <w:tcW w:w="1277" w:type="dxa"/>
            <w:tcBorders>
              <w:top w:val="single" w:sz="13" w:space="0" w:color="000000"/>
              <w:left w:val="single" w:sz="5" w:space="0" w:color="000000"/>
              <w:bottom w:val="single" w:sz="5" w:space="0" w:color="000000"/>
              <w:right w:val="single" w:sz="12" w:space="0" w:color="000000"/>
            </w:tcBorders>
          </w:tcPr>
          <w:p w14:paraId="2E76E14D" w14:textId="77777777" w:rsidR="00957F89" w:rsidRPr="00C73849" w:rsidRDefault="00957F89">
            <w:pPr>
              <w:pStyle w:val="TableParagraph"/>
              <w:rPr>
                <w:rFonts w:ascii="Times New Roman" w:eastAsia="Times New Roman" w:hAnsi="Times New Roman" w:cs="Times New Roman"/>
                <w:b/>
                <w:bCs/>
                <w:sz w:val="20"/>
                <w:szCs w:val="20"/>
              </w:rPr>
            </w:pPr>
          </w:p>
          <w:p w14:paraId="21AE15B9" w14:textId="77777777" w:rsidR="00957F89" w:rsidRPr="00C73849" w:rsidRDefault="00957F89">
            <w:pPr>
              <w:pStyle w:val="TableParagraph"/>
              <w:spacing w:before="7"/>
              <w:rPr>
                <w:rFonts w:ascii="Times New Roman" w:eastAsia="Times New Roman" w:hAnsi="Times New Roman" w:cs="Times New Roman"/>
                <w:b/>
                <w:bCs/>
                <w:sz w:val="19"/>
                <w:szCs w:val="19"/>
              </w:rPr>
            </w:pPr>
          </w:p>
          <w:p w14:paraId="2E843060" w14:textId="77777777" w:rsidR="00957F89" w:rsidRPr="00C73849" w:rsidRDefault="00D92D87">
            <w:pPr>
              <w:pStyle w:val="TableParagraph"/>
              <w:ind w:left="102"/>
              <w:rPr>
                <w:rFonts w:ascii="Times New Roman" w:eastAsia="Times New Roman" w:hAnsi="Times New Roman" w:cs="Times New Roman"/>
                <w:sz w:val="20"/>
                <w:szCs w:val="20"/>
              </w:rPr>
            </w:pPr>
            <w:r w:rsidRPr="00C73849">
              <w:rPr>
                <w:rFonts w:ascii="Times New Roman"/>
                <w:b/>
                <w:sz w:val="20"/>
              </w:rPr>
              <w:t>Outcome</w:t>
            </w:r>
          </w:p>
        </w:tc>
      </w:tr>
      <w:tr w:rsidR="00957F89" w:rsidRPr="00C73849" w14:paraId="5BB445E6" w14:textId="77777777">
        <w:trPr>
          <w:trHeight w:hRule="exact" w:val="240"/>
        </w:trPr>
        <w:tc>
          <w:tcPr>
            <w:tcW w:w="9170" w:type="dxa"/>
            <w:gridSpan w:val="8"/>
            <w:tcBorders>
              <w:top w:val="single" w:sz="5" w:space="0" w:color="000000"/>
              <w:left w:val="single" w:sz="12" w:space="0" w:color="000000"/>
              <w:bottom w:val="single" w:sz="5" w:space="0" w:color="000000"/>
              <w:right w:val="single" w:sz="12" w:space="0" w:color="000000"/>
            </w:tcBorders>
          </w:tcPr>
          <w:p w14:paraId="6B8801A7" w14:textId="77777777" w:rsidR="00957F89" w:rsidRPr="00C73849" w:rsidRDefault="00D92D87">
            <w:pPr>
              <w:pStyle w:val="TableParagraph"/>
              <w:spacing w:line="227" w:lineRule="exact"/>
              <w:ind w:left="92"/>
              <w:rPr>
                <w:rFonts w:ascii="Times New Roman" w:eastAsia="Times New Roman" w:hAnsi="Times New Roman" w:cs="Times New Roman"/>
                <w:sz w:val="20"/>
                <w:szCs w:val="20"/>
              </w:rPr>
            </w:pPr>
            <w:r w:rsidRPr="00C73849">
              <w:rPr>
                <w:rFonts w:ascii="Times New Roman"/>
                <w:b/>
                <w:sz w:val="20"/>
              </w:rPr>
              <w:t>0.14 ml/kg Pyruvate Injection</w:t>
            </w:r>
          </w:p>
        </w:tc>
      </w:tr>
      <w:tr w:rsidR="00957F89" w:rsidRPr="00C73849" w14:paraId="7A41E831" w14:textId="77777777">
        <w:trPr>
          <w:trHeight w:hRule="exact" w:val="240"/>
        </w:trPr>
        <w:tc>
          <w:tcPr>
            <w:tcW w:w="1385" w:type="dxa"/>
            <w:tcBorders>
              <w:top w:val="single" w:sz="5" w:space="0" w:color="000000"/>
              <w:left w:val="single" w:sz="12" w:space="0" w:color="000000"/>
              <w:bottom w:val="single" w:sz="5" w:space="0" w:color="000000"/>
              <w:right w:val="single" w:sz="5" w:space="0" w:color="000000"/>
            </w:tcBorders>
          </w:tcPr>
          <w:p w14:paraId="2DEA677E" w14:textId="77777777" w:rsidR="00957F89" w:rsidRPr="00C73849" w:rsidRDefault="00D92D87">
            <w:pPr>
              <w:pStyle w:val="TableParagraph"/>
              <w:spacing w:line="222" w:lineRule="exact"/>
              <w:ind w:left="92"/>
              <w:rPr>
                <w:rFonts w:ascii="Times New Roman" w:eastAsia="Times New Roman" w:hAnsi="Times New Roman" w:cs="Times New Roman"/>
                <w:sz w:val="20"/>
                <w:szCs w:val="20"/>
              </w:rPr>
            </w:pPr>
            <w:r w:rsidRPr="00C73849">
              <w:rPr>
                <w:rFonts w:ascii="Times New Roman"/>
                <w:sz w:val="20"/>
              </w:rPr>
              <w:t>Feeling hot</w:t>
            </w:r>
          </w:p>
        </w:tc>
        <w:tc>
          <w:tcPr>
            <w:tcW w:w="996" w:type="dxa"/>
            <w:tcBorders>
              <w:top w:val="single" w:sz="5" w:space="0" w:color="000000"/>
              <w:left w:val="single" w:sz="5" w:space="0" w:color="000000"/>
              <w:bottom w:val="single" w:sz="5" w:space="0" w:color="000000"/>
              <w:right w:val="single" w:sz="5" w:space="0" w:color="000000"/>
            </w:tcBorders>
          </w:tcPr>
          <w:p w14:paraId="14910592" w14:textId="77777777" w:rsidR="00957F89" w:rsidRPr="00C73849" w:rsidRDefault="00D92D87">
            <w:pPr>
              <w:pStyle w:val="TableParagraph"/>
              <w:spacing w:line="222" w:lineRule="exact"/>
              <w:ind w:left="103"/>
              <w:rPr>
                <w:rFonts w:ascii="Times New Roman" w:eastAsia="Times New Roman" w:hAnsi="Times New Roman" w:cs="Times New Roman"/>
                <w:sz w:val="20"/>
                <w:szCs w:val="20"/>
              </w:rPr>
            </w:pPr>
            <w:r w:rsidRPr="00C73849">
              <w:rPr>
                <w:rFonts w:ascii="Times New Roman"/>
                <w:sz w:val="20"/>
              </w:rPr>
              <w:t>001-0007</w:t>
            </w:r>
          </w:p>
        </w:tc>
        <w:tc>
          <w:tcPr>
            <w:tcW w:w="905" w:type="dxa"/>
            <w:tcBorders>
              <w:top w:val="single" w:sz="5" w:space="0" w:color="000000"/>
              <w:left w:val="single" w:sz="5" w:space="0" w:color="000000"/>
              <w:bottom w:val="single" w:sz="5" w:space="0" w:color="000000"/>
              <w:right w:val="single" w:sz="5" w:space="0" w:color="000000"/>
            </w:tcBorders>
          </w:tcPr>
          <w:p w14:paraId="1A8F7FBE"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No</w:t>
            </w:r>
          </w:p>
        </w:tc>
        <w:tc>
          <w:tcPr>
            <w:tcW w:w="1188" w:type="dxa"/>
            <w:tcBorders>
              <w:top w:val="single" w:sz="5" w:space="0" w:color="000000"/>
              <w:left w:val="single" w:sz="5" w:space="0" w:color="000000"/>
              <w:bottom w:val="single" w:sz="5" w:space="0" w:color="000000"/>
              <w:right w:val="single" w:sz="5" w:space="0" w:color="000000"/>
            </w:tcBorders>
          </w:tcPr>
          <w:p w14:paraId="0E245D5D"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0 min</w:t>
            </w:r>
          </w:p>
        </w:tc>
        <w:tc>
          <w:tcPr>
            <w:tcW w:w="1061" w:type="dxa"/>
            <w:tcBorders>
              <w:top w:val="single" w:sz="5" w:space="0" w:color="000000"/>
              <w:left w:val="single" w:sz="5" w:space="0" w:color="000000"/>
              <w:bottom w:val="single" w:sz="5" w:space="0" w:color="000000"/>
              <w:right w:val="single" w:sz="5" w:space="0" w:color="000000"/>
            </w:tcBorders>
          </w:tcPr>
          <w:p w14:paraId="241E7B40"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2 min</w:t>
            </w:r>
          </w:p>
        </w:tc>
        <w:tc>
          <w:tcPr>
            <w:tcW w:w="979" w:type="dxa"/>
            <w:tcBorders>
              <w:top w:val="single" w:sz="5" w:space="0" w:color="000000"/>
              <w:left w:val="single" w:sz="5" w:space="0" w:color="000000"/>
              <w:bottom w:val="single" w:sz="5" w:space="0" w:color="000000"/>
              <w:right w:val="single" w:sz="5" w:space="0" w:color="000000"/>
            </w:tcBorders>
          </w:tcPr>
          <w:p w14:paraId="406AFE26"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Mild</w:t>
            </w:r>
          </w:p>
        </w:tc>
        <w:tc>
          <w:tcPr>
            <w:tcW w:w="1380" w:type="dxa"/>
            <w:tcBorders>
              <w:top w:val="single" w:sz="5" w:space="0" w:color="000000"/>
              <w:left w:val="single" w:sz="5" w:space="0" w:color="000000"/>
              <w:bottom w:val="single" w:sz="5" w:space="0" w:color="000000"/>
              <w:right w:val="single" w:sz="5" w:space="0" w:color="000000"/>
            </w:tcBorders>
          </w:tcPr>
          <w:p w14:paraId="63A4BE9C"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Suspected</w:t>
            </w:r>
          </w:p>
        </w:tc>
        <w:tc>
          <w:tcPr>
            <w:tcW w:w="1277" w:type="dxa"/>
            <w:tcBorders>
              <w:top w:val="single" w:sz="5" w:space="0" w:color="000000"/>
              <w:left w:val="single" w:sz="5" w:space="0" w:color="000000"/>
              <w:bottom w:val="single" w:sz="5" w:space="0" w:color="000000"/>
              <w:right w:val="single" w:sz="12" w:space="0" w:color="000000"/>
            </w:tcBorders>
          </w:tcPr>
          <w:p w14:paraId="42315976"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Resolved</w:t>
            </w:r>
          </w:p>
        </w:tc>
      </w:tr>
      <w:tr w:rsidR="00957F89" w:rsidRPr="00C73849" w14:paraId="49C53A75" w14:textId="77777777">
        <w:trPr>
          <w:trHeight w:hRule="exact" w:val="240"/>
        </w:trPr>
        <w:tc>
          <w:tcPr>
            <w:tcW w:w="1385" w:type="dxa"/>
            <w:tcBorders>
              <w:top w:val="single" w:sz="5" w:space="0" w:color="000000"/>
              <w:left w:val="single" w:sz="12" w:space="0" w:color="000000"/>
              <w:bottom w:val="single" w:sz="5" w:space="0" w:color="000000"/>
              <w:right w:val="single" w:sz="5" w:space="0" w:color="000000"/>
            </w:tcBorders>
          </w:tcPr>
          <w:p w14:paraId="4D75A852" w14:textId="77777777" w:rsidR="00957F89" w:rsidRPr="00C73849" w:rsidRDefault="00D92D87">
            <w:pPr>
              <w:pStyle w:val="TableParagraph"/>
              <w:spacing w:line="222" w:lineRule="exact"/>
              <w:ind w:left="92"/>
              <w:rPr>
                <w:rFonts w:ascii="Times New Roman" w:eastAsia="Times New Roman" w:hAnsi="Times New Roman" w:cs="Times New Roman"/>
                <w:sz w:val="20"/>
                <w:szCs w:val="20"/>
              </w:rPr>
            </w:pPr>
            <w:r w:rsidRPr="00C73849">
              <w:rPr>
                <w:rFonts w:ascii="Times New Roman"/>
                <w:sz w:val="20"/>
              </w:rPr>
              <w:t>Dry mouth</w:t>
            </w:r>
          </w:p>
        </w:tc>
        <w:tc>
          <w:tcPr>
            <w:tcW w:w="996" w:type="dxa"/>
            <w:tcBorders>
              <w:top w:val="single" w:sz="5" w:space="0" w:color="000000"/>
              <w:left w:val="single" w:sz="5" w:space="0" w:color="000000"/>
              <w:bottom w:val="single" w:sz="5" w:space="0" w:color="000000"/>
              <w:right w:val="single" w:sz="5" w:space="0" w:color="000000"/>
            </w:tcBorders>
          </w:tcPr>
          <w:p w14:paraId="35C729D5"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001-0007</w:t>
            </w:r>
          </w:p>
        </w:tc>
        <w:tc>
          <w:tcPr>
            <w:tcW w:w="905" w:type="dxa"/>
            <w:tcBorders>
              <w:top w:val="single" w:sz="5" w:space="0" w:color="000000"/>
              <w:left w:val="single" w:sz="5" w:space="0" w:color="000000"/>
              <w:bottom w:val="single" w:sz="5" w:space="0" w:color="000000"/>
              <w:right w:val="single" w:sz="5" w:space="0" w:color="000000"/>
            </w:tcBorders>
          </w:tcPr>
          <w:p w14:paraId="349C9444"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No</w:t>
            </w:r>
          </w:p>
        </w:tc>
        <w:tc>
          <w:tcPr>
            <w:tcW w:w="1188" w:type="dxa"/>
            <w:tcBorders>
              <w:top w:val="single" w:sz="5" w:space="0" w:color="000000"/>
              <w:left w:val="single" w:sz="5" w:space="0" w:color="000000"/>
              <w:bottom w:val="single" w:sz="5" w:space="0" w:color="000000"/>
              <w:right w:val="single" w:sz="5" w:space="0" w:color="000000"/>
            </w:tcBorders>
          </w:tcPr>
          <w:p w14:paraId="75F0BDE8"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0 min</w:t>
            </w:r>
          </w:p>
        </w:tc>
        <w:tc>
          <w:tcPr>
            <w:tcW w:w="1061" w:type="dxa"/>
            <w:tcBorders>
              <w:top w:val="single" w:sz="5" w:space="0" w:color="000000"/>
              <w:left w:val="single" w:sz="5" w:space="0" w:color="000000"/>
              <w:bottom w:val="single" w:sz="5" w:space="0" w:color="000000"/>
              <w:right w:val="single" w:sz="5" w:space="0" w:color="000000"/>
            </w:tcBorders>
          </w:tcPr>
          <w:p w14:paraId="2FB258E1"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2 min</w:t>
            </w:r>
          </w:p>
        </w:tc>
        <w:tc>
          <w:tcPr>
            <w:tcW w:w="979" w:type="dxa"/>
            <w:tcBorders>
              <w:top w:val="single" w:sz="5" w:space="0" w:color="000000"/>
              <w:left w:val="single" w:sz="5" w:space="0" w:color="000000"/>
              <w:bottom w:val="single" w:sz="5" w:space="0" w:color="000000"/>
              <w:right w:val="single" w:sz="5" w:space="0" w:color="000000"/>
            </w:tcBorders>
          </w:tcPr>
          <w:p w14:paraId="68088348" w14:textId="77777777" w:rsidR="00957F89" w:rsidRPr="00C73849" w:rsidRDefault="00D92D87">
            <w:pPr>
              <w:pStyle w:val="TableParagraph"/>
              <w:spacing w:line="222" w:lineRule="exact"/>
              <w:ind w:left="99"/>
              <w:rPr>
                <w:rFonts w:ascii="Times New Roman" w:eastAsia="Times New Roman" w:hAnsi="Times New Roman" w:cs="Times New Roman"/>
                <w:sz w:val="20"/>
                <w:szCs w:val="20"/>
              </w:rPr>
            </w:pPr>
            <w:r w:rsidRPr="00C73849">
              <w:rPr>
                <w:rFonts w:ascii="Times New Roman"/>
                <w:sz w:val="20"/>
              </w:rPr>
              <w:t>Mild</w:t>
            </w:r>
          </w:p>
        </w:tc>
        <w:tc>
          <w:tcPr>
            <w:tcW w:w="1380" w:type="dxa"/>
            <w:tcBorders>
              <w:top w:val="single" w:sz="5" w:space="0" w:color="000000"/>
              <w:left w:val="single" w:sz="5" w:space="0" w:color="000000"/>
              <w:bottom w:val="single" w:sz="5" w:space="0" w:color="000000"/>
              <w:right w:val="single" w:sz="5" w:space="0" w:color="000000"/>
            </w:tcBorders>
          </w:tcPr>
          <w:p w14:paraId="29A14F4D"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Suspected</w:t>
            </w:r>
          </w:p>
        </w:tc>
        <w:tc>
          <w:tcPr>
            <w:tcW w:w="1277" w:type="dxa"/>
            <w:tcBorders>
              <w:top w:val="single" w:sz="5" w:space="0" w:color="000000"/>
              <w:left w:val="single" w:sz="5" w:space="0" w:color="000000"/>
              <w:bottom w:val="single" w:sz="5" w:space="0" w:color="000000"/>
              <w:right w:val="single" w:sz="12" w:space="0" w:color="000000"/>
            </w:tcBorders>
          </w:tcPr>
          <w:p w14:paraId="2C6C1743"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Resolved</w:t>
            </w:r>
          </w:p>
        </w:tc>
      </w:tr>
      <w:tr w:rsidR="00957F89" w:rsidRPr="00C73849" w14:paraId="55542C2F" w14:textId="77777777">
        <w:trPr>
          <w:trHeight w:hRule="exact" w:val="240"/>
        </w:trPr>
        <w:tc>
          <w:tcPr>
            <w:tcW w:w="1385" w:type="dxa"/>
            <w:vMerge w:val="restart"/>
            <w:tcBorders>
              <w:top w:val="single" w:sz="5" w:space="0" w:color="000000"/>
              <w:left w:val="single" w:sz="12" w:space="0" w:color="000000"/>
              <w:right w:val="single" w:sz="5" w:space="0" w:color="000000"/>
            </w:tcBorders>
          </w:tcPr>
          <w:p w14:paraId="2E608188" w14:textId="77777777" w:rsidR="00957F89" w:rsidRPr="00C73849" w:rsidRDefault="00D92D87">
            <w:pPr>
              <w:pStyle w:val="TableParagraph"/>
              <w:spacing w:line="222" w:lineRule="exact"/>
              <w:ind w:left="92"/>
              <w:rPr>
                <w:rFonts w:ascii="Times New Roman" w:eastAsia="Times New Roman" w:hAnsi="Times New Roman" w:cs="Times New Roman"/>
                <w:sz w:val="20"/>
                <w:szCs w:val="20"/>
              </w:rPr>
            </w:pPr>
            <w:r w:rsidRPr="00C73849">
              <w:rPr>
                <w:rFonts w:ascii="Times New Roman"/>
                <w:sz w:val="20"/>
              </w:rPr>
              <w:t>Dizziness</w:t>
            </w:r>
          </w:p>
        </w:tc>
        <w:tc>
          <w:tcPr>
            <w:tcW w:w="996" w:type="dxa"/>
            <w:tcBorders>
              <w:top w:val="single" w:sz="5" w:space="0" w:color="000000"/>
              <w:left w:val="single" w:sz="5" w:space="0" w:color="000000"/>
              <w:bottom w:val="single" w:sz="5" w:space="0" w:color="000000"/>
              <w:right w:val="single" w:sz="5" w:space="0" w:color="000000"/>
            </w:tcBorders>
          </w:tcPr>
          <w:p w14:paraId="47560EE1"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001-0008</w:t>
            </w:r>
          </w:p>
        </w:tc>
        <w:tc>
          <w:tcPr>
            <w:tcW w:w="905" w:type="dxa"/>
            <w:tcBorders>
              <w:top w:val="single" w:sz="5" w:space="0" w:color="000000"/>
              <w:left w:val="single" w:sz="5" w:space="0" w:color="000000"/>
              <w:bottom w:val="single" w:sz="5" w:space="0" w:color="000000"/>
              <w:right w:val="single" w:sz="5" w:space="0" w:color="000000"/>
            </w:tcBorders>
          </w:tcPr>
          <w:p w14:paraId="4B85AAB9"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No</w:t>
            </w:r>
          </w:p>
        </w:tc>
        <w:tc>
          <w:tcPr>
            <w:tcW w:w="1188" w:type="dxa"/>
            <w:tcBorders>
              <w:top w:val="single" w:sz="5" w:space="0" w:color="000000"/>
              <w:left w:val="single" w:sz="5" w:space="0" w:color="000000"/>
              <w:bottom w:val="single" w:sz="5" w:space="0" w:color="000000"/>
              <w:right w:val="single" w:sz="5" w:space="0" w:color="000000"/>
            </w:tcBorders>
          </w:tcPr>
          <w:p w14:paraId="61F36501"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1 h 18 min</w:t>
            </w:r>
          </w:p>
        </w:tc>
        <w:tc>
          <w:tcPr>
            <w:tcW w:w="1061" w:type="dxa"/>
            <w:tcBorders>
              <w:top w:val="single" w:sz="5" w:space="0" w:color="000000"/>
              <w:left w:val="single" w:sz="5" w:space="0" w:color="000000"/>
              <w:bottom w:val="single" w:sz="5" w:space="0" w:color="000000"/>
              <w:right w:val="single" w:sz="5" w:space="0" w:color="000000"/>
            </w:tcBorders>
          </w:tcPr>
          <w:p w14:paraId="5176C37C" w14:textId="77777777" w:rsidR="00957F89" w:rsidRPr="00C73849" w:rsidRDefault="00D92D87">
            <w:pPr>
              <w:pStyle w:val="TableParagraph"/>
              <w:spacing w:line="222" w:lineRule="exact"/>
              <w:ind w:left="99"/>
              <w:rPr>
                <w:rFonts w:ascii="Times New Roman" w:eastAsia="Times New Roman" w:hAnsi="Times New Roman" w:cs="Times New Roman"/>
                <w:sz w:val="20"/>
                <w:szCs w:val="20"/>
              </w:rPr>
            </w:pPr>
            <w:r w:rsidRPr="00C73849">
              <w:rPr>
                <w:rFonts w:ascii="Times New Roman"/>
                <w:sz w:val="20"/>
              </w:rPr>
              <w:t>1 min</w:t>
            </w:r>
          </w:p>
        </w:tc>
        <w:tc>
          <w:tcPr>
            <w:tcW w:w="979" w:type="dxa"/>
            <w:tcBorders>
              <w:top w:val="single" w:sz="5" w:space="0" w:color="000000"/>
              <w:left w:val="single" w:sz="5" w:space="0" w:color="000000"/>
              <w:bottom w:val="single" w:sz="5" w:space="0" w:color="000000"/>
              <w:right w:val="single" w:sz="5" w:space="0" w:color="000000"/>
            </w:tcBorders>
          </w:tcPr>
          <w:p w14:paraId="54364A02" w14:textId="77777777" w:rsidR="00957F89" w:rsidRPr="00C73849" w:rsidRDefault="00D92D87">
            <w:pPr>
              <w:pStyle w:val="TableParagraph"/>
              <w:spacing w:line="222" w:lineRule="exact"/>
              <w:ind w:left="99"/>
              <w:rPr>
                <w:rFonts w:ascii="Times New Roman" w:eastAsia="Times New Roman" w:hAnsi="Times New Roman" w:cs="Times New Roman"/>
                <w:sz w:val="20"/>
                <w:szCs w:val="20"/>
              </w:rPr>
            </w:pPr>
            <w:r w:rsidRPr="00C73849">
              <w:rPr>
                <w:rFonts w:ascii="Times New Roman"/>
                <w:sz w:val="20"/>
              </w:rPr>
              <w:t>Mild</w:t>
            </w:r>
          </w:p>
        </w:tc>
        <w:tc>
          <w:tcPr>
            <w:tcW w:w="1380" w:type="dxa"/>
            <w:tcBorders>
              <w:top w:val="single" w:sz="5" w:space="0" w:color="000000"/>
              <w:left w:val="single" w:sz="5" w:space="0" w:color="000000"/>
              <w:bottom w:val="single" w:sz="5" w:space="0" w:color="000000"/>
              <w:right w:val="single" w:sz="5" w:space="0" w:color="000000"/>
            </w:tcBorders>
          </w:tcPr>
          <w:p w14:paraId="41C20006" w14:textId="77777777" w:rsidR="00957F89" w:rsidRPr="00C73849" w:rsidRDefault="00D92D87">
            <w:pPr>
              <w:pStyle w:val="TableParagraph"/>
              <w:spacing w:line="222" w:lineRule="exact"/>
              <w:ind w:left="99"/>
              <w:rPr>
                <w:rFonts w:ascii="Times New Roman" w:eastAsia="Times New Roman" w:hAnsi="Times New Roman" w:cs="Times New Roman"/>
                <w:sz w:val="20"/>
                <w:szCs w:val="20"/>
              </w:rPr>
            </w:pPr>
            <w:r w:rsidRPr="00C73849">
              <w:rPr>
                <w:rFonts w:ascii="Times New Roman"/>
                <w:sz w:val="20"/>
              </w:rPr>
              <w:t>Not suspected</w:t>
            </w:r>
          </w:p>
        </w:tc>
        <w:tc>
          <w:tcPr>
            <w:tcW w:w="1277" w:type="dxa"/>
            <w:tcBorders>
              <w:top w:val="single" w:sz="5" w:space="0" w:color="000000"/>
              <w:left w:val="single" w:sz="5" w:space="0" w:color="000000"/>
              <w:bottom w:val="single" w:sz="5" w:space="0" w:color="000000"/>
              <w:right w:val="single" w:sz="12" w:space="0" w:color="000000"/>
            </w:tcBorders>
          </w:tcPr>
          <w:p w14:paraId="4A87C317"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Resolved</w:t>
            </w:r>
          </w:p>
        </w:tc>
      </w:tr>
      <w:tr w:rsidR="00957F89" w:rsidRPr="00C73849" w14:paraId="2D5FAD8C" w14:textId="77777777">
        <w:trPr>
          <w:trHeight w:hRule="exact" w:val="240"/>
        </w:trPr>
        <w:tc>
          <w:tcPr>
            <w:tcW w:w="1385" w:type="dxa"/>
            <w:vMerge/>
            <w:tcBorders>
              <w:left w:val="single" w:sz="12" w:space="0" w:color="000000"/>
              <w:bottom w:val="single" w:sz="5" w:space="0" w:color="000000"/>
              <w:right w:val="single" w:sz="5" w:space="0" w:color="000000"/>
            </w:tcBorders>
          </w:tcPr>
          <w:p w14:paraId="192FF752" w14:textId="77777777" w:rsidR="00957F89" w:rsidRPr="00C73849" w:rsidRDefault="00957F89"/>
        </w:tc>
        <w:tc>
          <w:tcPr>
            <w:tcW w:w="996" w:type="dxa"/>
            <w:tcBorders>
              <w:top w:val="single" w:sz="5" w:space="0" w:color="000000"/>
              <w:left w:val="single" w:sz="5" w:space="0" w:color="000000"/>
              <w:bottom w:val="single" w:sz="5" w:space="0" w:color="000000"/>
              <w:right w:val="single" w:sz="5" w:space="0" w:color="000000"/>
            </w:tcBorders>
          </w:tcPr>
          <w:p w14:paraId="602FBC02"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001-0009</w:t>
            </w:r>
          </w:p>
        </w:tc>
        <w:tc>
          <w:tcPr>
            <w:tcW w:w="905" w:type="dxa"/>
            <w:tcBorders>
              <w:top w:val="single" w:sz="5" w:space="0" w:color="000000"/>
              <w:left w:val="single" w:sz="5" w:space="0" w:color="000000"/>
              <w:bottom w:val="single" w:sz="5" w:space="0" w:color="000000"/>
              <w:right w:val="single" w:sz="5" w:space="0" w:color="000000"/>
            </w:tcBorders>
          </w:tcPr>
          <w:p w14:paraId="224C93E9"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No</w:t>
            </w:r>
          </w:p>
        </w:tc>
        <w:tc>
          <w:tcPr>
            <w:tcW w:w="1188" w:type="dxa"/>
            <w:tcBorders>
              <w:top w:val="single" w:sz="5" w:space="0" w:color="000000"/>
              <w:left w:val="single" w:sz="5" w:space="0" w:color="000000"/>
              <w:bottom w:val="single" w:sz="5" w:space="0" w:color="000000"/>
              <w:right w:val="single" w:sz="5" w:space="0" w:color="000000"/>
            </w:tcBorders>
          </w:tcPr>
          <w:p w14:paraId="6ED31CCC"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0 min</w:t>
            </w:r>
          </w:p>
        </w:tc>
        <w:tc>
          <w:tcPr>
            <w:tcW w:w="1061" w:type="dxa"/>
            <w:tcBorders>
              <w:top w:val="single" w:sz="5" w:space="0" w:color="000000"/>
              <w:left w:val="single" w:sz="5" w:space="0" w:color="000000"/>
              <w:bottom w:val="single" w:sz="5" w:space="0" w:color="000000"/>
              <w:right w:val="single" w:sz="5" w:space="0" w:color="000000"/>
            </w:tcBorders>
          </w:tcPr>
          <w:p w14:paraId="34049F11"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2 min</w:t>
            </w:r>
          </w:p>
        </w:tc>
        <w:tc>
          <w:tcPr>
            <w:tcW w:w="979" w:type="dxa"/>
            <w:tcBorders>
              <w:top w:val="single" w:sz="5" w:space="0" w:color="000000"/>
              <w:left w:val="single" w:sz="5" w:space="0" w:color="000000"/>
              <w:bottom w:val="single" w:sz="5" w:space="0" w:color="000000"/>
              <w:right w:val="single" w:sz="5" w:space="0" w:color="000000"/>
            </w:tcBorders>
          </w:tcPr>
          <w:p w14:paraId="30572AD0"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Mild</w:t>
            </w:r>
          </w:p>
        </w:tc>
        <w:tc>
          <w:tcPr>
            <w:tcW w:w="1380" w:type="dxa"/>
            <w:tcBorders>
              <w:top w:val="single" w:sz="5" w:space="0" w:color="000000"/>
              <w:left w:val="single" w:sz="5" w:space="0" w:color="000000"/>
              <w:bottom w:val="single" w:sz="5" w:space="0" w:color="000000"/>
              <w:right w:val="single" w:sz="5" w:space="0" w:color="000000"/>
            </w:tcBorders>
          </w:tcPr>
          <w:p w14:paraId="1B124D06"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Suspected</w:t>
            </w:r>
          </w:p>
        </w:tc>
        <w:tc>
          <w:tcPr>
            <w:tcW w:w="1277" w:type="dxa"/>
            <w:tcBorders>
              <w:top w:val="single" w:sz="5" w:space="0" w:color="000000"/>
              <w:left w:val="single" w:sz="5" w:space="0" w:color="000000"/>
              <w:bottom w:val="single" w:sz="5" w:space="0" w:color="000000"/>
              <w:right w:val="single" w:sz="12" w:space="0" w:color="000000"/>
            </w:tcBorders>
          </w:tcPr>
          <w:p w14:paraId="2821A264"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Resolved</w:t>
            </w:r>
          </w:p>
        </w:tc>
      </w:tr>
      <w:tr w:rsidR="00957F89" w:rsidRPr="00C73849" w14:paraId="4E7A2376" w14:textId="77777777">
        <w:trPr>
          <w:trHeight w:hRule="exact" w:val="240"/>
        </w:trPr>
        <w:tc>
          <w:tcPr>
            <w:tcW w:w="9170" w:type="dxa"/>
            <w:gridSpan w:val="8"/>
            <w:tcBorders>
              <w:top w:val="single" w:sz="5" w:space="0" w:color="000000"/>
              <w:left w:val="single" w:sz="12" w:space="0" w:color="000000"/>
              <w:bottom w:val="single" w:sz="5" w:space="0" w:color="000000"/>
              <w:right w:val="single" w:sz="12" w:space="0" w:color="000000"/>
            </w:tcBorders>
          </w:tcPr>
          <w:p w14:paraId="4A9197D2" w14:textId="77777777" w:rsidR="00957F89" w:rsidRPr="00C73849" w:rsidRDefault="00D92D87">
            <w:pPr>
              <w:pStyle w:val="TableParagraph"/>
              <w:spacing w:line="227" w:lineRule="exact"/>
              <w:ind w:left="92"/>
              <w:rPr>
                <w:rFonts w:ascii="Times New Roman" w:eastAsia="Times New Roman" w:hAnsi="Times New Roman" w:cs="Times New Roman"/>
                <w:sz w:val="20"/>
                <w:szCs w:val="20"/>
              </w:rPr>
            </w:pPr>
            <w:r w:rsidRPr="00C73849">
              <w:rPr>
                <w:rFonts w:ascii="Times New Roman"/>
                <w:b/>
                <w:sz w:val="20"/>
              </w:rPr>
              <w:t>0.28 ml/kg Pyruvate Injection</w:t>
            </w:r>
          </w:p>
        </w:tc>
      </w:tr>
      <w:tr w:rsidR="00957F89" w:rsidRPr="00C73849" w14:paraId="1AFAEC77" w14:textId="77777777">
        <w:trPr>
          <w:trHeight w:hRule="exact" w:val="240"/>
        </w:trPr>
        <w:tc>
          <w:tcPr>
            <w:tcW w:w="1385" w:type="dxa"/>
            <w:vMerge w:val="restart"/>
            <w:tcBorders>
              <w:top w:val="single" w:sz="5" w:space="0" w:color="000000"/>
              <w:left w:val="single" w:sz="12" w:space="0" w:color="000000"/>
              <w:right w:val="single" w:sz="5" w:space="0" w:color="000000"/>
            </w:tcBorders>
          </w:tcPr>
          <w:p w14:paraId="3EAF4D58" w14:textId="77777777" w:rsidR="00957F89" w:rsidRPr="00C73849" w:rsidRDefault="00D92D87">
            <w:pPr>
              <w:pStyle w:val="TableParagraph"/>
              <w:spacing w:line="222" w:lineRule="exact"/>
              <w:ind w:left="92"/>
              <w:rPr>
                <w:rFonts w:ascii="Times New Roman" w:eastAsia="Times New Roman" w:hAnsi="Times New Roman" w:cs="Times New Roman"/>
                <w:sz w:val="20"/>
                <w:szCs w:val="20"/>
              </w:rPr>
            </w:pPr>
            <w:r w:rsidRPr="00C73849">
              <w:rPr>
                <w:rFonts w:ascii="Times New Roman"/>
                <w:sz w:val="20"/>
              </w:rPr>
              <w:t>Feeling hot</w:t>
            </w:r>
          </w:p>
        </w:tc>
        <w:tc>
          <w:tcPr>
            <w:tcW w:w="996" w:type="dxa"/>
            <w:tcBorders>
              <w:top w:val="single" w:sz="5" w:space="0" w:color="000000"/>
              <w:left w:val="single" w:sz="5" w:space="0" w:color="000000"/>
              <w:bottom w:val="single" w:sz="5" w:space="0" w:color="000000"/>
              <w:right w:val="single" w:sz="5" w:space="0" w:color="000000"/>
            </w:tcBorders>
          </w:tcPr>
          <w:p w14:paraId="6636FCE3"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001-0013</w:t>
            </w:r>
          </w:p>
        </w:tc>
        <w:tc>
          <w:tcPr>
            <w:tcW w:w="905" w:type="dxa"/>
            <w:tcBorders>
              <w:top w:val="single" w:sz="5" w:space="0" w:color="000000"/>
              <w:left w:val="single" w:sz="5" w:space="0" w:color="000000"/>
              <w:bottom w:val="single" w:sz="5" w:space="0" w:color="000000"/>
              <w:right w:val="single" w:sz="5" w:space="0" w:color="000000"/>
            </w:tcBorders>
          </w:tcPr>
          <w:p w14:paraId="66907B16"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No</w:t>
            </w:r>
          </w:p>
        </w:tc>
        <w:tc>
          <w:tcPr>
            <w:tcW w:w="1188" w:type="dxa"/>
            <w:tcBorders>
              <w:top w:val="single" w:sz="5" w:space="0" w:color="000000"/>
              <w:left w:val="single" w:sz="5" w:space="0" w:color="000000"/>
              <w:bottom w:val="single" w:sz="5" w:space="0" w:color="000000"/>
              <w:right w:val="single" w:sz="5" w:space="0" w:color="000000"/>
            </w:tcBorders>
          </w:tcPr>
          <w:p w14:paraId="4FCEE70A"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0 min</w:t>
            </w:r>
          </w:p>
        </w:tc>
        <w:tc>
          <w:tcPr>
            <w:tcW w:w="1061" w:type="dxa"/>
            <w:tcBorders>
              <w:top w:val="single" w:sz="5" w:space="0" w:color="000000"/>
              <w:left w:val="single" w:sz="5" w:space="0" w:color="000000"/>
              <w:bottom w:val="single" w:sz="5" w:space="0" w:color="000000"/>
              <w:right w:val="single" w:sz="5" w:space="0" w:color="000000"/>
            </w:tcBorders>
          </w:tcPr>
          <w:p w14:paraId="4F8241A0"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5 s</w:t>
            </w:r>
          </w:p>
        </w:tc>
        <w:tc>
          <w:tcPr>
            <w:tcW w:w="979" w:type="dxa"/>
            <w:tcBorders>
              <w:top w:val="single" w:sz="5" w:space="0" w:color="000000"/>
              <w:left w:val="single" w:sz="5" w:space="0" w:color="000000"/>
              <w:bottom w:val="single" w:sz="5" w:space="0" w:color="000000"/>
              <w:right w:val="single" w:sz="5" w:space="0" w:color="000000"/>
            </w:tcBorders>
          </w:tcPr>
          <w:p w14:paraId="531C6C8B"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Mild</w:t>
            </w:r>
          </w:p>
        </w:tc>
        <w:tc>
          <w:tcPr>
            <w:tcW w:w="1380" w:type="dxa"/>
            <w:tcBorders>
              <w:top w:val="single" w:sz="5" w:space="0" w:color="000000"/>
              <w:left w:val="single" w:sz="5" w:space="0" w:color="000000"/>
              <w:bottom w:val="single" w:sz="5" w:space="0" w:color="000000"/>
              <w:right w:val="single" w:sz="5" w:space="0" w:color="000000"/>
            </w:tcBorders>
          </w:tcPr>
          <w:p w14:paraId="047CED09"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Suspected</w:t>
            </w:r>
          </w:p>
        </w:tc>
        <w:tc>
          <w:tcPr>
            <w:tcW w:w="1277" w:type="dxa"/>
            <w:tcBorders>
              <w:top w:val="single" w:sz="5" w:space="0" w:color="000000"/>
              <w:left w:val="single" w:sz="5" w:space="0" w:color="000000"/>
              <w:bottom w:val="single" w:sz="5" w:space="0" w:color="000000"/>
              <w:right w:val="single" w:sz="12" w:space="0" w:color="000000"/>
            </w:tcBorders>
          </w:tcPr>
          <w:p w14:paraId="479E3242"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Resolved</w:t>
            </w:r>
          </w:p>
        </w:tc>
      </w:tr>
      <w:tr w:rsidR="00957F89" w:rsidRPr="00C73849" w14:paraId="0FD07B4B" w14:textId="77777777">
        <w:trPr>
          <w:trHeight w:hRule="exact" w:val="254"/>
        </w:trPr>
        <w:tc>
          <w:tcPr>
            <w:tcW w:w="1385" w:type="dxa"/>
            <w:vMerge/>
            <w:tcBorders>
              <w:left w:val="single" w:sz="12" w:space="0" w:color="000000"/>
              <w:bottom w:val="single" w:sz="5" w:space="0" w:color="000000"/>
              <w:right w:val="single" w:sz="5" w:space="0" w:color="000000"/>
            </w:tcBorders>
          </w:tcPr>
          <w:p w14:paraId="274E4695" w14:textId="77777777" w:rsidR="00957F89" w:rsidRPr="00C73849" w:rsidRDefault="00957F89"/>
        </w:tc>
        <w:tc>
          <w:tcPr>
            <w:tcW w:w="996" w:type="dxa"/>
            <w:tcBorders>
              <w:top w:val="single" w:sz="5" w:space="0" w:color="000000"/>
              <w:left w:val="single" w:sz="5" w:space="0" w:color="000000"/>
              <w:bottom w:val="single" w:sz="5" w:space="0" w:color="000000"/>
              <w:right w:val="single" w:sz="5" w:space="0" w:color="000000"/>
            </w:tcBorders>
          </w:tcPr>
          <w:p w14:paraId="00F68232"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001-0014</w:t>
            </w:r>
          </w:p>
        </w:tc>
        <w:tc>
          <w:tcPr>
            <w:tcW w:w="905" w:type="dxa"/>
            <w:tcBorders>
              <w:top w:val="single" w:sz="5" w:space="0" w:color="000000"/>
              <w:left w:val="single" w:sz="5" w:space="0" w:color="000000"/>
              <w:bottom w:val="single" w:sz="5" w:space="0" w:color="000000"/>
              <w:right w:val="single" w:sz="5" w:space="0" w:color="000000"/>
            </w:tcBorders>
          </w:tcPr>
          <w:p w14:paraId="0BED7742"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No</w:t>
            </w:r>
          </w:p>
        </w:tc>
        <w:tc>
          <w:tcPr>
            <w:tcW w:w="1188" w:type="dxa"/>
            <w:tcBorders>
              <w:top w:val="single" w:sz="5" w:space="0" w:color="000000"/>
              <w:left w:val="single" w:sz="5" w:space="0" w:color="000000"/>
              <w:bottom w:val="single" w:sz="5" w:space="0" w:color="000000"/>
              <w:right w:val="single" w:sz="5" w:space="0" w:color="000000"/>
            </w:tcBorders>
          </w:tcPr>
          <w:p w14:paraId="3004D035"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0 min</w:t>
            </w:r>
          </w:p>
        </w:tc>
        <w:tc>
          <w:tcPr>
            <w:tcW w:w="1061" w:type="dxa"/>
            <w:tcBorders>
              <w:top w:val="single" w:sz="5" w:space="0" w:color="000000"/>
              <w:left w:val="single" w:sz="5" w:space="0" w:color="000000"/>
              <w:bottom w:val="single" w:sz="5" w:space="0" w:color="000000"/>
              <w:right w:val="single" w:sz="5" w:space="0" w:color="000000"/>
            </w:tcBorders>
          </w:tcPr>
          <w:p w14:paraId="43B44D32" w14:textId="77777777" w:rsidR="00957F89" w:rsidRPr="00C73849" w:rsidRDefault="00D92D87">
            <w:pPr>
              <w:pStyle w:val="TableParagraph"/>
              <w:spacing w:line="240" w:lineRule="exact"/>
              <w:ind w:left="102"/>
              <w:rPr>
                <w:rFonts w:ascii="Times New Roman" w:eastAsia="Times New Roman" w:hAnsi="Times New Roman" w:cs="Times New Roman"/>
                <w:sz w:val="20"/>
                <w:szCs w:val="20"/>
              </w:rPr>
            </w:pPr>
            <w:r w:rsidRPr="00C73849">
              <w:rPr>
                <w:rFonts w:ascii="Symbol" w:eastAsia="Symbol" w:hAnsi="Symbol" w:cs="Symbol"/>
                <w:sz w:val="20"/>
                <w:szCs w:val="20"/>
              </w:rPr>
              <w:t></w:t>
            </w:r>
            <w:r w:rsidRPr="00C73849">
              <w:rPr>
                <w:rFonts w:ascii="Times New Roman" w:eastAsia="Times New Roman" w:hAnsi="Times New Roman" w:cs="Times New Roman"/>
                <w:sz w:val="20"/>
                <w:szCs w:val="20"/>
              </w:rPr>
              <w:t>1 min</w:t>
            </w:r>
          </w:p>
        </w:tc>
        <w:tc>
          <w:tcPr>
            <w:tcW w:w="979" w:type="dxa"/>
            <w:tcBorders>
              <w:top w:val="single" w:sz="5" w:space="0" w:color="000000"/>
              <w:left w:val="single" w:sz="5" w:space="0" w:color="000000"/>
              <w:bottom w:val="single" w:sz="5" w:space="0" w:color="000000"/>
              <w:right w:val="single" w:sz="5" w:space="0" w:color="000000"/>
            </w:tcBorders>
          </w:tcPr>
          <w:p w14:paraId="77024161"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Mild</w:t>
            </w:r>
          </w:p>
        </w:tc>
        <w:tc>
          <w:tcPr>
            <w:tcW w:w="1380" w:type="dxa"/>
            <w:tcBorders>
              <w:top w:val="single" w:sz="5" w:space="0" w:color="000000"/>
              <w:left w:val="single" w:sz="5" w:space="0" w:color="000000"/>
              <w:bottom w:val="single" w:sz="5" w:space="0" w:color="000000"/>
              <w:right w:val="single" w:sz="5" w:space="0" w:color="000000"/>
            </w:tcBorders>
          </w:tcPr>
          <w:p w14:paraId="2C93100A"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Suspected</w:t>
            </w:r>
          </w:p>
        </w:tc>
        <w:tc>
          <w:tcPr>
            <w:tcW w:w="1277" w:type="dxa"/>
            <w:tcBorders>
              <w:top w:val="single" w:sz="5" w:space="0" w:color="000000"/>
              <w:left w:val="single" w:sz="5" w:space="0" w:color="000000"/>
              <w:bottom w:val="single" w:sz="5" w:space="0" w:color="000000"/>
              <w:right w:val="single" w:sz="12" w:space="0" w:color="000000"/>
            </w:tcBorders>
          </w:tcPr>
          <w:p w14:paraId="20DB1565"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Resolved</w:t>
            </w:r>
          </w:p>
        </w:tc>
      </w:tr>
      <w:tr w:rsidR="00957F89" w:rsidRPr="00C73849" w14:paraId="013DA990" w14:textId="77777777">
        <w:trPr>
          <w:trHeight w:hRule="exact" w:val="254"/>
        </w:trPr>
        <w:tc>
          <w:tcPr>
            <w:tcW w:w="1385" w:type="dxa"/>
            <w:tcBorders>
              <w:top w:val="single" w:sz="5" w:space="0" w:color="000000"/>
              <w:left w:val="single" w:sz="12" w:space="0" w:color="000000"/>
              <w:bottom w:val="single" w:sz="5" w:space="0" w:color="000000"/>
              <w:right w:val="single" w:sz="5" w:space="0" w:color="000000"/>
            </w:tcBorders>
          </w:tcPr>
          <w:p w14:paraId="4C16972E" w14:textId="77777777" w:rsidR="00957F89" w:rsidRPr="00C73849" w:rsidRDefault="00D92D87">
            <w:pPr>
              <w:pStyle w:val="TableParagraph"/>
              <w:spacing w:line="222" w:lineRule="exact"/>
              <w:ind w:left="92"/>
              <w:rPr>
                <w:rFonts w:ascii="Times New Roman" w:eastAsia="Times New Roman" w:hAnsi="Times New Roman" w:cs="Times New Roman"/>
                <w:sz w:val="20"/>
                <w:szCs w:val="20"/>
              </w:rPr>
            </w:pPr>
            <w:r w:rsidRPr="00C73849">
              <w:rPr>
                <w:rFonts w:ascii="Times New Roman"/>
                <w:sz w:val="20"/>
              </w:rPr>
              <w:t>Flushing</w:t>
            </w:r>
          </w:p>
        </w:tc>
        <w:tc>
          <w:tcPr>
            <w:tcW w:w="996" w:type="dxa"/>
            <w:tcBorders>
              <w:top w:val="single" w:sz="5" w:space="0" w:color="000000"/>
              <w:left w:val="single" w:sz="5" w:space="0" w:color="000000"/>
              <w:bottom w:val="single" w:sz="5" w:space="0" w:color="000000"/>
              <w:right w:val="single" w:sz="5" w:space="0" w:color="000000"/>
            </w:tcBorders>
          </w:tcPr>
          <w:p w14:paraId="19B29CA0"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001-0016</w:t>
            </w:r>
          </w:p>
        </w:tc>
        <w:tc>
          <w:tcPr>
            <w:tcW w:w="905" w:type="dxa"/>
            <w:tcBorders>
              <w:top w:val="single" w:sz="5" w:space="0" w:color="000000"/>
              <w:left w:val="single" w:sz="5" w:space="0" w:color="000000"/>
              <w:bottom w:val="single" w:sz="5" w:space="0" w:color="000000"/>
              <w:right w:val="single" w:sz="5" w:space="0" w:color="000000"/>
            </w:tcBorders>
          </w:tcPr>
          <w:p w14:paraId="742F6297"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No</w:t>
            </w:r>
          </w:p>
        </w:tc>
        <w:tc>
          <w:tcPr>
            <w:tcW w:w="1188" w:type="dxa"/>
            <w:tcBorders>
              <w:top w:val="single" w:sz="5" w:space="0" w:color="000000"/>
              <w:left w:val="single" w:sz="5" w:space="0" w:color="000000"/>
              <w:bottom w:val="single" w:sz="5" w:space="0" w:color="000000"/>
              <w:right w:val="single" w:sz="5" w:space="0" w:color="000000"/>
            </w:tcBorders>
          </w:tcPr>
          <w:p w14:paraId="58E62B19"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0 min</w:t>
            </w:r>
          </w:p>
        </w:tc>
        <w:tc>
          <w:tcPr>
            <w:tcW w:w="1061" w:type="dxa"/>
            <w:tcBorders>
              <w:top w:val="single" w:sz="5" w:space="0" w:color="000000"/>
              <w:left w:val="single" w:sz="5" w:space="0" w:color="000000"/>
              <w:bottom w:val="single" w:sz="5" w:space="0" w:color="000000"/>
              <w:right w:val="single" w:sz="5" w:space="0" w:color="000000"/>
            </w:tcBorders>
          </w:tcPr>
          <w:p w14:paraId="11103BD2" w14:textId="77777777" w:rsidR="00957F89" w:rsidRPr="00C73849" w:rsidRDefault="00D92D87">
            <w:pPr>
              <w:pStyle w:val="TableParagraph"/>
              <w:spacing w:line="240" w:lineRule="exact"/>
              <w:ind w:left="102"/>
              <w:rPr>
                <w:rFonts w:ascii="Times New Roman" w:eastAsia="Times New Roman" w:hAnsi="Times New Roman" w:cs="Times New Roman"/>
                <w:sz w:val="20"/>
                <w:szCs w:val="20"/>
              </w:rPr>
            </w:pPr>
            <w:r w:rsidRPr="00C73849">
              <w:rPr>
                <w:rFonts w:ascii="Symbol" w:eastAsia="Symbol" w:hAnsi="Symbol" w:cs="Symbol"/>
                <w:sz w:val="20"/>
                <w:szCs w:val="20"/>
              </w:rPr>
              <w:t></w:t>
            </w:r>
            <w:r w:rsidRPr="00C73849">
              <w:rPr>
                <w:rFonts w:ascii="Times New Roman" w:eastAsia="Times New Roman" w:hAnsi="Times New Roman" w:cs="Times New Roman"/>
                <w:sz w:val="20"/>
                <w:szCs w:val="20"/>
              </w:rPr>
              <w:t>1 min</w:t>
            </w:r>
          </w:p>
        </w:tc>
        <w:tc>
          <w:tcPr>
            <w:tcW w:w="979" w:type="dxa"/>
            <w:tcBorders>
              <w:top w:val="single" w:sz="5" w:space="0" w:color="000000"/>
              <w:left w:val="single" w:sz="5" w:space="0" w:color="000000"/>
              <w:bottom w:val="single" w:sz="5" w:space="0" w:color="000000"/>
              <w:right w:val="single" w:sz="5" w:space="0" w:color="000000"/>
            </w:tcBorders>
          </w:tcPr>
          <w:p w14:paraId="36D3A3AF"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Mild</w:t>
            </w:r>
          </w:p>
        </w:tc>
        <w:tc>
          <w:tcPr>
            <w:tcW w:w="1380" w:type="dxa"/>
            <w:tcBorders>
              <w:top w:val="single" w:sz="5" w:space="0" w:color="000000"/>
              <w:left w:val="single" w:sz="5" w:space="0" w:color="000000"/>
              <w:bottom w:val="single" w:sz="5" w:space="0" w:color="000000"/>
              <w:right w:val="single" w:sz="5" w:space="0" w:color="000000"/>
            </w:tcBorders>
          </w:tcPr>
          <w:p w14:paraId="703B337C"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Suspected</w:t>
            </w:r>
          </w:p>
        </w:tc>
        <w:tc>
          <w:tcPr>
            <w:tcW w:w="1277" w:type="dxa"/>
            <w:tcBorders>
              <w:top w:val="single" w:sz="5" w:space="0" w:color="000000"/>
              <w:left w:val="single" w:sz="5" w:space="0" w:color="000000"/>
              <w:bottom w:val="single" w:sz="5" w:space="0" w:color="000000"/>
              <w:right w:val="single" w:sz="12" w:space="0" w:color="000000"/>
            </w:tcBorders>
          </w:tcPr>
          <w:p w14:paraId="2A32FDC1"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Resolved</w:t>
            </w:r>
          </w:p>
        </w:tc>
      </w:tr>
      <w:tr w:rsidR="00957F89" w:rsidRPr="00C73849" w14:paraId="722EF737" w14:textId="77777777">
        <w:trPr>
          <w:trHeight w:hRule="exact" w:val="240"/>
        </w:trPr>
        <w:tc>
          <w:tcPr>
            <w:tcW w:w="1385" w:type="dxa"/>
            <w:vMerge w:val="restart"/>
            <w:tcBorders>
              <w:top w:val="single" w:sz="5" w:space="0" w:color="000000"/>
              <w:left w:val="single" w:sz="12" w:space="0" w:color="000000"/>
              <w:right w:val="single" w:sz="5" w:space="0" w:color="000000"/>
            </w:tcBorders>
          </w:tcPr>
          <w:p w14:paraId="359EA1A0" w14:textId="77777777" w:rsidR="00957F89" w:rsidRPr="00C73849" w:rsidRDefault="00D92D87">
            <w:pPr>
              <w:pStyle w:val="TableParagraph"/>
              <w:ind w:left="92" w:right="132"/>
              <w:rPr>
                <w:rFonts w:ascii="Times New Roman" w:eastAsia="Times New Roman" w:hAnsi="Times New Roman" w:cs="Times New Roman"/>
                <w:sz w:val="20"/>
                <w:szCs w:val="20"/>
              </w:rPr>
            </w:pPr>
            <w:r w:rsidRPr="00C73849">
              <w:rPr>
                <w:rFonts w:ascii="Times New Roman"/>
                <w:sz w:val="20"/>
              </w:rPr>
              <w:t>Pharyngo-</w:t>
            </w:r>
            <w:r w:rsidRPr="00C73849">
              <w:rPr>
                <w:rFonts w:ascii="Times New Roman"/>
                <w:w w:val="99"/>
                <w:sz w:val="20"/>
              </w:rPr>
              <w:t xml:space="preserve"> </w:t>
            </w:r>
            <w:r w:rsidRPr="00C73849">
              <w:rPr>
                <w:rFonts w:ascii="Times New Roman"/>
                <w:sz w:val="20"/>
              </w:rPr>
              <w:t>laryngeal pain</w:t>
            </w:r>
          </w:p>
        </w:tc>
        <w:tc>
          <w:tcPr>
            <w:tcW w:w="996" w:type="dxa"/>
            <w:tcBorders>
              <w:top w:val="single" w:sz="5" w:space="0" w:color="000000"/>
              <w:left w:val="single" w:sz="5" w:space="0" w:color="000000"/>
              <w:bottom w:val="single" w:sz="5" w:space="0" w:color="000000"/>
              <w:right w:val="single" w:sz="5" w:space="0" w:color="000000"/>
            </w:tcBorders>
          </w:tcPr>
          <w:p w14:paraId="21AB4654"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001-0017</w:t>
            </w:r>
          </w:p>
        </w:tc>
        <w:tc>
          <w:tcPr>
            <w:tcW w:w="905" w:type="dxa"/>
            <w:tcBorders>
              <w:top w:val="single" w:sz="5" w:space="0" w:color="000000"/>
              <w:left w:val="single" w:sz="5" w:space="0" w:color="000000"/>
              <w:bottom w:val="single" w:sz="5" w:space="0" w:color="000000"/>
              <w:right w:val="single" w:sz="5" w:space="0" w:color="000000"/>
            </w:tcBorders>
          </w:tcPr>
          <w:p w14:paraId="42B5C33B"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No</w:t>
            </w:r>
          </w:p>
        </w:tc>
        <w:tc>
          <w:tcPr>
            <w:tcW w:w="1188" w:type="dxa"/>
            <w:tcBorders>
              <w:top w:val="single" w:sz="5" w:space="0" w:color="000000"/>
              <w:left w:val="single" w:sz="5" w:space="0" w:color="000000"/>
              <w:bottom w:val="single" w:sz="5" w:space="0" w:color="000000"/>
              <w:right w:val="single" w:sz="5" w:space="0" w:color="000000"/>
            </w:tcBorders>
          </w:tcPr>
          <w:p w14:paraId="520F898C"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6 h 25 min</w:t>
            </w:r>
          </w:p>
        </w:tc>
        <w:tc>
          <w:tcPr>
            <w:tcW w:w="1061" w:type="dxa"/>
            <w:tcBorders>
              <w:top w:val="single" w:sz="5" w:space="0" w:color="000000"/>
              <w:left w:val="single" w:sz="5" w:space="0" w:color="000000"/>
              <w:bottom w:val="single" w:sz="5" w:space="0" w:color="000000"/>
              <w:right w:val="single" w:sz="5" w:space="0" w:color="000000"/>
            </w:tcBorders>
          </w:tcPr>
          <w:p w14:paraId="391C94E7"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30 min</w:t>
            </w:r>
          </w:p>
        </w:tc>
        <w:tc>
          <w:tcPr>
            <w:tcW w:w="979" w:type="dxa"/>
            <w:tcBorders>
              <w:top w:val="single" w:sz="5" w:space="0" w:color="000000"/>
              <w:left w:val="single" w:sz="5" w:space="0" w:color="000000"/>
              <w:bottom w:val="single" w:sz="5" w:space="0" w:color="000000"/>
              <w:right w:val="single" w:sz="5" w:space="0" w:color="000000"/>
            </w:tcBorders>
          </w:tcPr>
          <w:p w14:paraId="188941FB" w14:textId="77777777" w:rsidR="00957F89" w:rsidRPr="00C73849" w:rsidRDefault="00D92D87">
            <w:pPr>
              <w:pStyle w:val="TableParagraph"/>
              <w:spacing w:line="222" w:lineRule="exact"/>
              <w:ind w:left="99"/>
              <w:rPr>
                <w:rFonts w:ascii="Times New Roman" w:eastAsia="Times New Roman" w:hAnsi="Times New Roman" w:cs="Times New Roman"/>
                <w:sz w:val="20"/>
                <w:szCs w:val="20"/>
              </w:rPr>
            </w:pPr>
            <w:r w:rsidRPr="00C73849">
              <w:rPr>
                <w:rFonts w:ascii="Times New Roman"/>
                <w:sz w:val="20"/>
              </w:rPr>
              <w:t>Mild</w:t>
            </w:r>
          </w:p>
        </w:tc>
        <w:tc>
          <w:tcPr>
            <w:tcW w:w="1380" w:type="dxa"/>
            <w:tcBorders>
              <w:top w:val="single" w:sz="5" w:space="0" w:color="000000"/>
              <w:left w:val="single" w:sz="5" w:space="0" w:color="000000"/>
              <w:bottom w:val="single" w:sz="5" w:space="0" w:color="000000"/>
              <w:right w:val="single" w:sz="5" w:space="0" w:color="000000"/>
            </w:tcBorders>
          </w:tcPr>
          <w:p w14:paraId="64B4E86A"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Not suspected</w:t>
            </w:r>
          </w:p>
        </w:tc>
        <w:tc>
          <w:tcPr>
            <w:tcW w:w="1277" w:type="dxa"/>
            <w:tcBorders>
              <w:top w:val="single" w:sz="5" w:space="0" w:color="000000"/>
              <w:left w:val="single" w:sz="5" w:space="0" w:color="000000"/>
              <w:bottom w:val="single" w:sz="5" w:space="0" w:color="000000"/>
              <w:right w:val="single" w:sz="12" w:space="0" w:color="000000"/>
            </w:tcBorders>
          </w:tcPr>
          <w:p w14:paraId="0B45071F"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Resolved</w:t>
            </w:r>
          </w:p>
        </w:tc>
      </w:tr>
      <w:tr w:rsidR="00957F89" w:rsidRPr="00C73849" w14:paraId="7375C569" w14:textId="77777777">
        <w:trPr>
          <w:trHeight w:hRule="exact" w:val="240"/>
        </w:trPr>
        <w:tc>
          <w:tcPr>
            <w:tcW w:w="1385" w:type="dxa"/>
            <w:vMerge/>
            <w:tcBorders>
              <w:left w:val="single" w:sz="12" w:space="0" w:color="000000"/>
              <w:bottom w:val="single" w:sz="5" w:space="0" w:color="000000"/>
              <w:right w:val="single" w:sz="5" w:space="0" w:color="000000"/>
            </w:tcBorders>
          </w:tcPr>
          <w:p w14:paraId="0ECEF9B6" w14:textId="77777777" w:rsidR="00957F89" w:rsidRPr="00C73849" w:rsidRDefault="00957F89"/>
        </w:tc>
        <w:tc>
          <w:tcPr>
            <w:tcW w:w="996" w:type="dxa"/>
            <w:tcBorders>
              <w:top w:val="single" w:sz="5" w:space="0" w:color="000000"/>
              <w:left w:val="single" w:sz="5" w:space="0" w:color="000000"/>
              <w:bottom w:val="single" w:sz="5" w:space="0" w:color="000000"/>
              <w:right w:val="single" w:sz="5" w:space="0" w:color="000000"/>
            </w:tcBorders>
          </w:tcPr>
          <w:p w14:paraId="354E70FE"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001-0017</w:t>
            </w:r>
          </w:p>
        </w:tc>
        <w:tc>
          <w:tcPr>
            <w:tcW w:w="905" w:type="dxa"/>
            <w:tcBorders>
              <w:top w:val="single" w:sz="5" w:space="0" w:color="000000"/>
              <w:left w:val="single" w:sz="5" w:space="0" w:color="000000"/>
              <w:bottom w:val="single" w:sz="5" w:space="0" w:color="000000"/>
              <w:right w:val="single" w:sz="5" w:space="0" w:color="000000"/>
            </w:tcBorders>
          </w:tcPr>
          <w:p w14:paraId="1D518AC1"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No</w:t>
            </w:r>
          </w:p>
        </w:tc>
        <w:tc>
          <w:tcPr>
            <w:tcW w:w="1188" w:type="dxa"/>
            <w:tcBorders>
              <w:top w:val="single" w:sz="5" w:space="0" w:color="000000"/>
              <w:left w:val="single" w:sz="5" w:space="0" w:color="000000"/>
              <w:bottom w:val="single" w:sz="5" w:space="0" w:color="000000"/>
              <w:right w:val="single" w:sz="5" w:space="0" w:color="000000"/>
            </w:tcBorders>
          </w:tcPr>
          <w:p w14:paraId="5C44D6B8"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17 h 10 min</w:t>
            </w:r>
          </w:p>
        </w:tc>
        <w:tc>
          <w:tcPr>
            <w:tcW w:w="1061" w:type="dxa"/>
            <w:tcBorders>
              <w:top w:val="single" w:sz="5" w:space="0" w:color="000000"/>
              <w:left w:val="single" w:sz="5" w:space="0" w:color="000000"/>
              <w:bottom w:val="single" w:sz="5" w:space="0" w:color="000000"/>
              <w:right w:val="single" w:sz="5" w:space="0" w:color="000000"/>
            </w:tcBorders>
          </w:tcPr>
          <w:p w14:paraId="57EE2B0E"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5 min</w:t>
            </w:r>
          </w:p>
        </w:tc>
        <w:tc>
          <w:tcPr>
            <w:tcW w:w="979" w:type="dxa"/>
            <w:tcBorders>
              <w:top w:val="single" w:sz="5" w:space="0" w:color="000000"/>
              <w:left w:val="single" w:sz="5" w:space="0" w:color="000000"/>
              <w:bottom w:val="single" w:sz="5" w:space="0" w:color="000000"/>
              <w:right w:val="single" w:sz="5" w:space="0" w:color="000000"/>
            </w:tcBorders>
          </w:tcPr>
          <w:p w14:paraId="66F6AC99" w14:textId="77777777" w:rsidR="00957F89" w:rsidRPr="00C73849" w:rsidRDefault="00D92D87">
            <w:pPr>
              <w:pStyle w:val="TableParagraph"/>
              <w:spacing w:line="222" w:lineRule="exact"/>
              <w:ind w:left="99"/>
              <w:rPr>
                <w:rFonts w:ascii="Times New Roman" w:eastAsia="Times New Roman" w:hAnsi="Times New Roman" w:cs="Times New Roman"/>
                <w:sz w:val="20"/>
                <w:szCs w:val="20"/>
              </w:rPr>
            </w:pPr>
            <w:r w:rsidRPr="00C73849">
              <w:rPr>
                <w:rFonts w:ascii="Times New Roman"/>
                <w:sz w:val="20"/>
              </w:rPr>
              <w:t>Mild</w:t>
            </w:r>
          </w:p>
        </w:tc>
        <w:tc>
          <w:tcPr>
            <w:tcW w:w="1380" w:type="dxa"/>
            <w:tcBorders>
              <w:top w:val="single" w:sz="5" w:space="0" w:color="000000"/>
              <w:left w:val="single" w:sz="5" w:space="0" w:color="000000"/>
              <w:bottom w:val="single" w:sz="5" w:space="0" w:color="000000"/>
              <w:right w:val="single" w:sz="5" w:space="0" w:color="000000"/>
            </w:tcBorders>
          </w:tcPr>
          <w:p w14:paraId="204854BB"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Not suspected</w:t>
            </w:r>
          </w:p>
        </w:tc>
        <w:tc>
          <w:tcPr>
            <w:tcW w:w="1277" w:type="dxa"/>
            <w:tcBorders>
              <w:top w:val="single" w:sz="5" w:space="0" w:color="000000"/>
              <w:left w:val="single" w:sz="5" w:space="0" w:color="000000"/>
              <w:bottom w:val="single" w:sz="5" w:space="0" w:color="000000"/>
              <w:right w:val="single" w:sz="12" w:space="0" w:color="000000"/>
            </w:tcBorders>
          </w:tcPr>
          <w:p w14:paraId="11E75A09"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Resolved</w:t>
            </w:r>
          </w:p>
        </w:tc>
      </w:tr>
      <w:tr w:rsidR="00957F89" w:rsidRPr="00C73849" w14:paraId="4D16242F" w14:textId="77777777">
        <w:trPr>
          <w:trHeight w:hRule="exact" w:val="240"/>
        </w:trPr>
        <w:tc>
          <w:tcPr>
            <w:tcW w:w="9170" w:type="dxa"/>
            <w:gridSpan w:val="8"/>
            <w:tcBorders>
              <w:top w:val="single" w:sz="5" w:space="0" w:color="000000"/>
              <w:left w:val="single" w:sz="12" w:space="0" w:color="000000"/>
              <w:bottom w:val="single" w:sz="5" w:space="0" w:color="000000"/>
              <w:right w:val="single" w:sz="12" w:space="0" w:color="000000"/>
            </w:tcBorders>
          </w:tcPr>
          <w:p w14:paraId="08234B8D" w14:textId="77777777" w:rsidR="00957F89" w:rsidRPr="00C73849" w:rsidRDefault="00D92D87">
            <w:pPr>
              <w:pStyle w:val="TableParagraph"/>
              <w:spacing w:line="227" w:lineRule="exact"/>
              <w:ind w:left="92"/>
              <w:rPr>
                <w:rFonts w:ascii="Times New Roman" w:eastAsia="Times New Roman" w:hAnsi="Times New Roman" w:cs="Times New Roman"/>
                <w:sz w:val="20"/>
                <w:szCs w:val="20"/>
              </w:rPr>
            </w:pPr>
            <w:r w:rsidRPr="00C73849">
              <w:rPr>
                <w:rFonts w:ascii="Times New Roman"/>
                <w:b/>
                <w:sz w:val="20"/>
              </w:rPr>
              <w:t>0.43 ml/kg Pyruvate Injection</w:t>
            </w:r>
          </w:p>
        </w:tc>
      </w:tr>
      <w:tr w:rsidR="00957F89" w:rsidRPr="00C73849" w14:paraId="26B35D90" w14:textId="77777777">
        <w:trPr>
          <w:trHeight w:hRule="exact" w:val="240"/>
        </w:trPr>
        <w:tc>
          <w:tcPr>
            <w:tcW w:w="1385" w:type="dxa"/>
            <w:tcBorders>
              <w:top w:val="single" w:sz="5" w:space="0" w:color="000000"/>
              <w:left w:val="single" w:sz="12" w:space="0" w:color="000000"/>
              <w:bottom w:val="single" w:sz="5" w:space="0" w:color="000000"/>
              <w:right w:val="single" w:sz="5" w:space="0" w:color="000000"/>
            </w:tcBorders>
          </w:tcPr>
          <w:p w14:paraId="6576EF3F" w14:textId="77777777" w:rsidR="00957F89" w:rsidRPr="00C73849" w:rsidRDefault="00D92D87">
            <w:pPr>
              <w:pStyle w:val="TableParagraph"/>
              <w:spacing w:line="222" w:lineRule="exact"/>
              <w:ind w:left="92"/>
              <w:rPr>
                <w:rFonts w:ascii="Times New Roman" w:eastAsia="Times New Roman" w:hAnsi="Times New Roman" w:cs="Times New Roman"/>
                <w:sz w:val="20"/>
                <w:szCs w:val="20"/>
              </w:rPr>
            </w:pPr>
            <w:r w:rsidRPr="00C73849">
              <w:rPr>
                <w:rFonts w:ascii="Times New Roman"/>
                <w:sz w:val="20"/>
              </w:rPr>
              <w:t>Feeling hot</w:t>
            </w:r>
          </w:p>
        </w:tc>
        <w:tc>
          <w:tcPr>
            <w:tcW w:w="996" w:type="dxa"/>
            <w:tcBorders>
              <w:top w:val="single" w:sz="5" w:space="0" w:color="000000"/>
              <w:left w:val="single" w:sz="5" w:space="0" w:color="000000"/>
              <w:bottom w:val="single" w:sz="5" w:space="0" w:color="000000"/>
              <w:right w:val="single" w:sz="5" w:space="0" w:color="000000"/>
            </w:tcBorders>
          </w:tcPr>
          <w:p w14:paraId="1EC52B5D" w14:textId="77777777" w:rsidR="00957F89" w:rsidRPr="00C73849" w:rsidRDefault="00D92D87">
            <w:pPr>
              <w:pStyle w:val="TableParagraph"/>
              <w:spacing w:line="222" w:lineRule="exact"/>
              <w:ind w:left="103"/>
              <w:rPr>
                <w:rFonts w:ascii="Times New Roman" w:eastAsia="Times New Roman" w:hAnsi="Times New Roman" w:cs="Times New Roman"/>
                <w:sz w:val="20"/>
                <w:szCs w:val="20"/>
              </w:rPr>
            </w:pPr>
            <w:r w:rsidRPr="00C73849">
              <w:rPr>
                <w:rFonts w:ascii="Times New Roman"/>
                <w:sz w:val="20"/>
              </w:rPr>
              <w:t>001-0023</w:t>
            </w:r>
          </w:p>
        </w:tc>
        <w:tc>
          <w:tcPr>
            <w:tcW w:w="905" w:type="dxa"/>
            <w:tcBorders>
              <w:top w:val="single" w:sz="5" w:space="0" w:color="000000"/>
              <w:left w:val="single" w:sz="5" w:space="0" w:color="000000"/>
              <w:bottom w:val="single" w:sz="5" w:space="0" w:color="000000"/>
              <w:right w:val="single" w:sz="5" w:space="0" w:color="000000"/>
            </w:tcBorders>
          </w:tcPr>
          <w:p w14:paraId="0D1D62B5"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No</w:t>
            </w:r>
          </w:p>
        </w:tc>
        <w:tc>
          <w:tcPr>
            <w:tcW w:w="1188" w:type="dxa"/>
            <w:tcBorders>
              <w:top w:val="single" w:sz="5" w:space="0" w:color="000000"/>
              <w:left w:val="single" w:sz="5" w:space="0" w:color="000000"/>
              <w:bottom w:val="single" w:sz="5" w:space="0" w:color="000000"/>
              <w:right w:val="single" w:sz="5" w:space="0" w:color="000000"/>
            </w:tcBorders>
          </w:tcPr>
          <w:p w14:paraId="3B607E04"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15 s</w:t>
            </w:r>
          </w:p>
        </w:tc>
        <w:tc>
          <w:tcPr>
            <w:tcW w:w="1061" w:type="dxa"/>
            <w:tcBorders>
              <w:top w:val="single" w:sz="5" w:space="0" w:color="000000"/>
              <w:left w:val="single" w:sz="5" w:space="0" w:color="000000"/>
              <w:bottom w:val="single" w:sz="5" w:space="0" w:color="000000"/>
              <w:right w:val="single" w:sz="5" w:space="0" w:color="000000"/>
            </w:tcBorders>
          </w:tcPr>
          <w:p w14:paraId="7FCF2522"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30 s</w:t>
            </w:r>
          </w:p>
        </w:tc>
        <w:tc>
          <w:tcPr>
            <w:tcW w:w="979" w:type="dxa"/>
            <w:tcBorders>
              <w:top w:val="single" w:sz="5" w:space="0" w:color="000000"/>
              <w:left w:val="single" w:sz="5" w:space="0" w:color="000000"/>
              <w:bottom w:val="single" w:sz="5" w:space="0" w:color="000000"/>
              <w:right w:val="single" w:sz="5" w:space="0" w:color="000000"/>
            </w:tcBorders>
          </w:tcPr>
          <w:p w14:paraId="48D086B5"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Mild</w:t>
            </w:r>
          </w:p>
        </w:tc>
        <w:tc>
          <w:tcPr>
            <w:tcW w:w="1380" w:type="dxa"/>
            <w:tcBorders>
              <w:top w:val="single" w:sz="5" w:space="0" w:color="000000"/>
              <w:left w:val="single" w:sz="5" w:space="0" w:color="000000"/>
              <w:bottom w:val="single" w:sz="5" w:space="0" w:color="000000"/>
              <w:right w:val="single" w:sz="5" w:space="0" w:color="000000"/>
            </w:tcBorders>
          </w:tcPr>
          <w:p w14:paraId="02CCA340"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Suspected</w:t>
            </w:r>
          </w:p>
        </w:tc>
        <w:tc>
          <w:tcPr>
            <w:tcW w:w="1277" w:type="dxa"/>
            <w:tcBorders>
              <w:top w:val="single" w:sz="5" w:space="0" w:color="000000"/>
              <w:left w:val="single" w:sz="5" w:space="0" w:color="000000"/>
              <w:bottom w:val="single" w:sz="5" w:space="0" w:color="000000"/>
              <w:right w:val="single" w:sz="12" w:space="0" w:color="000000"/>
            </w:tcBorders>
          </w:tcPr>
          <w:p w14:paraId="7F9F8B63"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Resolved</w:t>
            </w:r>
          </w:p>
        </w:tc>
      </w:tr>
      <w:tr w:rsidR="00957F89" w:rsidRPr="00C73849" w14:paraId="1536CC0F" w14:textId="77777777">
        <w:trPr>
          <w:trHeight w:hRule="exact" w:val="470"/>
        </w:trPr>
        <w:tc>
          <w:tcPr>
            <w:tcW w:w="1385" w:type="dxa"/>
            <w:tcBorders>
              <w:top w:val="single" w:sz="5" w:space="0" w:color="000000"/>
              <w:left w:val="single" w:sz="12" w:space="0" w:color="000000"/>
              <w:bottom w:val="single" w:sz="5" w:space="0" w:color="000000"/>
              <w:right w:val="single" w:sz="5" w:space="0" w:color="000000"/>
            </w:tcBorders>
          </w:tcPr>
          <w:p w14:paraId="4A192CD0" w14:textId="77777777" w:rsidR="00957F89" w:rsidRPr="00C73849" w:rsidRDefault="00D92D87">
            <w:pPr>
              <w:pStyle w:val="TableParagraph"/>
              <w:ind w:left="92" w:right="358"/>
              <w:rPr>
                <w:rFonts w:ascii="Times New Roman" w:eastAsia="Times New Roman" w:hAnsi="Times New Roman" w:cs="Times New Roman"/>
                <w:sz w:val="20"/>
                <w:szCs w:val="20"/>
              </w:rPr>
            </w:pPr>
            <w:r w:rsidRPr="00C73849">
              <w:rPr>
                <w:rFonts w:ascii="Times New Roman"/>
                <w:sz w:val="20"/>
              </w:rPr>
              <w:t>Micturition</w:t>
            </w:r>
            <w:r w:rsidRPr="00C73849">
              <w:rPr>
                <w:rFonts w:ascii="Times New Roman"/>
                <w:w w:val="99"/>
                <w:sz w:val="20"/>
              </w:rPr>
              <w:t xml:space="preserve"> </w:t>
            </w:r>
            <w:r w:rsidRPr="00C73849">
              <w:rPr>
                <w:rFonts w:ascii="Times New Roman"/>
                <w:sz w:val="20"/>
              </w:rPr>
              <w:t>urgency</w:t>
            </w:r>
          </w:p>
        </w:tc>
        <w:tc>
          <w:tcPr>
            <w:tcW w:w="996" w:type="dxa"/>
            <w:tcBorders>
              <w:top w:val="single" w:sz="5" w:space="0" w:color="000000"/>
              <w:left w:val="single" w:sz="5" w:space="0" w:color="000000"/>
              <w:bottom w:val="single" w:sz="5" w:space="0" w:color="000000"/>
              <w:right w:val="single" w:sz="5" w:space="0" w:color="000000"/>
            </w:tcBorders>
          </w:tcPr>
          <w:p w14:paraId="42D8F6B0"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001-0023</w:t>
            </w:r>
          </w:p>
        </w:tc>
        <w:tc>
          <w:tcPr>
            <w:tcW w:w="905" w:type="dxa"/>
            <w:tcBorders>
              <w:top w:val="single" w:sz="5" w:space="0" w:color="000000"/>
              <w:left w:val="single" w:sz="5" w:space="0" w:color="000000"/>
              <w:bottom w:val="single" w:sz="5" w:space="0" w:color="000000"/>
              <w:right w:val="single" w:sz="5" w:space="0" w:color="000000"/>
            </w:tcBorders>
          </w:tcPr>
          <w:p w14:paraId="187C9096"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No</w:t>
            </w:r>
          </w:p>
        </w:tc>
        <w:tc>
          <w:tcPr>
            <w:tcW w:w="1188" w:type="dxa"/>
            <w:tcBorders>
              <w:top w:val="single" w:sz="5" w:space="0" w:color="000000"/>
              <w:left w:val="single" w:sz="5" w:space="0" w:color="000000"/>
              <w:bottom w:val="single" w:sz="5" w:space="0" w:color="000000"/>
              <w:right w:val="single" w:sz="5" w:space="0" w:color="000000"/>
            </w:tcBorders>
          </w:tcPr>
          <w:p w14:paraId="7DC38B60"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15 s</w:t>
            </w:r>
          </w:p>
        </w:tc>
        <w:tc>
          <w:tcPr>
            <w:tcW w:w="1061" w:type="dxa"/>
            <w:tcBorders>
              <w:top w:val="single" w:sz="5" w:space="0" w:color="000000"/>
              <w:left w:val="single" w:sz="5" w:space="0" w:color="000000"/>
              <w:bottom w:val="single" w:sz="5" w:space="0" w:color="000000"/>
              <w:right w:val="single" w:sz="5" w:space="0" w:color="000000"/>
            </w:tcBorders>
          </w:tcPr>
          <w:p w14:paraId="51C6ED9E"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30 s</w:t>
            </w:r>
          </w:p>
        </w:tc>
        <w:tc>
          <w:tcPr>
            <w:tcW w:w="979" w:type="dxa"/>
            <w:tcBorders>
              <w:top w:val="single" w:sz="5" w:space="0" w:color="000000"/>
              <w:left w:val="single" w:sz="5" w:space="0" w:color="000000"/>
              <w:bottom w:val="single" w:sz="5" w:space="0" w:color="000000"/>
              <w:right w:val="single" w:sz="5" w:space="0" w:color="000000"/>
            </w:tcBorders>
          </w:tcPr>
          <w:p w14:paraId="57969718" w14:textId="77777777" w:rsidR="00957F89" w:rsidRPr="00C73849" w:rsidRDefault="00D92D87">
            <w:pPr>
              <w:pStyle w:val="TableParagraph"/>
              <w:spacing w:line="222" w:lineRule="exact"/>
              <w:ind w:left="99"/>
              <w:rPr>
                <w:rFonts w:ascii="Times New Roman" w:eastAsia="Times New Roman" w:hAnsi="Times New Roman" w:cs="Times New Roman"/>
                <w:sz w:val="20"/>
                <w:szCs w:val="20"/>
              </w:rPr>
            </w:pPr>
            <w:r w:rsidRPr="00C73849">
              <w:rPr>
                <w:rFonts w:ascii="Times New Roman"/>
                <w:sz w:val="20"/>
              </w:rPr>
              <w:t>Mild</w:t>
            </w:r>
          </w:p>
        </w:tc>
        <w:tc>
          <w:tcPr>
            <w:tcW w:w="1380" w:type="dxa"/>
            <w:tcBorders>
              <w:top w:val="single" w:sz="5" w:space="0" w:color="000000"/>
              <w:left w:val="single" w:sz="5" w:space="0" w:color="000000"/>
              <w:bottom w:val="single" w:sz="5" w:space="0" w:color="000000"/>
              <w:right w:val="single" w:sz="5" w:space="0" w:color="000000"/>
            </w:tcBorders>
          </w:tcPr>
          <w:p w14:paraId="472F659C"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Suspected</w:t>
            </w:r>
          </w:p>
        </w:tc>
        <w:tc>
          <w:tcPr>
            <w:tcW w:w="1277" w:type="dxa"/>
            <w:tcBorders>
              <w:top w:val="single" w:sz="5" w:space="0" w:color="000000"/>
              <w:left w:val="single" w:sz="5" w:space="0" w:color="000000"/>
              <w:bottom w:val="single" w:sz="5" w:space="0" w:color="000000"/>
              <w:right w:val="single" w:sz="12" w:space="0" w:color="000000"/>
            </w:tcBorders>
          </w:tcPr>
          <w:p w14:paraId="0059EF1D"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Resolved</w:t>
            </w:r>
          </w:p>
        </w:tc>
      </w:tr>
      <w:tr w:rsidR="00957F89" w:rsidRPr="00C73849" w14:paraId="59FF4FDB" w14:textId="77777777">
        <w:trPr>
          <w:trHeight w:hRule="exact" w:val="240"/>
        </w:trPr>
        <w:tc>
          <w:tcPr>
            <w:tcW w:w="1385" w:type="dxa"/>
            <w:tcBorders>
              <w:top w:val="single" w:sz="5" w:space="0" w:color="000000"/>
              <w:left w:val="single" w:sz="12" w:space="0" w:color="000000"/>
              <w:bottom w:val="single" w:sz="5" w:space="0" w:color="000000"/>
              <w:right w:val="single" w:sz="5" w:space="0" w:color="000000"/>
            </w:tcBorders>
          </w:tcPr>
          <w:p w14:paraId="723F087B" w14:textId="77777777" w:rsidR="00957F89" w:rsidRPr="00C73849" w:rsidRDefault="00D92D87">
            <w:pPr>
              <w:pStyle w:val="TableParagraph"/>
              <w:spacing w:line="222" w:lineRule="exact"/>
              <w:ind w:left="92"/>
              <w:rPr>
                <w:rFonts w:ascii="Times New Roman" w:eastAsia="Times New Roman" w:hAnsi="Times New Roman" w:cs="Times New Roman"/>
                <w:sz w:val="20"/>
                <w:szCs w:val="20"/>
              </w:rPr>
            </w:pPr>
            <w:r w:rsidRPr="00C73849">
              <w:rPr>
                <w:rFonts w:ascii="Times New Roman"/>
                <w:sz w:val="20"/>
              </w:rPr>
              <w:t>Dysgeusia</w:t>
            </w:r>
          </w:p>
        </w:tc>
        <w:tc>
          <w:tcPr>
            <w:tcW w:w="996" w:type="dxa"/>
            <w:tcBorders>
              <w:top w:val="single" w:sz="5" w:space="0" w:color="000000"/>
              <w:left w:val="single" w:sz="5" w:space="0" w:color="000000"/>
              <w:bottom w:val="single" w:sz="5" w:space="0" w:color="000000"/>
              <w:right w:val="single" w:sz="5" w:space="0" w:color="000000"/>
            </w:tcBorders>
          </w:tcPr>
          <w:p w14:paraId="77354542"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001-0023</w:t>
            </w:r>
          </w:p>
        </w:tc>
        <w:tc>
          <w:tcPr>
            <w:tcW w:w="905" w:type="dxa"/>
            <w:tcBorders>
              <w:top w:val="single" w:sz="5" w:space="0" w:color="000000"/>
              <w:left w:val="single" w:sz="5" w:space="0" w:color="000000"/>
              <w:bottom w:val="single" w:sz="5" w:space="0" w:color="000000"/>
              <w:right w:val="single" w:sz="5" w:space="0" w:color="000000"/>
            </w:tcBorders>
          </w:tcPr>
          <w:p w14:paraId="51AEDAA7"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No</w:t>
            </w:r>
          </w:p>
        </w:tc>
        <w:tc>
          <w:tcPr>
            <w:tcW w:w="1188" w:type="dxa"/>
            <w:tcBorders>
              <w:top w:val="single" w:sz="5" w:space="0" w:color="000000"/>
              <w:left w:val="single" w:sz="5" w:space="0" w:color="000000"/>
              <w:bottom w:val="single" w:sz="5" w:space="0" w:color="000000"/>
              <w:right w:val="single" w:sz="5" w:space="0" w:color="000000"/>
            </w:tcBorders>
          </w:tcPr>
          <w:p w14:paraId="3C07253D"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15 s</w:t>
            </w:r>
          </w:p>
        </w:tc>
        <w:tc>
          <w:tcPr>
            <w:tcW w:w="1061" w:type="dxa"/>
            <w:tcBorders>
              <w:top w:val="single" w:sz="5" w:space="0" w:color="000000"/>
              <w:left w:val="single" w:sz="5" w:space="0" w:color="000000"/>
              <w:bottom w:val="single" w:sz="5" w:space="0" w:color="000000"/>
              <w:right w:val="single" w:sz="5" w:space="0" w:color="000000"/>
            </w:tcBorders>
          </w:tcPr>
          <w:p w14:paraId="792C7690"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30 s</w:t>
            </w:r>
          </w:p>
        </w:tc>
        <w:tc>
          <w:tcPr>
            <w:tcW w:w="979" w:type="dxa"/>
            <w:tcBorders>
              <w:top w:val="single" w:sz="5" w:space="0" w:color="000000"/>
              <w:left w:val="single" w:sz="5" w:space="0" w:color="000000"/>
              <w:bottom w:val="single" w:sz="5" w:space="0" w:color="000000"/>
              <w:right w:val="single" w:sz="5" w:space="0" w:color="000000"/>
            </w:tcBorders>
          </w:tcPr>
          <w:p w14:paraId="39CD779C" w14:textId="77777777" w:rsidR="00957F89" w:rsidRPr="00C73849" w:rsidRDefault="00D92D87">
            <w:pPr>
              <w:pStyle w:val="TableParagraph"/>
              <w:spacing w:line="222" w:lineRule="exact"/>
              <w:ind w:left="99"/>
              <w:rPr>
                <w:rFonts w:ascii="Times New Roman" w:eastAsia="Times New Roman" w:hAnsi="Times New Roman" w:cs="Times New Roman"/>
                <w:sz w:val="20"/>
                <w:szCs w:val="20"/>
              </w:rPr>
            </w:pPr>
            <w:r w:rsidRPr="00C73849">
              <w:rPr>
                <w:rFonts w:ascii="Times New Roman"/>
                <w:sz w:val="20"/>
              </w:rPr>
              <w:t>Mild</w:t>
            </w:r>
          </w:p>
        </w:tc>
        <w:tc>
          <w:tcPr>
            <w:tcW w:w="1380" w:type="dxa"/>
            <w:tcBorders>
              <w:top w:val="single" w:sz="5" w:space="0" w:color="000000"/>
              <w:left w:val="single" w:sz="5" w:space="0" w:color="000000"/>
              <w:bottom w:val="single" w:sz="5" w:space="0" w:color="000000"/>
              <w:right w:val="single" w:sz="5" w:space="0" w:color="000000"/>
            </w:tcBorders>
          </w:tcPr>
          <w:p w14:paraId="1A727AE9"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Suspected</w:t>
            </w:r>
          </w:p>
        </w:tc>
        <w:tc>
          <w:tcPr>
            <w:tcW w:w="1277" w:type="dxa"/>
            <w:tcBorders>
              <w:top w:val="single" w:sz="5" w:space="0" w:color="000000"/>
              <w:left w:val="single" w:sz="5" w:space="0" w:color="000000"/>
              <w:bottom w:val="single" w:sz="5" w:space="0" w:color="000000"/>
              <w:right w:val="single" w:sz="12" w:space="0" w:color="000000"/>
            </w:tcBorders>
          </w:tcPr>
          <w:p w14:paraId="34E1EAF4"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Resolved</w:t>
            </w:r>
          </w:p>
        </w:tc>
      </w:tr>
      <w:tr w:rsidR="00957F89" w:rsidRPr="00C73849" w14:paraId="2ECD3734" w14:textId="77777777">
        <w:trPr>
          <w:trHeight w:hRule="exact" w:val="240"/>
        </w:trPr>
        <w:tc>
          <w:tcPr>
            <w:tcW w:w="1385" w:type="dxa"/>
            <w:vMerge w:val="restart"/>
            <w:tcBorders>
              <w:top w:val="single" w:sz="5" w:space="0" w:color="000000"/>
              <w:left w:val="single" w:sz="12" w:space="0" w:color="000000"/>
              <w:right w:val="single" w:sz="5" w:space="0" w:color="000000"/>
            </w:tcBorders>
          </w:tcPr>
          <w:p w14:paraId="32A76DC2" w14:textId="77777777" w:rsidR="00957F89" w:rsidRPr="00C73849" w:rsidRDefault="00D92D87">
            <w:pPr>
              <w:pStyle w:val="TableParagraph"/>
              <w:spacing w:line="222" w:lineRule="exact"/>
              <w:ind w:left="92"/>
              <w:rPr>
                <w:rFonts w:ascii="Times New Roman" w:eastAsia="Times New Roman" w:hAnsi="Times New Roman" w:cs="Times New Roman"/>
                <w:sz w:val="20"/>
                <w:szCs w:val="20"/>
              </w:rPr>
            </w:pPr>
            <w:r w:rsidRPr="00C73849">
              <w:rPr>
                <w:rFonts w:ascii="Times New Roman"/>
                <w:sz w:val="20"/>
              </w:rPr>
              <w:t>Flushing</w:t>
            </w:r>
          </w:p>
        </w:tc>
        <w:tc>
          <w:tcPr>
            <w:tcW w:w="996" w:type="dxa"/>
            <w:tcBorders>
              <w:top w:val="single" w:sz="5" w:space="0" w:color="000000"/>
              <w:left w:val="single" w:sz="5" w:space="0" w:color="000000"/>
              <w:bottom w:val="single" w:sz="5" w:space="0" w:color="000000"/>
              <w:right w:val="single" w:sz="5" w:space="0" w:color="000000"/>
            </w:tcBorders>
          </w:tcPr>
          <w:p w14:paraId="5C2A8637"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001-0023</w:t>
            </w:r>
          </w:p>
        </w:tc>
        <w:tc>
          <w:tcPr>
            <w:tcW w:w="905" w:type="dxa"/>
            <w:tcBorders>
              <w:top w:val="single" w:sz="5" w:space="0" w:color="000000"/>
              <w:left w:val="single" w:sz="5" w:space="0" w:color="000000"/>
              <w:bottom w:val="single" w:sz="5" w:space="0" w:color="000000"/>
              <w:right w:val="single" w:sz="5" w:space="0" w:color="000000"/>
            </w:tcBorders>
          </w:tcPr>
          <w:p w14:paraId="666BC48B"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No</w:t>
            </w:r>
          </w:p>
        </w:tc>
        <w:tc>
          <w:tcPr>
            <w:tcW w:w="1188" w:type="dxa"/>
            <w:tcBorders>
              <w:top w:val="single" w:sz="5" w:space="0" w:color="000000"/>
              <w:left w:val="single" w:sz="5" w:space="0" w:color="000000"/>
              <w:bottom w:val="single" w:sz="5" w:space="0" w:color="000000"/>
              <w:right w:val="single" w:sz="5" w:space="0" w:color="000000"/>
            </w:tcBorders>
          </w:tcPr>
          <w:p w14:paraId="4F5FFD29"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0 min</w:t>
            </w:r>
          </w:p>
        </w:tc>
        <w:tc>
          <w:tcPr>
            <w:tcW w:w="1061" w:type="dxa"/>
            <w:tcBorders>
              <w:top w:val="single" w:sz="5" w:space="0" w:color="000000"/>
              <w:left w:val="single" w:sz="5" w:space="0" w:color="000000"/>
              <w:bottom w:val="single" w:sz="5" w:space="0" w:color="000000"/>
              <w:right w:val="single" w:sz="5" w:space="0" w:color="000000"/>
            </w:tcBorders>
          </w:tcPr>
          <w:p w14:paraId="307FE09E"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2 min</w:t>
            </w:r>
          </w:p>
        </w:tc>
        <w:tc>
          <w:tcPr>
            <w:tcW w:w="979" w:type="dxa"/>
            <w:tcBorders>
              <w:top w:val="single" w:sz="5" w:space="0" w:color="000000"/>
              <w:left w:val="single" w:sz="5" w:space="0" w:color="000000"/>
              <w:bottom w:val="single" w:sz="5" w:space="0" w:color="000000"/>
              <w:right w:val="single" w:sz="5" w:space="0" w:color="000000"/>
            </w:tcBorders>
          </w:tcPr>
          <w:p w14:paraId="34D8D541"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Mild</w:t>
            </w:r>
          </w:p>
        </w:tc>
        <w:tc>
          <w:tcPr>
            <w:tcW w:w="1380" w:type="dxa"/>
            <w:tcBorders>
              <w:top w:val="single" w:sz="5" w:space="0" w:color="000000"/>
              <w:left w:val="single" w:sz="5" w:space="0" w:color="000000"/>
              <w:bottom w:val="single" w:sz="5" w:space="0" w:color="000000"/>
              <w:right w:val="single" w:sz="5" w:space="0" w:color="000000"/>
            </w:tcBorders>
          </w:tcPr>
          <w:p w14:paraId="7D79FFDE"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Suspected</w:t>
            </w:r>
          </w:p>
        </w:tc>
        <w:tc>
          <w:tcPr>
            <w:tcW w:w="1277" w:type="dxa"/>
            <w:tcBorders>
              <w:top w:val="single" w:sz="5" w:space="0" w:color="000000"/>
              <w:left w:val="single" w:sz="5" w:space="0" w:color="000000"/>
              <w:bottom w:val="single" w:sz="5" w:space="0" w:color="000000"/>
              <w:right w:val="single" w:sz="12" w:space="0" w:color="000000"/>
            </w:tcBorders>
          </w:tcPr>
          <w:p w14:paraId="4C59DF02"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Resolved</w:t>
            </w:r>
          </w:p>
        </w:tc>
      </w:tr>
      <w:tr w:rsidR="00957F89" w:rsidRPr="00C73849" w14:paraId="1CD8EE5F" w14:textId="77777777">
        <w:trPr>
          <w:trHeight w:hRule="exact" w:val="240"/>
        </w:trPr>
        <w:tc>
          <w:tcPr>
            <w:tcW w:w="1385" w:type="dxa"/>
            <w:vMerge/>
            <w:tcBorders>
              <w:left w:val="single" w:sz="12" w:space="0" w:color="000000"/>
              <w:right w:val="single" w:sz="5" w:space="0" w:color="000000"/>
            </w:tcBorders>
          </w:tcPr>
          <w:p w14:paraId="11CB99D0" w14:textId="77777777" w:rsidR="00957F89" w:rsidRPr="00C73849" w:rsidRDefault="00957F89"/>
        </w:tc>
        <w:tc>
          <w:tcPr>
            <w:tcW w:w="996" w:type="dxa"/>
            <w:tcBorders>
              <w:top w:val="single" w:sz="5" w:space="0" w:color="000000"/>
              <w:left w:val="single" w:sz="5" w:space="0" w:color="000000"/>
              <w:bottom w:val="single" w:sz="5" w:space="0" w:color="000000"/>
              <w:right w:val="single" w:sz="5" w:space="0" w:color="000000"/>
            </w:tcBorders>
          </w:tcPr>
          <w:p w14:paraId="4AD884D2"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001-0033</w:t>
            </w:r>
          </w:p>
        </w:tc>
        <w:tc>
          <w:tcPr>
            <w:tcW w:w="905" w:type="dxa"/>
            <w:tcBorders>
              <w:top w:val="single" w:sz="5" w:space="0" w:color="000000"/>
              <w:left w:val="single" w:sz="5" w:space="0" w:color="000000"/>
              <w:bottom w:val="single" w:sz="5" w:space="0" w:color="000000"/>
              <w:right w:val="single" w:sz="5" w:space="0" w:color="000000"/>
            </w:tcBorders>
          </w:tcPr>
          <w:p w14:paraId="6F6C5855"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No</w:t>
            </w:r>
          </w:p>
        </w:tc>
        <w:tc>
          <w:tcPr>
            <w:tcW w:w="1188" w:type="dxa"/>
            <w:tcBorders>
              <w:top w:val="single" w:sz="5" w:space="0" w:color="000000"/>
              <w:left w:val="single" w:sz="5" w:space="0" w:color="000000"/>
              <w:bottom w:val="single" w:sz="5" w:space="0" w:color="000000"/>
              <w:right w:val="single" w:sz="5" w:space="0" w:color="000000"/>
            </w:tcBorders>
          </w:tcPr>
          <w:p w14:paraId="2A85B23C"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5 s</w:t>
            </w:r>
          </w:p>
        </w:tc>
        <w:tc>
          <w:tcPr>
            <w:tcW w:w="1061" w:type="dxa"/>
            <w:tcBorders>
              <w:top w:val="single" w:sz="5" w:space="0" w:color="000000"/>
              <w:left w:val="single" w:sz="5" w:space="0" w:color="000000"/>
              <w:bottom w:val="single" w:sz="5" w:space="0" w:color="000000"/>
              <w:right w:val="single" w:sz="5" w:space="0" w:color="000000"/>
            </w:tcBorders>
          </w:tcPr>
          <w:p w14:paraId="66137D4A"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55 s</w:t>
            </w:r>
          </w:p>
        </w:tc>
        <w:tc>
          <w:tcPr>
            <w:tcW w:w="979" w:type="dxa"/>
            <w:tcBorders>
              <w:top w:val="single" w:sz="5" w:space="0" w:color="000000"/>
              <w:left w:val="single" w:sz="5" w:space="0" w:color="000000"/>
              <w:bottom w:val="single" w:sz="5" w:space="0" w:color="000000"/>
              <w:right w:val="single" w:sz="5" w:space="0" w:color="000000"/>
            </w:tcBorders>
          </w:tcPr>
          <w:p w14:paraId="14BA6364"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Mild</w:t>
            </w:r>
          </w:p>
        </w:tc>
        <w:tc>
          <w:tcPr>
            <w:tcW w:w="1380" w:type="dxa"/>
            <w:tcBorders>
              <w:top w:val="single" w:sz="5" w:space="0" w:color="000000"/>
              <w:left w:val="single" w:sz="5" w:space="0" w:color="000000"/>
              <w:bottom w:val="single" w:sz="5" w:space="0" w:color="000000"/>
              <w:right w:val="single" w:sz="5" w:space="0" w:color="000000"/>
            </w:tcBorders>
          </w:tcPr>
          <w:p w14:paraId="4D83AF32"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Suspected</w:t>
            </w:r>
          </w:p>
        </w:tc>
        <w:tc>
          <w:tcPr>
            <w:tcW w:w="1277" w:type="dxa"/>
            <w:tcBorders>
              <w:top w:val="single" w:sz="5" w:space="0" w:color="000000"/>
              <w:left w:val="single" w:sz="5" w:space="0" w:color="000000"/>
              <w:bottom w:val="single" w:sz="5" w:space="0" w:color="000000"/>
              <w:right w:val="single" w:sz="12" w:space="0" w:color="000000"/>
            </w:tcBorders>
          </w:tcPr>
          <w:p w14:paraId="4FE4F006"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Resolved</w:t>
            </w:r>
          </w:p>
        </w:tc>
      </w:tr>
      <w:tr w:rsidR="00957F89" w:rsidRPr="00C73849" w14:paraId="6EA1ECA8" w14:textId="77777777">
        <w:trPr>
          <w:trHeight w:hRule="exact" w:val="240"/>
        </w:trPr>
        <w:tc>
          <w:tcPr>
            <w:tcW w:w="1385" w:type="dxa"/>
            <w:vMerge/>
            <w:tcBorders>
              <w:left w:val="single" w:sz="12" w:space="0" w:color="000000"/>
              <w:right w:val="single" w:sz="5" w:space="0" w:color="000000"/>
            </w:tcBorders>
          </w:tcPr>
          <w:p w14:paraId="493D8455" w14:textId="77777777" w:rsidR="00957F89" w:rsidRPr="00C73849" w:rsidRDefault="00957F89"/>
        </w:tc>
        <w:tc>
          <w:tcPr>
            <w:tcW w:w="996" w:type="dxa"/>
            <w:tcBorders>
              <w:top w:val="single" w:sz="5" w:space="0" w:color="000000"/>
              <w:left w:val="single" w:sz="5" w:space="0" w:color="000000"/>
              <w:bottom w:val="single" w:sz="5" w:space="0" w:color="000000"/>
              <w:right w:val="single" w:sz="5" w:space="0" w:color="000000"/>
            </w:tcBorders>
          </w:tcPr>
          <w:p w14:paraId="580A9834"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001-0034</w:t>
            </w:r>
          </w:p>
        </w:tc>
        <w:tc>
          <w:tcPr>
            <w:tcW w:w="905" w:type="dxa"/>
            <w:tcBorders>
              <w:top w:val="single" w:sz="5" w:space="0" w:color="000000"/>
              <w:left w:val="single" w:sz="5" w:space="0" w:color="000000"/>
              <w:bottom w:val="single" w:sz="5" w:space="0" w:color="000000"/>
              <w:right w:val="single" w:sz="5" w:space="0" w:color="000000"/>
            </w:tcBorders>
          </w:tcPr>
          <w:p w14:paraId="297DEF3D"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No</w:t>
            </w:r>
          </w:p>
        </w:tc>
        <w:tc>
          <w:tcPr>
            <w:tcW w:w="1188" w:type="dxa"/>
            <w:tcBorders>
              <w:top w:val="single" w:sz="5" w:space="0" w:color="000000"/>
              <w:left w:val="single" w:sz="5" w:space="0" w:color="000000"/>
              <w:bottom w:val="single" w:sz="5" w:space="0" w:color="000000"/>
              <w:right w:val="single" w:sz="5" w:space="0" w:color="000000"/>
            </w:tcBorders>
          </w:tcPr>
          <w:p w14:paraId="5F4FC3A9"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10 s</w:t>
            </w:r>
          </w:p>
        </w:tc>
        <w:tc>
          <w:tcPr>
            <w:tcW w:w="1061" w:type="dxa"/>
            <w:tcBorders>
              <w:top w:val="single" w:sz="5" w:space="0" w:color="000000"/>
              <w:left w:val="single" w:sz="5" w:space="0" w:color="000000"/>
              <w:bottom w:val="single" w:sz="5" w:space="0" w:color="000000"/>
              <w:right w:val="single" w:sz="5" w:space="0" w:color="000000"/>
            </w:tcBorders>
          </w:tcPr>
          <w:p w14:paraId="121215B2"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1 min 40 s</w:t>
            </w:r>
          </w:p>
        </w:tc>
        <w:tc>
          <w:tcPr>
            <w:tcW w:w="979" w:type="dxa"/>
            <w:tcBorders>
              <w:top w:val="single" w:sz="5" w:space="0" w:color="000000"/>
              <w:left w:val="single" w:sz="5" w:space="0" w:color="000000"/>
              <w:bottom w:val="single" w:sz="5" w:space="0" w:color="000000"/>
              <w:right w:val="single" w:sz="5" w:space="0" w:color="000000"/>
            </w:tcBorders>
          </w:tcPr>
          <w:p w14:paraId="5AD70556" w14:textId="77777777" w:rsidR="00957F89" w:rsidRPr="00C73849" w:rsidRDefault="00D92D87">
            <w:pPr>
              <w:pStyle w:val="TableParagraph"/>
              <w:spacing w:line="222" w:lineRule="exact"/>
              <w:ind w:left="99"/>
              <w:rPr>
                <w:rFonts w:ascii="Times New Roman" w:eastAsia="Times New Roman" w:hAnsi="Times New Roman" w:cs="Times New Roman"/>
                <w:sz w:val="20"/>
                <w:szCs w:val="20"/>
              </w:rPr>
            </w:pPr>
            <w:r w:rsidRPr="00C73849">
              <w:rPr>
                <w:rFonts w:ascii="Times New Roman"/>
                <w:sz w:val="20"/>
              </w:rPr>
              <w:t>Mild</w:t>
            </w:r>
          </w:p>
        </w:tc>
        <w:tc>
          <w:tcPr>
            <w:tcW w:w="1380" w:type="dxa"/>
            <w:tcBorders>
              <w:top w:val="single" w:sz="5" w:space="0" w:color="000000"/>
              <w:left w:val="single" w:sz="5" w:space="0" w:color="000000"/>
              <w:bottom w:val="single" w:sz="5" w:space="0" w:color="000000"/>
              <w:right w:val="single" w:sz="5" w:space="0" w:color="000000"/>
            </w:tcBorders>
          </w:tcPr>
          <w:p w14:paraId="05F48C83" w14:textId="77777777" w:rsidR="00957F89" w:rsidRPr="00C73849" w:rsidRDefault="00D92D87">
            <w:pPr>
              <w:pStyle w:val="TableParagraph"/>
              <w:spacing w:line="222" w:lineRule="exact"/>
              <w:ind w:left="99"/>
              <w:rPr>
                <w:rFonts w:ascii="Times New Roman" w:eastAsia="Times New Roman" w:hAnsi="Times New Roman" w:cs="Times New Roman"/>
                <w:sz w:val="20"/>
                <w:szCs w:val="20"/>
              </w:rPr>
            </w:pPr>
            <w:r w:rsidRPr="00C73849">
              <w:rPr>
                <w:rFonts w:ascii="Times New Roman"/>
                <w:sz w:val="20"/>
              </w:rPr>
              <w:t>Suspected</w:t>
            </w:r>
          </w:p>
        </w:tc>
        <w:tc>
          <w:tcPr>
            <w:tcW w:w="1277" w:type="dxa"/>
            <w:tcBorders>
              <w:top w:val="single" w:sz="5" w:space="0" w:color="000000"/>
              <w:left w:val="single" w:sz="5" w:space="0" w:color="000000"/>
              <w:bottom w:val="single" w:sz="5" w:space="0" w:color="000000"/>
              <w:right w:val="single" w:sz="12" w:space="0" w:color="000000"/>
            </w:tcBorders>
          </w:tcPr>
          <w:p w14:paraId="11BF3005"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Resolved</w:t>
            </w:r>
          </w:p>
        </w:tc>
      </w:tr>
      <w:tr w:rsidR="00957F89" w:rsidRPr="00C73849" w14:paraId="159E13E4" w14:textId="77777777">
        <w:trPr>
          <w:trHeight w:hRule="exact" w:val="240"/>
        </w:trPr>
        <w:tc>
          <w:tcPr>
            <w:tcW w:w="1385" w:type="dxa"/>
            <w:vMerge/>
            <w:tcBorders>
              <w:left w:val="single" w:sz="12" w:space="0" w:color="000000"/>
              <w:bottom w:val="single" w:sz="5" w:space="0" w:color="000000"/>
              <w:right w:val="single" w:sz="5" w:space="0" w:color="000000"/>
            </w:tcBorders>
          </w:tcPr>
          <w:p w14:paraId="5500D5C0" w14:textId="77777777" w:rsidR="00957F89" w:rsidRPr="00C73849" w:rsidRDefault="00957F89"/>
        </w:tc>
        <w:tc>
          <w:tcPr>
            <w:tcW w:w="996" w:type="dxa"/>
            <w:tcBorders>
              <w:top w:val="single" w:sz="5" w:space="0" w:color="000000"/>
              <w:left w:val="single" w:sz="5" w:space="0" w:color="000000"/>
              <w:bottom w:val="single" w:sz="5" w:space="0" w:color="000000"/>
              <w:right w:val="single" w:sz="5" w:space="0" w:color="000000"/>
            </w:tcBorders>
          </w:tcPr>
          <w:p w14:paraId="1C15162C"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001-0035</w:t>
            </w:r>
          </w:p>
        </w:tc>
        <w:tc>
          <w:tcPr>
            <w:tcW w:w="905" w:type="dxa"/>
            <w:tcBorders>
              <w:top w:val="single" w:sz="5" w:space="0" w:color="000000"/>
              <w:left w:val="single" w:sz="5" w:space="0" w:color="000000"/>
              <w:bottom w:val="single" w:sz="5" w:space="0" w:color="000000"/>
              <w:right w:val="single" w:sz="5" w:space="0" w:color="000000"/>
            </w:tcBorders>
          </w:tcPr>
          <w:p w14:paraId="70004D47"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No</w:t>
            </w:r>
          </w:p>
        </w:tc>
        <w:tc>
          <w:tcPr>
            <w:tcW w:w="1188" w:type="dxa"/>
            <w:tcBorders>
              <w:top w:val="single" w:sz="5" w:space="0" w:color="000000"/>
              <w:left w:val="single" w:sz="5" w:space="0" w:color="000000"/>
              <w:bottom w:val="single" w:sz="5" w:space="0" w:color="000000"/>
              <w:right w:val="single" w:sz="5" w:space="0" w:color="000000"/>
            </w:tcBorders>
          </w:tcPr>
          <w:p w14:paraId="56A19EF1"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10 s</w:t>
            </w:r>
          </w:p>
        </w:tc>
        <w:tc>
          <w:tcPr>
            <w:tcW w:w="1061" w:type="dxa"/>
            <w:tcBorders>
              <w:top w:val="single" w:sz="5" w:space="0" w:color="000000"/>
              <w:left w:val="single" w:sz="5" w:space="0" w:color="000000"/>
              <w:bottom w:val="single" w:sz="5" w:space="0" w:color="000000"/>
              <w:right w:val="single" w:sz="5" w:space="0" w:color="000000"/>
            </w:tcBorders>
          </w:tcPr>
          <w:p w14:paraId="115B7106"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50 s</w:t>
            </w:r>
          </w:p>
        </w:tc>
        <w:tc>
          <w:tcPr>
            <w:tcW w:w="979" w:type="dxa"/>
            <w:tcBorders>
              <w:top w:val="single" w:sz="5" w:space="0" w:color="000000"/>
              <w:left w:val="single" w:sz="5" w:space="0" w:color="000000"/>
              <w:bottom w:val="single" w:sz="5" w:space="0" w:color="000000"/>
              <w:right w:val="single" w:sz="5" w:space="0" w:color="000000"/>
            </w:tcBorders>
          </w:tcPr>
          <w:p w14:paraId="7C0BB51D" w14:textId="77777777" w:rsidR="00957F89" w:rsidRPr="00C73849" w:rsidRDefault="00D92D87">
            <w:pPr>
              <w:pStyle w:val="TableParagraph"/>
              <w:spacing w:line="222" w:lineRule="exact"/>
              <w:ind w:left="99"/>
              <w:rPr>
                <w:rFonts w:ascii="Times New Roman" w:eastAsia="Times New Roman" w:hAnsi="Times New Roman" w:cs="Times New Roman"/>
                <w:sz w:val="20"/>
                <w:szCs w:val="20"/>
              </w:rPr>
            </w:pPr>
            <w:r w:rsidRPr="00C73849">
              <w:rPr>
                <w:rFonts w:ascii="Times New Roman"/>
                <w:sz w:val="20"/>
              </w:rPr>
              <w:t>Mild</w:t>
            </w:r>
          </w:p>
        </w:tc>
        <w:tc>
          <w:tcPr>
            <w:tcW w:w="1380" w:type="dxa"/>
            <w:tcBorders>
              <w:top w:val="single" w:sz="5" w:space="0" w:color="000000"/>
              <w:left w:val="single" w:sz="5" w:space="0" w:color="000000"/>
              <w:bottom w:val="single" w:sz="5" w:space="0" w:color="000000"/>
              <w:right w:val="single" w:sz="5" w:space="0" w:color="000000"/>
            </w:tcBorders>
          </w:tcPr>
          <w:p w14:paraId="683013BE"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Suspected</w:t>
            </w:r>
          </w:p>
        </w:tc>
        <w:tc>
          <w:tcPr>
            <w:tcW w:w="1277" w:type="dxa"/>
            <w:tcBorders>
              <w:top w:val="single" w:sz="5" w:space="0" w:color="000000"/>
              <w:left w:val="single" w:sz="5" w:space="0" w:color="000000"/>
              <w:bottom w:val="single" w:sz="5" w:space="0" w:color="000000"/>
              <w:right w:val="single" w:sz="12" w:space="0" w:color="000000"/>
            </w:tcBorders>
          </w:tcPr>
          <w:p w14:paraId="177243C1"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Resolved</w:t>
            </w:r>
          </w:p>
        </w:tc>
      </w:tr>
      <w:tr w:rsidR="00957F89" w:rsidRPr="00C73849" w14:paraId="741BB270" w14:textId="77777777">
        <w:trPr>
          <w:trHeight w:hRule="exact" w:val="240"/>
        </w:trPr>
        <w:tc>
          <w:tcPr>
            <w:tcW w:w="1385" w:type="dxa"/>
            <w:tcBorders>
              <w:top w:val="single" w:sz="5" w:space="0" w:color="000000"/>
              <w:left w:val="single" w:sz="12" w:space="0" w:color="000000"/>
              <w:bottom w:val="single" w:sz="5" w:space="0" w:color="000000"/>
              <w:right w:val="single" w:sz="5" w:space="0" w:color="000000"/>
            </w:tcBorders>
          </w:tcPr>
          <w:p w14:paraId="6C6DBDF5" w14:textId="77777777" w:rsidR="00957F89" w:rsidRPr="00C73849" w:rsidRDefault="00D92D87">
            <w:pPr>
              <w:pStyle w:val="TableParagraph"/>
              <w:spacing w:line="222" w:lineRule="exact"/>
              <w:ind w:left="92"/>
              <w:rPr>
                <w:rFonts w:ascii="Times New Roman" w:eastAsia="Times New Roman" w:hAnsi="Times New Roman" w:cs="Times New Roman"/>
                <w:sz w:val="20"/>
                <w:szCs w:val="20"/>
              </w:rPr>
            </w:pPr>
            <w:r w:rsidRPr="00C73849">
              <w:rPr>
                <w:rFonts w:ascii="Times New Roman"/>
                <w:sz w:val="20"/>
              </w:rPr>
              <w:t>Dizziness</w:t>
            </w:r>
          </w:p>
        </w:tc>
        <w:tc>
          <w:tcPr>
            <w:tcW w:w="996" w:type="dxa"/>
            <w:tcBorders>
              <w:top w:val="single" w:sz="5" w:space="0" w:color="000000"/>
              <w:left w:val="single" w:sz="5" w:space="0" w:color="000000"/>
              <w:bottom w:val="single" w:sz="5" w:space="0" w:color="000000"/>
              <w:right w:val="single" w:sz="5" w:space="0" w:color="000000"/>
            </w:tcBorders>
          </w:tcPr>
          <w:p w14:paraId="491D5FAE" w14:textId="77777777" w:rsidR="00957F89" w:rsidRPr="00C73849" w:rsidRDefault="00D92D87">
            <w:pPr>
              <w:pStyle w:val="TableParagraph"/>
              <w:spacing w:line="222" w:lineRule="exact"/>
              <w:ind w:left="103"/>
              <w:rPr>
                <w:rFonts w:ascii="Times New Roman" w:eastAsia="Times New Roman" w:hAnsi="Times New Roman" w:cs="Times New Roman"/>
                <w:sz w:val="20"/>
                <w:szCs w:val="20"/>
              </w:rPr>
            </w:pPr>
            <w:r w:rsidRPr="00C73849">
              <w:rPr>
                <w:rFonts w:ascii="Times New Roman"/>
                <w:sz w:val="20"/>
              </w:rPr>
              <w:t>001-0024</w:t>
            </w:r>
          </w:p>
        </w:tc>
        <w:tc>
          <w:tcPr>
            <w:tcW w:w="905" w:type="dxa"/>
            <w:tcBorders>
              <w:top w:val="single" w:sz="5" w:space="0" w:color="000000"/>
              <w:left w:val="single" w:sz="5" w:space="0" w:color="000000"/>
              <w:bottom w:val="single" w:sz="5" w:space="0" w:color="000000"/>
              <w:right w:val="single" w:sz="5" w:space="0" w:color="000000"/>
            </w:tcBorders>
          </w:tcPr>
          <w:p w14:paraId="06EC83D6"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No</w:t>
            </w:r>
          </w:p>
        </w:tc>
        <w:tc>
          <w:tcPr>
            <w:tcW w:w="1188" w:type="dxa"/>
            <w:tcBorders>
              <w:top w:val="single" w:sz="5" w:space="0" w:color="000000"/>
              <w:left w:val="single" w:sz="5" w:space="0" w:color="000000"/>
              <w:bottom w:val="single" w:sz="5" w:space="0" w:color="000000"/>
              <w:right w:val="single" w:sz="5" w:space="0" w:color="000000"/>
            </w:tcBorders>
          </w:tcPr>
          <w:p w14:paraId="3A8A5241"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1 s</w:t>
            </w:r>
          </w:p>
        </w:tc>
        <w:tc>
          <w:tcPr>
            <w:tcW w:w="1061" w:type="dxa"/>
            <w:tcBorders>
              <w:top w:val="single" w:sz="5" w:space="0" w:color="000000"/>
              <w:left w:val="single" w:sz="5" w:space="0" w:color="000000"/>
              <w:bottom w:val="single" w:sz="5" w:space="0" w:color="000000"/>
              <w:right w:val="single" w:sz="5" w:space="0" w:color="000000"/>
            </w:tcBorders>
          </w:tcPr>
          <w:p w14:paraId="67825337"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14 s</w:t>
            </w:r>
          </w:p>
        </w:tc>
        <w:tc>
          <w:tcPr>
            <w:tcW w:w="979" w:type="dxa"/>
            <w:tcBorders>
              <w:top w:val="single" w:sz="5" w:space="0" w:color="000000"/>
              <w:left w:val="single" w:sz="5" w:space="0" w:color="000000"/>
              <w:bottom w:val="single" w:sz="5" w:space="0" w:color="000000"/>
              <w:right w:val="single" w:sz="5" w:space="0" w:color="000000"/>
            </w:tcBorders>
          </w:tcPr>
          <w:p w14:paraId="0DBF4963"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Mild</w:t>
            </w:r>
          </w:p>
        </w:tc>
        <w:tc>
          <w:tcPr>
            <w:tcW w:w="1380" w:type="dxa"/>
            <w:tcBorders>
              <w:top w:val="single" w:sz="5" w:space="0" w:color="000000"/>
              <w:left w:val="single" w:sz="5" w:space="0" w:color="000000"/>
              <w:bottom w:val="single" w:sz="5" w:space="0" w:color="000000"/>
              <w:right w:val="single" w:sz="5" w:space="0" w:color="000000"/>
            </w:tcBorders>
          </w:tcPr>
          <w:p w14:paraId="7E6F1DB9"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Suspected</w:t>
            </w:r>
          </w:p>
        </w:tc>
        <w:tc>
          <w:tcPr>
            <w:tcW w:w="1277" w:type="dxa"/>
            <w:tcBorders>
              <w:top w:val="single" w:sz="5" w:space="0" w:color="000000"/>
              <w:left w:val="single" w:sz="5" w:space="0" w:color="000000"/>
              <w:bottom w:val="single" w:sz="5" w:space="0" w:color="000000"/>
              <w:right w:val="single" w:sz="12" w:space="0" w:color="000000"/>
            </w:tcBorders>
          </w:tcPr>
          <w:p w14:paraId="07D43C58"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Resolved</w:t>
            </w:r>
          </w:p>
        </w:tc>
      </w:tr>
      <w:tr w:rsidR="00957F89" w:rsidRPr="00C73849" w14:paraId="01ABFC35" w14:textId="77777777">
        <w:trPr>
          <w:trHeight w:hRule="exact" w:val="240"/>
        </w:trPr>
        <w:tc>
          <w:tcPr>
            <w:tcW w:w="1385" w:type="dxa"/>
            <w:vMerge w:val="restart"/>
            <w:tcBorders>
              <w:top w:val="single" w:sz="5" w:space="0" w:color="000000"/>
              <w:left w:val="single" w:sz="12" w:space="0" w:color="000000"/>
              <w:right w:val="single" w:sz="5" w:space="0" w:color="000000"/>
            </w:tcBorders>
          </w:tcPr>
          <w:p w14:paraId="659974E9" w14:textId="77777777" w:rsidR="00957F89" w:rsidRPr="00C73849" w:rsidRDefault="00D92D87">
            <w:pPr>
              <w:pStyle w:val="TableParagraph"/>
              <w:spacing w:line="222" w:lineRule="exact"/>
              <w:ind w:left="92"/>
              <w:rPr>
                <w:rFonts w:ascii="Times New Roman" w:eastAsia="Times New Roman" w:hAnsi="Times New Roman" w:cs="Times New Roman"/>
                <w:sz w:val="20"/>
                <w:szCs w:val="20"/>
              </w:rPr>
            </w:pPr>
            <w:r w:rsidRPr="00C73849">
              <w:rPr>
                <w:rFonts w:ascii="Times New Roman"/>
                <w:sz w:val="20"/>
              </w:rPr>
              <w:t>Parosmia</w:t>
            </w:r>
          </w:p>
        </w:tc>
        <w:tc>
          <w:tcPr>
            <w:tcW w:w="996" w:type="dxa"/>
            <w:tcBorders>
              <w:top w:val="single" w:sz="5" w:space="0" w:color="000000"/>
              <w:left w:val="single" w:sz="5" w:space="0" w:color="000000"/>
              <w:bottom w:val="single" w:sz="5" w:space="0" w:color="000000"/>
              <w:right w:val="single" w:sz="5" w:space="0" w:color="000000"/>
            </w:tcBorders>
          </w:tcPr>
          <w:p w14:paraId="4B270328"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001-0033</w:t>
            </w:r>
          </w:p>
        </w:tc>
        <w:tc>
          <w:tcPr>
            <w:tcW w:w="905" w:type="dxa"/>
            <w:tcBorders>
              <w:top w:val="single" w:sz="5" w:space="0" w:color="000000"/>
              <w:left w:val="single" w:sz="5" w:space="0" w:color="000000"/>
              <w:bottom w:val="single" w:sz="5" w:space="0" w:color="000000"/>
              <w:right w:val="single" w:sz="5" w:space="0" w:color="000000"/>
            </w:tcBorders>
          </w:tcPr>
          <w:p w14:paraId="32B100AE"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No</w:t>
            </w:r>
          </w:p>
        </w:tc>
        <w:tc>
          <w:tcPr>
            <w:tcW w:w="1188" w:type="dxa"/>
            <w:tcBorders>
              <w:top w:val="single" w:sz="5" w:space="0" w:color="000000"/>
              <w:left w:val="single" w:sz="5" w:space="0" w:color="000000"/>
              <w:bottom w:val="single" w:sz="5" w:space="0" w:color="000000"/>
              <w:right w:val="single" w:sz="5" w:space="0" w:color="000000"/>
            </w:tcBorders>
          </w:tcPr>
          <w:p w14:paraId="4B73E34F"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5 s</w:t>
            </w:r>
          </w:p>
        </w:tc>
        <w:tc>
          <w:tcPr>
            <w:tcW w:w="1061" w:type="dxa"/>
            <w:tcBorders>
              <w:top w:val="single" w:sz="5" w:space="0" w:color="000000"/>
              <w:left w:val="single" w:sz="5" w:space="0" w:color="000000"/>
              <w:bottom w:val="single" w:sz="5" w:space="0" w:color="000000"/>
              <w:right w:val="single" w:sz="5" w:space="0" w:color="000000"/>
            </w:tcBorders>
          </w:tcPr>
          <w:p w14:paraId="37E42E35"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15 s</w:t>
            </w:r>
          </w:p>
        </w:tc>
        <w:tc>
          <w:tcPr>
            <w:tcW w:w="979" w:type="dxa"/>
            <w:tcBorders>
              <w:top w:val="single" w:sz="5" w:space="0" w:color="000000"/>
              <w:left w:val="single" w:sz="5" w:space="0" w:color="000000"/>
              <w:bottom w:val="single" w:sz="5" w:space="0" w:color="000000"/>
              <w:right w:val="single" w:sz="5" w:space="0" w:color="000000"/>
            </w:tcBorders>
          </w:tcPr>
          <w:p w14:paraId="47CD7F4B" w14:textId="77777777" w:rsidR="00957F89" w:rsidRPr="00C73849" w:rsidRDefault="00D92D87">
            <w:pPr>
              <w:pStyle w:val="TableParagraph"/>
              <w:spacing w:line="222" w:lineRule="exact"/>
              <w:ind w:left="99"/>
              <w:rPr>
                <w:rFonts w:ascii="Times New Roman" w:eastAsia="Times New Roman" w:hAnsi="Times New Roman" w:cs="Times New Roman"/>
                <w:sz w:val="20"/>
                <w:szCs w:val="20"/>
              </w:rPr>
            </w:pPr>
            <w:r w:rsidRPr="00C73849">
              <w:rPr>
                <w:rFonts w:ascii="Times New Roman"/>
                <w:sz w:val="20"/>
              </w:rPr>
              <w:t>Mild</w:t>
            </w:r>
          </w:p>
        </w:tc>
        <w:tc>
          <w:tcPr>
            <w:tcW w:w="1380" w:type="dxa"/>
            <w:tcBorders>
              <w:top w:val="single" w:sz="5" w:space="0" w:color="000000"/>
              <w:left w:val="single" w:sz="5" w:space="0" w:color="000000"/>
              <w:bottom w:val="single" w:sz="5" w:space="0" w:color="000000"/>
              <w:right w:val="single" w:sz="5" w:space="0" w:color="000000"/>
            </w:tcBorders>
          </w:tcPr>
          <w:p w14:paraId="31994A7F"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Suspected</w:t>
            </w:r>
          </w:p>
        </w:tc>
        <w:tc>
          <w:tcPr>
            <w:tcW w:w="1277" w:type="dxa"/>
            <w:tcBorders>
              <w:top w:val="single" w:sz="5" w:space="0" w:color="000000"/>
              <w:left w:val="single" w:sz="5" w:space="0" w:color="000000"/>
              <w:bottom w:val="single" w:sz="5" w:space="0" w:color="000000"/>
              <w:right w:val="single" w:sz="12" w:space="0" w:color="000000"/>
            </w:tcBorders>
          </w:tcPr>
          <w:p w14:paraId="60CBB357"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Resolved</w:t>
            </w:r>
          </w:p>
        </w:tc>
      </w:tr>
      <w:tr w:rsidR="00957F89" w:rsidRPr="00C73849" w14:paraId="29083A82" w14:textId="77777777">
        <w:trPr>
          <w:trHeight w:hRule="exact" w:val="240"/>
        </w:trPr>
        <w:tc>
          <w:tcPr>
            <w:tcW w:w="1385" w:type="dxa"/>
            <w:vMerge/>
            <w:tcBorders>
              <w:left w:val="single" w:sz="12" w:space="0" w:color="000000"/>
              <w:bottom w:val="single" w:sz="5" w:space="0" w:color="000000"/>
              <w:right w:val="single" w:sz="5" w:space="0" w:color="000000"/>
            </w:tcBorders>
          </w:tcPr>
          <w:p w14:paraId="3DF72A70" w14:textId="77777777" w:rsidR="00957F89" w:rsidRPr="00C73849" w:rsidRDefault="00957F89"/>
        </w:tc>
        <w:tc>
          <w:tcPr>
            <w:tcW w:w="996" w:type="dxa"/>
            <w:tcBorders>
              <w:top w:val="single" w:sz="5" w:space="0" w:color="000000"/>
              <w:left w:val="single" w:sz="5" w:space="0" w:color="000000"/>
              <w:bottom w:val="single" w:sz="5" w:space="0" w:color="000000"/>
              <w:right w:val="single" w:sz="5" w:space="0" w:color="000000"/>
            </w:tcBorders>
          </w:tcPr>
          <w:p w14:paraId="4E23D278"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001-0035</w:t>
            </w:r>
          </w:p>
        </w:tc>
        <w:tc>
          <w:tcPr>
            <w:tcW w:w="905" w:type="dxa"/>
            <w:tcBorders>
              <w:top w:val="single" w:sz="5" w:space="0" w:color="000000"/>
              <w:left w:val="single" w:sz="5" w:space="0" w:color="000000"/>
              <w:bottom w:val="single" w:sz="5" w:space="0" w:color="000000"/>
              <w:right w:val="single" w:sz="5" w:space="0" w:color="000000"/>
            </w:tcBorders>
          </w:tcPr>
          <w:p w14:paraId="4F4E36E2"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No</w:t>
            </w:r>
          </w:p>
        </w:tc>
        <w:tc>
          <w:tcPr>
            <w:tcW w:w="1188" w:type="dxa"/>
            <w:tcBorders>
              <w:top w:val="single" w:sz="5" w:space="0" w:color="000000"/>
              <w:left w:val="single" w:sz="5" w:space="0" w:color="000000"/>
              <w:bottom w:val="single" w:sz="5" w:space="0" w:color="000000"/>
              <w:right w:val="single" w:sz="5" w:space="0" w:color="000000"/>
            </w:tcBorders>
          </w:tcPr>
          <w:p w14:paraId="069C6E85"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10 s</w:t>
            </w:r>
          </w:p>
        </w:tc>
        <w:tc>
          <w:tcPr>
            <w:tcW w:w="1061" w:type="dxa"/>
            <w:tcBorders>
              <w:top w:val="single" w:sz="5" w:space="0" w:color="000000"/>
              <w:left w:val="single" w:sz="5" w:space="0" w:color="000000"/>
              <w:bottom w:val="single" w:sz="5" w:space="0" w:color="000000"/>
              <w:right w:val="single" w:sz="5" w:space="0" w:color="000000"/>
            </w:tcBorders>
          </w:tcPr>
          <w:p w14:paraId="3A48A5CE"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4 s</w:t>
            </w:r>
          </w:p>
        </w:tc>
        <w:tc>
          <w:tcPr>
            <w:tcW w:w="979" w:type="dxa"/>
            <w:tcBorders>
              <w:top w:val="single" w:sz="5" w:space="0" w:color="000000"/>
              <w:left w:val="single" w:sz="5" w:space="0" w:color="000000"/>
              <w:bottom w:val="single" w:sz="5" w:space="0" w:color="000000"/>
              <w:right w:val="single" w:sz="5" w:space="0" w:color="000000"/>
            </w:tcBorders>
          </w:tcPr>
          <w:p w14:paraId="100DA03D" w14:textId="77777777" w:rsidR="00957F89" w:rsidRPr="00C73849" w:rsidRDefault="00D92D87">
            <w:pPr>
              <w:pStyle w:val="TableParagraph"/>
              <w:spacing w:line="222" w:lineRule="exact"/>
              <w:ind w:left="99"/>
              <w:rPr>
                <w:rFonts w:ascii="Times New Roman" w:eastAsia="Times New Roman" w:hAnsi="Times New Roman" w:cs="Times New Roman"/>
                <w:sz w:val="20"/>
                <w:szCs w:val="20"/>
              </w:rPr>
            </w:pPr>
            <w:r w:rsidRPr="00C73849">
              <w:rPr>
                <w:rFonts w:ascii="Times New Roman"/>
                <w:sz w:val="20"/>
              </w:rPr>
              <w:t>Mild</w:t>
            </w:r>
          </w:p>
        </w:tc>
        <w:tc>
          <w:tcPr>
            <w:tcW w:w="1380" w:type="dxa"/>
            <w:tcBorders>
              <w:top w:val="single" w:sz="5" w:space="0" w:color="000000"/>
              <w:left w:val="single" w:sz="5" w:space="0" w:color="000000"/>
              <w:bottom w:val="single" w:sz="5" w:space="0" w:color="000000"/>
              <w:right w:val="single" w:sz="5" w:space="0" w:color="000000"/>
            </w:tcBorders>
          </w:tcPr>
          <w:p w14:paraId="75C8F3D0"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Suspected</w:t>
            </w:r>
          </w:p>
        </w:tc>
        <w:tc>
          <w:tcPr>
            <w:tcW w:w="1277" w:type="dxa"/>
            <w:tcBorders>
              <w:top w:val="single" w:sz="5" w:space="0" w:color="000000"/>
              <w:left w:val="single" w:sz="5" w:space="0" w:color="000000"/>
              <w:bottom w:val="single" w:sz="5" w:space="0" w:color="000000"/>
              <w:right w:val="single" w:sz="12" w:space="0" w:color="000000"/>
            </w:tcBorders>
          </w:tcPr>
          <w:p w14:paraId="393E607C"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Resolved</w:t>
            </w:r>
          </w:p>
        </w:tc>
      </w:tr>
      <w:tr w:rsidR="00957F89" w:rsidRPr="00C73849" w14:paraId="4F2491D8" w14:textId="77777777">
        <w:trPr>
          <w:trHeight w:hRule="exact" w:val="240"/>
        </w:trPr>
        <w:tc>
          <w:tcPr>
            <w:tcW w:w="9170" w:type="dxa"/>
            <w:gridSpan w:val="8"/>
            <w:tcBorders>
              <w:top w:val="single" w:sz="5" w:space="0" w:color="000000"/>
              <w:left w:val="single" w:sz="12" w:space="0" w:color="000000"/>
              <w:bottom w:val="single" w:sz="5" w:space="0" w:color="000000"/>
              <w:right w:val="single" w:sz="12" w:space="0" w:color="000000"/>
            </w:tcBorders>
          </w:tcPr>
          <w:p w14:paraId="3BB94F50" w14:textId="77777777" w:rsidR="00957F89" w:rsidRPr="00C73849" w:rsidRDefault="00D92D87">
            <w:pPr>
              <w:pStyle w:val="TableParagraph"/>
              <w:spacing w:line="227" w:lineRule="exact"/>
              <w:ind w:left="92"/>
              <w:rPr>
                <w:rFonts w:ascii="Times New Roman" w:eastAsia="Times New Roman" w:hAnsi="Times New Roman" w:cs="Times New Roman"/>
                <w:sz w:val="20"/>
                <w:szCs w:val="20"/>
              </w:rPr>
            </w:pPr>
            <w:r w:rsidRPr="00C73849">
              <w:rPr>
                <w:rFonts w:ascii="Times New Roman"/>
                <w:b/>
                <w:sz w:val="20"/>
              </w:rPr>
              <w:t>0.57 ml/kg Pyruvate Injection</w:t>
            </w:r>
          </w:p>
        </w:tc>
      </w:tr>
      <w:tr w:rsidR="00957F89" w:rsidRPr="00C73849" w14:paraId="19E8C326" w14:textId="77777777">
        <w:trPr>
          <w:trHeight w:hRule="exact" w:val="470"/>
        </w:trPr>
        <w:tc>
          <w:tcPr>
            <w:tcW w:w="1385" w:type="dxa"/>
            <w:tcBorders>
              <w:top w:val="single" w:sz="5" w:space="0" w:color="000000"/>
              <w:left w:val="single" w:sz="12" w:space="0" w:color="000000"/>
              <w:bottom w:val="single" w:sz="5" w:space="0" w:color="000000"/>
              <w:right w:val="single" w:sz="5" w:space="0" w:color="000000"/>
            </w:tcBorders>
          </w:tcPr>
          <w:p w14:paraId="48FBE6E2" w14:textId="77777777" w:rsidR="00957F89" w:rsidRPr="00C73849" w:rsidRDefault="00D92D87">
            <w:pPr>
              <w:pStyle w:val="TableParagraph"/>
              <w:ind w:left="92" w:right="515"/>
              <w:rPr>
                <w:rFonts w:ascii="Times New Roman" w:eastAsia="Times New Roman" w:hAnsi="Times New Roman" w:cs="Times New Roman"/>
                <w:sz w:val="20"/>
                <w:szCs w:val="20"/>
              </w:rPr>
            </w:pPr>
            <w:r w:rsidRPr="00C73849">
              <w:rPr>
                <w:rFonts w:ascii="Times New Roman"/>
                <w:sz w:val="20"/>
              </w:rPr>
              <w:t>Feeling</w:t>
            </w:r>
            <w:r w:rsidRPr="00C73849">
              <w:rPr>
                <w:rFonts w:ascii="Times New Roman"/>
                <w:w w:val="99"/>
                <w:sz w:val="20"/>
              </w:rPr>
              <w:t xml:space="preserve"> </w:t>
            </w:r>
            <w:r w:rsidRPr="00C73849">
              <w:rPr>
                <w:rFonts w:ascii="Times New Roman"/>
                <w:sz w:val="20"/>
              </w:rPr>
              <w:t>abnormal</w:t>
            </w:r>
          </w:p>
        </w:tc>
        <w:tc>
          <w:tcPr>
            <w:tcW w:w="996" w:type="dxa"/>
            <w:tcBorders>
              <w:top w:val="single" w:sz="5" w:space="0" w:color="000000"/>
              <w:left w:val="single" w:sz="5" w:space="0" w:color="000000"/>
              <w:bottom w:val="single" w:sz="5" w:space="0" w:color="000000"/>
              <w:right w:val="single" w:sz="5" w:space="0" w:color="000000"/>
            </w:tcBorders>
          </w:tcPr>
          <w:p w14:paraId="02D536A9"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001-0026</w:t>
            </w:r>
          </w:p>
        </w:tc>
        <w:tc>
          <w:tcPr>
            <w:tcW w:w="905" w:type="dxa"/>
            <w:tcBorders>
              <w:top w:val="single" w:sz="5" w:space="0" w:color="000000"/>
              <w:left w:val="single" w:sz="5" w:space="0" w:color="000000"/>
              <w:bottom w:val="single" w:sz="5" w:space="0" w:color="000000"/>
              <w:right w:val="single" w:sz="5" w:space="0" w:color="000000"/>
            </w:tcBorders>
          </w:tcPr>
          <w:p w14:paraId="489E9A9B"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No</w:t>
            </w:r>
          </w:p>
        </w:tc>
        <w:tc>
          <w:tcPr>
            <w:tcW w:w="1188" w:type="dxa"/>
            <w:tcBorders>
              <w:top w:val="single" w:sz="5" w:space="0" w:color="000000"/>
              <w:left w:val="single" w:sz="5" w:space="0" w:color="000000"/>
              <w:bottom w:val="single" w:sz="5" w:space="0" w:color="000000"/>
              <w:right w:val="single" w:sz="5" w:space="0" w:color="000000"/>
            </w:tcBorders>
          </w:tcPr>
          <w:p w14:paraId="079E0268"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15 s</w:t>
            </w:r>
          </w:p>
        </w:tc>
        <w:tc>
          <w:tcPr>
            <w:tcW w:w="1061" w:type="dxa"/>
            <w:tcBorders>
              <w:top w:val="single" w:sz="5" w:space="0" w:color="000000"/>
              <w:left w:val="single" w:sz="5" w:space="0" w:color="000000"/>
              <w:bottom w:val="single" w:sz="5" w:space="0" w:color="000000"/>
              <w:right w:val="single" w:sz="5" w:space="0" w:color="000000"/>
            </w:tcBorders>
          </w:tcPr>
          <w:p w14:paraId="53CF0EF2"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1 min 45 s</w:t>
            </w:r>
          </w:p>
        </w:tc>
        <w:tc>
          <w:tcPr>
            <w:tcW w:w="979" w:type="dxa"/>
            <w:tcBorders>
              <w:top w:val="single" w:sz="5" w:space="0" w:color="000000"/>
              <w:left w:val="single" w:sz="5" w:space="0" w:color="000000"/>
              <w:bottom w:val="single" w:sz="5" w:space="0" w:color="000000"/>
              <w:right w:val="single" w:sz="5" w:space="0" w:color="000000"/>
            </w:tcBorders>
          </w:tcPr>
          <w:p w14:paraId="497D3879" w14:textId="77777777" w:rsidR="00957F89" w:rsidRPr="00C73849" w:rsidRDefault="00D92D87">
            <w:pPr>
              <w:pStyle w:val="TableParagraph"/>
              <w:spacing w:line="222" w:lineRule="exact"/>
              <w:ind w:left="99"/>
              <w:rPr>
                <w:rFonts w:ascii="Times New Roman" w:eastAsia="Times New Roman" w:hAnsi="Times New Roman" w:cs="Times New Roman"/>
                <w:sz w:val="20"/>
                <w:szCs w:val="20"/>
              </w:rPr>
            </w:pPr>
            <w:r w:rsidRPr="00C73849">
              <w:rPr>
                <w:rFonts w:ascii="Times New Roman"/>
                <w:sz w:val="20"/>
              </w:rPr>
              <w:t>Mild</w:t>
            </w:r>
          </w:p>
        </w:tc>
        <w:tc>
          <w:tcPr>
            <w:tcW w:w="1380" w:type="dxa"/>
            <w:tcBorders>
              <w:top w:val="single" w:sz="5" w:space="0" w:color="000000"/>
              <w:left w:val="single" w:sz="5" w:space="0" w:color="000000"/>
              <w:bottom w:val="single" w:sz="5" w:space="0" w:color="000000"/>
              <w:right w:val="single" w:sz="5" w:space="0" w:color="000000"/>
            </w:tcBorders>
          </w:tcPr>
          <w:p w14:paraId="63EC5CA3" w14:textId="77777777" w:rsidR="00957F89" w:rsidRPr="00C73849" w:rsidRDefault="00D92D87">
            <w:pPr>
              <w:pStyle w:val="TableParagraph"/>
              <w:spacing w:line="222" w:lineRule="exact"/>
              <w:ind w:left="99"/>
              <w:rPr>
                <w:rFonts w:ascii="Times New Roman" w:eastAsia="Times New Roman" w:hAnsi="Times New Roman" w:cs="Times New Roman"/>
                <w:sz w:val="20"/>
                <w:szCs w:val="20"/>
              </w:rPr>
            </w:pPr>
            <w:r w:rsidRPr="00C73849">
              <w:rPr>
                <w:rFonts w:ascii="Times New Roman"/>
                <w:sz w:val="20"/>
              </w:rPr>
              <w:t>Suspected</w:t>
            </w:r>
          </w:p>
        </w:tc>
        <w:tc>
          <w:tcPr>
            <w:tcW w:w="1277" w:type="dxa"/>
            <w:tcBorders>
              <w:top w:val="single" w:sz="5" w:space="0" w:color="000000"/>
              <w:left w:val="single" w:sz="5" w:space="0" w:color="000000"/>
              <w:bottom w:val="single" w:sz="5" w:space="0" w:color="000000"/>
              <w:right w:val="single" w:sz="12" w:space="0" w:color="000000"/>
            </w:tcBorders>
          </w:tcPr>
          <w:p w14:paraId="7DAABB84"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Resolved</w:t>
            </w:r>
          </w:p>
        </w:tc>
      </w:tr>
      <w:tr w:rsidR="00957F89" w:rsidRPr="00C73849" w14:paraId="5EA4CFB3" w14:textId="77777777">
        <w:trPr>
          <w:trHeight w:hRule="exact" w:val="468"/>
        </w:trPr>
        <w:tc>
          <w:tcPr>
            <w:tcW w:w="1385" w:type="dxa"/>
            <w:tcBorders>
              <w:top w:val="single" w:sz="5" w:space="0" w:color="000000"/>
              <w:left w:val="single" w:sz="12" w:space="0" w:color="000000"/>
              <w:bottom w:val="single" w:sz="5" w:space="0" w:color="000000"/>
              <w:right w:val="single" w:sz="5" w:space="0" w:color="000000"/>
            </w:tcBorders>
          </w:tcPr>
          <w:p w14:paraId="11933697" w14:textId="77777777" w:rsidR="00957F89" w:rsidRPr="00C73849" w:rsidRDefault="00D92D87">
            <w:pPr>
              <w:pStyle w:val="TableParagraph"/>
              <w:spacing w:line="222" w:lineRule="exact"/>
              <w:ind w:left="92"/>
              <w:rPr>
                <w:rFonts w:ascii="Times New Roman" w:eastAsia="Times New Roman" w:hAnsi="Times New Roman" w:cs="Times New Roman"/>
                <w:sz w:val="20"/>
                <w:szCs w:val="20"/>
              </w:rPr>
            </w:pPr>
            <w:r w:rsidRPr="00C73849">
              <w:rPr>
                <w:rFonts w:ascii="Times New Roman"/>
                <w:sz w:val="20"/>
              </w:rPr>
              <w:t>Dizziness</w:t>
            </w:r>
          </w:p>
        </w:tc>
        <w:tc>
          <w:tcPr>
            <w:tcW w:w="996" w:type="dxa"/>
            <w:tcBorders>
              <w:top w:val="single" w:sz="5" w:space="0" w:color="000000"/>
              <w:left w:val="single" w:sz="5" w:space="0" w:color="000000"/>
              <w:bottom w:val="single" w:sz="5" w:space="0" w:color="000000"/>
              <w:right w:val="single" w:sz="5" w:space="0" w:color="000000"/>
            </w:tcBorders>
          </w:tcPr>
          <w:p w14:paraId="57A1F1A8" w14:textId="77777777" w:rsidR="00957F89" w:rsidRPr="00C73849" w:rsidRDefault="00D92D87">
            <w:pPr>
              <w:pStyle w:val="TableParagraph"/>
              <w:spacing w:line="222" w:lineRule="exact"/>
              <w:ind w:left="103"/>
              <w:rPr>
                <w:rFonts w:ascii="Times New Roman" w:eastAsia="Times New Roman" w:hAnsi="Times New Roman" w:cs="Times New Roman"/>
                <w:sz w:val="20"/>
                <w:szCs w:val="20"/>
              </w:rPr>
            </w:pPr>
            <w:r w:rsidRPr="00C73849">
              <w:rPr>
                <w:rFonts w:ascii="Times New Roman"/>
                <w:sz w:val="20"/>
              </w:rPr>
              <w:t>001-0026</w:t>
            </w:r>
          </w:p>
        </w:tc>
        <w:tc>
          <w:tcPr>
            <w:tcW w:w="905" w:type="dxa"/>
            <w:tcBorders>
              <w:top w:val="single" w:sz="5" w:space="0" w:color="000000"/>
              <w:left w:val="single" w:sz="5" w:space="0" w:color="000000"/>
              <w:bottom w:val="single" w:sz="5" w:space="0" w:color="000000"/>
              <w:right w:val="single" w:sz="5" w:space="0" w:color="000000"/>
            </w:tcBorders>
          </w:tcPr>
          <w:p w14:paraId="7AC099B6" w14:textId="77777777" w:rsidR="00957F89" w:rsidRPr="00C73849" w:rsidRDefault="00D92D87">
            <w:pPr>
              <w:pStyle w:val="TableParagraph"/>
              <w:spacing w:line="222" w:lineRule="exact"/>
              <w:ind w:left="103"/>
              <w:rPr>
                <w:rFonts w:ascii="Times New Roman" w:eastAsia="Times New Roman" w:hAnsi="Times New Roman" w:cs="Times New Roman"/>
                <w:sz w:val="20"/>
                <w:szCs w:val="20"/>
              </w:rPr>
            </w:pPr>
            <w:r w:rsidRPr="00C73849">
              <w:rPr>
                <w:rFonts w:ascii="Times New Roman"/>
                <w:sz w:val="20"/>
              </w:rPr>
              <w:t>No</w:t>
            </w:r>
          </w:p>
        </w:tc>
        <w:tc>
          <w:tcPr>
            <w:tcW w:w="1188" w:type="dxa"/>
            <w:tcBorders>
              <w:top w:val="single" w:sz="5" w:space="0" w:color="000000"/>
              <w:left w:val="single" w:sz="5" w:space="0" w:color="000000"/>
              <w:bottom w:val="single" w:sz="5" w:space="0" w:color="000000"/>
              <w:right w:val="single" w:sz="5" w:space="0" w:color="000000"/>
            </w:tcBorders>
          </w:tcPr>
          <w:p w14:paraId="49D5D999" w14:textId="77777777" w:rsidR="00957F89" w:rsidRPr="00C73849" w:rsidRDefault="00D92D87">
            <w:pPr>
              <w:pStyle w:val="TableParagraph"/>
              <w:spacing w:line="222" w:lineRule="exact"/>
              <w:ind w:left="103"/>
              <w:rPr>
                <w:rFonts w:ascii="Times New Roman" w:eastAsia="Times New Roman" w:hAnsi="Times New Roman" w:cs="Times New Roman"/>
                <w:sz w:val="20"/>
                <w:szCs w:val="20"/>
              </w:rPr>
            </w:pPr>
            <w:r w:rsidRPr="00C73849">
              <w:rPr>
                <w:rFonts w:ascii="Times New Roman"/>
                <w:sz w:val="20"/>
              </w:rPr>
              <w:t>15 s</w:t>
            </w:r>
          </w:p>
        </w:tc>
        <w:tc>
          <w:tcPr>
            <w:tcW w:w="1061" w:type="dxa"/>
            <w:tcBorders>
              <w:top w:val="single" w:sz="5" w:space="0" w:color="000000"/>
              <w:left w:val="single" w:sz="5" w:space="0" w:color="000000"/>
              <w:bottom w:val="single" w:sz="5" w:space="0" w:color="000000"/>
              <w:right w:val="single" w:sz="5" w:space="0" w:color="000000"/>
            </w:tcBorders>
          </w:tcPr>
          <w:p w14:paraId="2C098D70" w14:textId="77777777" w:rsidR="00957F89" w:rsidRPr="00C73849" w:rsidRDefault="00D92D87">
            <w:pPr>
              <w:pStyle w:val="TableParagraph"/>
              <w:spacing w:line="221" w:lineRule="exact"/>
              <w:ind w:left="102"/>
              <w:rPr>
                <w:rFonts w:ascii="Times New Roman" w:eastAsia="Times New Roman" w:hAnsi="Times New Roman" w:cs="Times New Roman"/>
                <w:sz w:val="20"/>
                <w:szCs w:val="20"/>
              </w:rPr>
            </w:pPr>
            <w:r w:rsidRPr="00C73849">
              <w:rPr>
                <w:rFonts w:ascii="Times New Roman"/>
                <w:sz w:val="20"/>
              </w:rPr>
              <w:t>10 h 9</w:t>
            </w:r>
          </w:p>
          <w:p w14:paraId="0583C6C6" w14:textId="77777777" w:rsidR="00957F89" w:rsidRPr="00C73849" w:rsidRDefault="00D92D87">
            <w:pPr>
              <w:pStyle w:val="TableParagraph"/>
              <w:spacing w:line="229" w:lineRule="exact"/>
              <w:ind w:left="102"/>
              <w:rPr>
                <w:rFonts w:ascii="Times New Roman" w:eastAsia="Times New Roman" w:hAnsi="Times New Roman" w:cs="Times New Roman"/>
                <w:sz w:val="20"/>
                <w:szCs w:val="20"/>
              </w:rPr>
            </w:pPr>
            <w:r w:rsidRPr="00C73849">
              <w:rPr>
                <w:rFonts w:ascii="Times New Roman"/>
                <w:sz w:val="20"/>
              </w:rPr>
              <w:t>min 45 s</w:t>
            </w:r>
          </w:p>
        </w:tc>
        <w:tc>
          <w:tcPr>
            <w:tcW w:w="979" w:type="dxa"/>
            <w:tcBorders>
              <w:top w:val="single" w:sz="5" w:space="0" w:color="000000"/>
              <w:left w:val="single" w:sz="5" w:space="0" w:color="000000"/>
              <w:bottom w:val="single" w:sz="5" w:space="0" w:color="000000"/>
              <w:right w:val="single" w:sz="5" w:space="0" w:color="000000"/>
            </w:tcBorders>
          </w:tcPr>
          <w:p w14:paraId="2B6D5F8A"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Mild</w:t>
            </w:r>
          </w:p>
        </w:tc>
        <w:tc>
          <w:tcPr>
            <w:tcW w:w="1380" w:type="dxa"/>
            <w:tcBorders>
              <w:top w:val="single" w:sz="5" w:space="0" w:color="000000"/>
              <w:left w:val="single" w:sz="5" w:space="0" w:color="000000"/>
              <w:bottom w:val="single" w:sz="5" w:space="0" w:color="000000"/>
              <w:right w:val="single" w:sz="5" w:space="0" w:color="000000"/>
            </w:tcBorders>
          </w:tcPr>
          <w:p w14:paraId="1DF70129"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Suspected</w:t>
            </w:r>
          </w:p>
        </w:tc>
        <w:tc>
          <w:tcPr>
            <w:tcW w:w="1277" w:type="dxa"/>
            <w:tcBorders>
              <w:top w:val="single" w:sz="5" w:space="0" w:color="000000"/>
              <w:left w:val="single" w:sz="5" w:space="0" w:color="000000"/>
              <w:bottom w:val="single" w:sz="5" w:space="0" w:color="000000"/>
              <w:right w:val="single" w:sz="12" w:space="0" w:color="000000"/>
            </w:tcBorders>
          </w:tcPr>
          <w:p w14:paraId="27F43513"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Resolved</w:t>
            </w:r>
          </w:p>
        </w:tc>
      </w:tr>
      <w:tr w:rsidR="00957F89" w:rsidRPr="00C73849" w14:paraId="10687072" w14:textId="77777777">
        <w:trPr>
          <w:trHeight w:hRule="exact" w:val="470"/>
        </w:trPr>
        <w:tc>
          <w:tcPr>
            <w:tcW w:w="1385" w:type="dxa"/>
            <w:tcBorders>
              <w:top w:val="single" w:sz="5" w:space="0" w:color="000000"/>
              <w:left w:val="single" w:sz="12" w:space="0" w:color="000000"/>
              <w:bottom w:val="single" w:sz="5" w:space="0" w:color="000000"/>
              <w:right w:val="single" w:sz="5" w:space="0" w:color="000000"/>
            </w:tcBorders>
          </w:tcPr>
          <w:p w14:paraId="73C0EFE6" w14:textId="77777777" w:rsidR="00957F89" w:rsidRPr="00C73849" w:rsidRDefault="00D92D87">
            <w:pPr>
              <w:pStyle w:val="TableParagraph"/>
              <w:ind w:left="92" w:right="172"/>
              <w:rPr>
                <w:rFonts w:ascii="Times New Roman" w:eastAsia="Times New Roman" w:hAnsi="Times New Roman" w:cs="Times New Roman"/>
                <w:sz w:val="20"/>
                <w:szCs w:val="20"/>
              </w:rPr>
            </w:pPr>
            <w:r w:rsidRPr="00C73849">
              <w:rPr>
                <w:rFonts w:ascii="Times New Roman"/>
                <w:sz w:val="20"/>
              </w:rPr>
              <w:t>Unresponsive</w:t>
            </w:r>
            <w:r w:rsidRPr="00C73849">
              <w:rPr>
                <w:rFonts w:ascii="Times New Roman"/>
                <w:w w:val="99"/>
                <w:sz w:val="20"/>
              </w:rPr>
              <w:t xml:space="preserve"> </w:t>
            </w:r>
            <w:r w:rsidRPr="00C73849">
              <w:rPr>
                <w:rFonts w:ascii="Times New Roman"/>
                <w:sz w:val="20"/>
              </w:rPr>
              <w:t>to stimuli</w:t>
            </w:r>
          </w:p>
        </w:tc>
        <w:tc>
          <w:tcPr>
            <w:tcW w:w="996" w:type="dxa"/>
            <w:tcBorders>
              <w:top w:val="single" w:sz="5" w:space="0" w:color="000000"/>
              <w:left w:val="single" w:sz="5" w:space="0" w:color="000000"/>
              <w:bottom w:val="single" w:sz="5" w:space="0" w:color="000000"/>
              <w:right w:val="single" w:sz="5" w:space="0" w:color="000000"/>
            </w:tcBorders>
          </w:tcPr>
          <w:p w14:paraId="4BC03DA5"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001-0026</w:t>
            </w:r>
          </w:p>
        </w:tc>
        <w:tc>
          <w:tcPr>
            <w:tcW w:w="905" w:type="dxa"/>
            <w:tcBorders>
              <w:top w:val="single" w:sz="5" w:space="0" w:color="000000"/>
              <w:left w:val="single" w:sz="5" w:space="0" w:color="000000"/>
              <w:bottom w:val="single" w:sz="5" w:space="0" w:color="000000"/>
              <w:right w:val="single" w:sz="5" w:space="0" w:color="000000"/>
            </w:tcBorders>
          </w:tcPr>
          <w:p w14:paraId="2909BCC8"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No</w:t>
            </w:r>
          </w:p>
        </w:tc>
        <w:tc>
          <w:tcPr>
            <w:tcW w:w="1188" w:type="dxa"/>
            <w:tcBorders>
              <w:top w:val="single" w:sz="5" w:space="0" w:color="000000"/>
              <w:left w:val="single" w:sz="5" w:space="0" w:color="000000"/>
              <w:bottom w:val="single" w:sz="5" w:space="0" w:color="000000"/>
              <w:right w:val="single" w:sz="5" w:space="0" w:color="000000"/>
            </w:tcBorders>
          </w:tcPr>
          <w:p w14:paraId="759C1653"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15 s</w:t>
            </w:r>
          </w:p>
        </w:tc>
        <w:tc>
          <w:tcPr>
            <w:tcW w:w="1061" w:type="dxa"/>
            <w:tcBorders>
              <w:top w:val="single" w:sz="5" w:space="0" w:color="000000"/>
              <w:left w:val="single" w:sz="5" w:space="0" w:color="000000"/>
              <w:bottom w:val="single" w:sz="5" w:space="0" w:color="000000"/>
              <w:right w:val="single" w:sz="5" w:space="0" w:color="000000"/>
            </w:tcBorders>
          </w:tcPr>
          <w:p w14:paraId="00116DE9"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30 s</w:t>
            </w:r>
          </w:p>
        </w:tc>
        <w:tc>
          <w:tcPr>
            <w:tcW w:w="979" w:type="dxa"/>
            <w:tcBorders>
              <w:top w:val="single" w:sz="5" w:space="0" w:color="000000"/>
              <w:left w:val="single" w:sz="5" w:space="0" w:color="000000"/>
              <w:bottom w:val="single" w:sz="5" w:space="0" w:color="000000"/>
              <w:right w:val="single" w:sz="5" w:space="0" w:color="000000"/>
            </w:tcBorders>
          </w:tcPr>
          <w:p w14:paraId="37B22B95" w14:textId="77777777" w:rsidR="00957F89" w:rsidRPr="00C73849" w:rsidRDefault="00D92D87">
            <w:pPr>
              <w:pStyle w:val="TableParagraph"/>
              <w:spacing w:line="222" w:lineRule="exact"/>
              <w:ind w:left="99"/>
              <w:rPr>
                <w:rFonts w:ascii="Times New Roman" w:eastAsia="Times New Roman" w:hAnsi="Times New Roman" w:cs="Times New Roman"/>
                <w:sz w:val="20"/>
                <w:szCs w:val="20"/>
              </w:rPr>
            </w:pPr>
            <w:r w:rsidRPr="00C73849">
              <w:rPr>
                <w:rFonts w:ascii="Times New Roman"/>
                <w:sz w:val="20"/>
              </w:rPr>
              <w:t>Moderate</w:t>
            </w:r>
          </w:p>
        </w:tc>
        <w:tc>
          <w:tcPr>
            <w:tcW w:w="1380" w:type="dxa"/>
            <w:tcBorders>
              <w:top w:val="single" w:sz="5" w:space="0" w:color="000000"/>
              <w:left w:val="single" w:sz="5" w:space="0" w:color="000000"/>
              <w:bottom w:val="single" w:sz="5" w:space="0" w:color="000000"/>
              <w:right w:val="single" w:sz="5" w:space="0" w:color="000000"/>
            </w:tcBorders>
          </w:tcPr>
          <w:p w14:paraId="493EC5DA"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Suspected</w:t>
            </w:r>
          </w:p>
        </w:tc>
        <w:tc>
          <w:tcPr>
            <w:tcW w:w="1277" w:type="dxa"/>
            <w:tcBorders>
              <w:top w:val="single" w:sz="5" w:space="0" w:color="000000"/>
              <w:left w:val="single" w:sz="5" w:space="0" w:color="000000"/>
              <w:bottom w:val="single" w:sz="5" w:space="0" w:color="000000"/>
              <w:right w:val="single" w:sz="12" w:space="0" w:color="000000"/>
            </w:tcBorders>
          </w:tcPr>
          <w:p w14:paraId="083911B1"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Resolved</w:t>
            </w:r>
          </w:p>
        </w:tc>
      </w:tr>
      <w:tr w:rsidR="00957F89" w:rsidRPr="00C73849" w14:paraId="7C8CF420" w14:textId="77777777">
        <w:trPr>
          <w:trHeight w:hRule="exact" w:val="470"/>
        </w:trPr>
        <w:tc>
          <w:tcPr>
            <w:tcW w:w="1385" w:type="dxa"/>
            <w:tcBorders>
              <w:top w:val="single" w:sz="5" w:space="0" w:color="000000"/>
              <w:left w:val="single" w:sz="12" w:space="0" w:color="000000"/>
              <w:bottom w:val="single" w:sz="5" w:space="0" w:color="000000"/>
              <w:right w:val="single" w:sz="5" w:space="0" w:color="000000"/>
            </w:tcBorders>
          </w:tcPr>
          <w:p w14:paraId="11AE8149" w14:textId="77777777" w:rsidR="00957F89" w:rsidRPr="00C73849" w:rsidRDefault="00D92D87">
            <w:pPr>
              <w:pStyle w:val="TableParagraph"/>
              <w:spacing w:line="222" w:lineRule="exact"/>
              <w:ind w:left="92"/>
              <w:rPr>
                <w:rFonts w:ascii="Times New Roman" w:eastAsia="Times New Roman" w:hAnsi="Times New Roman" w:cs="Times New Roman"/>
                <w:sz w:val="20"/>
                <w:szCs w:val="20"/>
              </w:rPr>
            </w:pPr>
            <w:r w:rsidRPr="00C73849">
              <w:rPr>
                <w:rFonts w:ascii="Times New Roman"/>
                <w:sz w:val="20"/>
              </w:rPr>
              <w:t>Migraine</w:t>
            </w:r>
          </w:p>
        </w:tc>
        <w:tc>
          <w:tcPr>
            <w:tcW w:w="996" w:type="dxa"/>
            <w:tcBorders>
              <w:top w:val="single" w:sz="5" w:space="0" w:color="000000"/>
              <w:left w:val="single" w:sz="5" w:space="0" w:color="000000"/>
              <w:bottom w:val="single" w:sz="5" w:space="0" w:color="000000"/>
              <w:right w:val="single" w:sz="5" w:space="0" w:color="000000"/>
            </w:tcBorders>
          </w:tcPr>
          <w:p w14:paraId="6EA28603" w14:textId="77777777" w:rsidR="00957F89" w:rsidRPr="00C73849" w:rsidRDefault="00D92D87">
            <w:pPr>
              <w:pStyle w:val="TableParagraph"/>
              <w:spacing w:line="222" w:lineRule="exact"/>
              <w:ind w:left="103"/>
              <w:rPr>
                <w:rFonts w:ascii="Times New Roman" w:eastAsia="Times New Roman" w:hAnsi="Times New Roman" w:cs="Times New Roman"/>
                <w:sz w:val="20"/>
                <w:szCs w:val="20"/>
              </w:rPr>
            </w:pPr>
            <w:r w:rsidRPr="00C73849">
              <w:rPr>
                <w:rFonts w:ascii="Times New Roman"/>
                <w:sz w:val="20"/>
              </w:rPr>
              <w:t>001-0026</w:t>
            </w:r>
          </w:p>
        </w:tc>
        <w:tc>
          <w:tcPr>
            <w:tcW w:w="905" w:type="dxa"/>
            <w:tcBorders>
              <w:top w:val="single" w:sz="5" w:space="0" w:color="000000"/>
              <w:left w:val="single" w:sz="5" w:space="0" w:color="000000"/>
              <w:bottom w:val="single" w:sz="5" w:space="0" w:color="000000"/>
              <w:right w:val="single" w:sz="5" w:space="0" w:color="000000"/>
            </w:tcBorders>
          </w:tcPr>
          <w:p w14:paraId="6BFC1FA4"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No</w:t>
            </w:r>
          </w:p>
        </w:tc>
        <w:tc>
          <w:tcPr>
            <w:tcW w:w="1188" w:type="dxa"/>
            <w:tcBorders>
              <w:top w:val="single" w:sz="5" w:space="0" w:color="000000"/>
              <w:left w:val="single" w:sz="5" w:space="0" w:color="000000"/>
              <w:bottom w:val="single" w:sz="5" w:space="0" w:color="000000"/>
              <w:right w:val="single" w:sz="5" w:space="0" w:color="000000"/>
            </w:tcBorders>
          </w:tcPr>
          <w:p w14:paraId="4256CED7"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1 day 2 h</w:t>
            </w:r>
          </w:p>
          <w:p w14:paraId="1749D61D" w14:textId="77777777" w:rsidR="00957F89" w:rsidRPr="00C73849" w:rsidRDefault="00D92D87">
            <w:pPr>
              <w:pStyle w:val="TableParagraph"/>
              <w:ind w:left="102"/>
              <w:rPr>
                <w:rFonts w:ascii="Times New Roman" w:eastAsia="Times New Roman" w:hAnsi="Times New Roman" w:cs="Times New Roman"/>
                <w:sz w:val="20"/>
                <w:szCs w:val="20"/>
              </w:rPr>
            </w:pPr>
            <w:r w:rsidRPr="00C73849">
              <w:rPr>
                <w:rFonts w:ascii="Times New Roman"/>
                <w:sz w:val="20"/>
              </w:rPr>
              <w:t>40 min</w:t>
            </w:r>
          </w:p>
        </w:tc>
        <w:tc>
          <w:tcPr>
            <w:tcW w:w="1061" w:type="dxa"/>
            <w:tcBorders>
              <w:top w:val="single" w:sz="5" w:space="0" w:color="000000"/>
              <w:left w:val="single" w:sz="5" w:space="0" w:color="000000"/>
              <w:bottom w:val="single" w:sz="5" w:space="0" w:color="000000"/>
              <w:right w:val="single" w:sz="5" w:space="0" w:color="000000"/>
            </w:tcBorders>
          </w:tcPr>
          <w:p w14:paraId="06A7DF5F"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3 h</w:t>
            </w:r>
          </w:p>
        </w:tc>
        <w:tc>
          <w:tcPr>
            <w:tcW w:w="979" w:type="dxa"/>
            <w:tcBorders>
              <w:top w:val="single" w:sz="5" w:space="0" w:color="000000"/>
              <w:left w:val="single" w:sz="5" w:space="0" w:color="000000"/>
              <w:bottom w:val="single" w:sz="5" w:space="0" w:color="000000"/>
              <w:right w:val="single" w:sz="5" w:space="0" w:color="000000"/>
            </w:tcBorders>
          </w:tcPr>
          <w:p w14:paraId="7130E1E7"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Mild</w:t>
            </w:r>
          </w:p>
        </w:tc>
        <w:tc>
          <w:tcPr>
            <w:tcW w:w="1380" w:type="dxa"/>
            <w:tcBorders>
              <w:top w:val="single" w:sz="5" w:space="0" w:color="000000"/>
              <w:left w:val="single" w:sz="5" w:space="0" w:color="000000"/>
              <w:bottom w:val="single" w:sz="5" w:space="0" w:color="000000"/>
              <w:right w:val="single" w:sz="5" w:space="0" w:color="000000"/>
            </w:tcBorders>
          </w:tcPr>
          <w:p w14:paraId="7B574311"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Not suspected</w:t>
            </w:r>
          </w:p>
        </w:tc>
        <w:tc>
          <w:tcPr>
            <w:tcW w:w="1277" w:type="dxa"/>
            <w:tcBorders>
              <w:top w:val="single" w:sz="5" w:space="0" w:color="000000"/>
              <w:left w:val="single" w:sz="5" w:space="0" w:color="000000"/>
              <w:bottom w:val="single" w:sz="5" w:space="0" w:color="000000"/>
              <w:right w:val="single" w:sz="12" w:space="0" w:color="000000"/>
            </w:tcBorders>
          </w:tcPr>
          <w:p w14:paraId="5DB4CF98"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Resolved</w:t>
            </w:r>
          </w:p>
        </w:tc>
      </w:tr>
      <w:tr w:rsidR="00957F89" w:rsidRPr="00C73849" w14:paraId="36158323" w14:textId="77777777">
        <w:trPr>
          <w:trHeight w:hRule="exact" w:val="240"/>
        </w:trPr>
        <w:tc>
          <w:tcPr>
            <w:tcW w:w="1385" w:type="dxa"/>
            <w:vMerge w:val="restart"/>
            <w:tcBorders>
              <w:top w:val="single" w:sz="5" w:space="0" w:color="000000"/>
              <w:left w:val="single" w:sz="12" w:space="0" w:color="000000"/>
              <w:right w:val="single" w:sz="5" w:space="0" w:color="000000"/>
            </w:tcBorders>
          </w:tcPr>
          <w:p w14:paraId="467E5DC5" w14:textId="77777777" w:rsidR="00957F89" w:rsidRPr="00C73849" w:rsidRDefault="00625E37">
            <w:pPr>
              <w:pStyle w:val="TableParagraph"/>
              <w:spacing w:line="222" w:lineRule="exact"/>
              <w:ind w:left="92"/>
              <w:rPr>
                <w:rFonts w:ascii="Times New Roman" w:eastAsia="Times New Roman" w:hAnsi="Times New Roman" w:cs="Times New Roman"/>
                <w:sz w:val="20"/>
                <w:szCs w:val="20"/>
              </w:rPr>
            </w:pPr>
            <w:r w:rsidRPr="00C73849">
              <w:rPr>
                <w:rFonts w:ascii="Times New Roman"/>
                <w:sz w:val="20"/>
              </w:rPr>
              <w:t>Hypoesthesia</w:t>
            </w:r>
          </w:p>
        </w:tc>
        <w:tc>
          <w:tcPr>
            <w:tcW w:w="996" w:type="dxa"/>
            <w:tcBorders>
              <w:top w:val="single" w:sz="5" w:space="0" w:color="000000"/>
              <w:left w:val="single" w:sz="5" w:space="0" w:color="000000"/>
              <w:bottom w:val="single" w:sz="5" w:space="0" w:color="000000"/>
              <w:right w:val="single" w:sz="5" w:space="0" w:color="000000"/>
            </w:tcBorders>
          </w:tcPr>
          <w:p w14:paraId="78E02900"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001-0028</w:t>
            </w:r>
          </w:p>
        </w:tc>
        <w:tc>
          <w:tcPr>
            <w:tcW w:w="905" w:type="dxa"/>
            <w:tcBorders>
              <w:top w:val="single" w:sz="5" w:space="0" w:color="000000"/>
              <w:left w:val="single" w:sz="5" w:space="0" w:color="000000"/>
              <w:bottom w:val="single" w:sz="5" w:space="0" w:color="000000"/>
              <w:right w:val="single" w:sz="5" w:space="0" w:color="000000"/>
            </w:tcBorders>
          </w:tcPr>
          <w:p w14:paraId="4A91EE6B"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No</w:t>
            </w:r>
          </w:p>
        </w:tc>
        <w:tc>
          <w:tcPr>
            <w:tcW w:w="1188" w:type="dxa"/>
            <w:tcBorders>
              <w:top w:val="single" w:sz="5" w:space="0" w:color="000000"/>
              <w:left w:val="single" w:sz="5" w:space="0" w:color="000000"/>
              <w:bottom w:val="single" w:sz="5" w:space="0" w:color="000000"/>
              <w:right w:val="single" w:sz="5" w:space="0" w:color="000000"/>
            </w:tcBorders>
          </w:tcPr>
          <w:p w14:paraId="5B745DCE"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5 min</w:t>
            </w:r>
          </w:p>
        </w:tc>
        <w:tc>
          <w:tcPr>
            <w:tcW w:w="1061" w:type="dxa"/>
            <w:tcBorders>
              <w:top w:val="single" w:sz="5" w:space="0" w:color="000000"/>
              <w:left w:val="single" w:sz="5" w:space="0" w:color="000000"/>
              <w:bottom w:val="single" w:sz="5" w:space="0" w:color="000000"/>
              <w:right w:val="single" w:sz="5" w:space="0" w:color="000000"/>
            </w:tcBorders>
          </w:tcPr>
          <w:p w14:paraId="1A3F86FF"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5 min</w:t>
            </w:r>
          </w:p>
        </w:tc>
        <w:tc>
          <w:tcPr>
            <w:tcW w:w="979" w:type="dxa"/>
            <w:tcBorders>
              <w:top w:val="single" w:sz="5" w:space="0" w:color="000000"/>
              <w:left w:val="single" w:sz="5" w:space="0" w:color="000000"/>
              <w:bottom w:val="single" w:sz="5" w:space="0" w:color="000000"/>
              <w:right w:val="single" w:sz="5" w:space="0" w:color="000000"/>
            </w:tcBorders>
          </w:tcPr>
          <w:p w14:paraId="122AB257"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Mild</w:t>
            </w:r>
          </w:p>
        </w:tc>
        <w:tc>
          <w:tcPr>
            <w:tcW w:w="1380" w:type="dxa"/>
            <w:tcBorders>
              <w:top w:val="single" w:sz="5" w:space="0" w:color="000000"/>
              <w:left w:val="single" w:sz="5" w:space="0" w:color="000000"/>
              <w:bottom w:val="single" w:sz="5" w:space="0" w:color="000000"/>
              <w:right w:val="single" w:sz="5" w:space="0" w:color="000000"/>
            </w:tcBorders>
          </w:tcPr>
          <w:p w14:paraId="0B0874F2"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Not suspected</w:t>
            </w:r>
          </w:p>
        </w:tc>
        <w:tc>
          <w:tcPr>
            <w:tcW w:w="1277" w:type="dxa"/>
            <w:tcBorders>
              <w:top w:val="single" w:sz="5" w:space="0" w:color="000000"/>
              <w:left w:val="single" w:sz="5" w:space="0" w:color="000000"/>
              <w:bottom w:val="single" w:sz="5" w:space="0" w:color="000000"/>
              <w:right w:val="single" w:sz="12" w:space="0" w:color="000000"/>
            </w:tcBorders>
          </w:tcPr>
          <w:p w14:paraId="5E7B2A60"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Resolved</w:t>
            </w:r>
          </w:p>
        </w:tc>
      </w:tr>
      <w:tr w:rsidR="00957F89" w:rsidRPr="00C73849" w14:paraId="41705E79" w14:textId="77777777">
        <w:trPr>
          <w:trHeight w:hRule="exact" w:val="240"/>
        </w:trPr>
        <w:tc>
          <w:tcPr>
            <w:tcW w:w="1385" w:type="dxa"/>
            <w:vMerge/>
            <w:tcBorders>
              <w:left w:val="single" w:sz="12" w:space="0" w:color="000000"/>
              <w:bottom w:val="single" w:sz="5" w:space="0" w:color="000000"/>
              <w:right w:val="single" w:sz="5" w:space="0" w:color="000000"/>
            </w:tcBorders>
          </w:tcPr>
          <w:p w14:paraId="72549C85" w14:textId="77777777" w:rsidR="00957F89" w:rsidRPr="00C73849" w:rsidRDefault="00957F89"/>
        </w:tc>
        <w:tc>
          <w:tcPr>
            <w:tcW w:w="996" w:type="dxa"/>
            <w:tcBorders>
              <w:top w:val="single" w:sz="5" w:space="0" w:color="000000"/>
              <w:left w:val="single" w:sz="5" w:space="0" w:color="000000"/>
              <w:bottom w:val="single" w:sz="5" w:space="0" w:color="000000"/>
              <w:right w:val="single" w:sz="5" w:space="0" w:color="000000"/>
            </w:tcBorders>
          </w:tcPr>
          <w:p w14:paraId="33058D1C"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001-0030</w:t>
            </w:r>
          </w:p>
        </w:tc>
        <w:tc>
          <w:tcPr>
            <w:tcW w:w="905" w:type="dxa"/>
            <w:tcBorders>
              <w:top w:val="single" w:sz="5" w:space="0" w:color="000000"/>
              <w:left w:val="single" w:sz="5" w:space="0" w:color="000000"/>
              <w:bottom w:val="single" w:sz="5" w:space="0" w:color="000000"/>
              <w:right w:val="single" w:sz="5" w:space="0" w:color="000000"/>
            </w:tcBorders>
          </w:tcPr>
          <w:p w14:paraId="77032922"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No</w:t>
            </w:r>
          </w:p>
        </w:tc>
        <w:tc>
          <w:tcPr>
            <w:tcW w:w="1188" w:type="dxa"/>
            <w:tcBorders>
              <w:top w:val="single" w:sz="5" w:space="0" w:color="000000"/>
              <w:left w:val="single" w:sz="5" w:space="0" w:color="000000"/>
              <w:bottom w:val="single" w:sz="5" w:space="0" w:color="000000"/>
              <w:right w:val="single" w:sz="5" w:space="0" w:color="000000"/>
            </w:tcBorders>
          </w:tcPr>
          <w:p w14:paraId="4F4E05DF"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1 day 14 h</w:t>
            </w:r>
          </w:p>
        </w:tc>
        <w:tc>
          <w:tcPr>
            <w:tcW w:w="1061" w:type="dxa"/>
            <w:tcBorders>
              <w:top w:val="single" w:sz="5" w:space="0" w:color="000000"/>
              <w:left w:val="single" w:sz="5" w:space="0" w:color="000000"/>
              <w:bottom w:val="single" w:sz="5" w:space="0" w:color="000000"/>
              <w:right w:val="single" w:sz="5" w:space="0" w:color="000000"/>
            </w:tcBorders>
          </w:tcPr>
          <w:p w14:paraId="7F44140D"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7 h</w:t>
            </w:r>
          </w:p>
        </w:tc>
        <w:tc>
          <w:tcPr>
            <w:tcW w:w="979" w:type="dxa"/>
            <w:tcBorders>
              <w:top w:val="single" w:sz="5" w:space="0" w:color="000000"/>
              <w:left w:val="single" w:sz="5" w:space="0" w:color="000000"/>
              <w:bottom w:val="single" w:sz="5" w:space="0" w:color="000000"/>
              <w:right w:val="single" w:sz="5" w:space="0" w:color="000000"/>
            </w:tcBorders>
          </w:tcPr>
          <w:p w14:paraId="71C220F8"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Mild</w:t>
            </w:r>
          </w:p>
        </w:tc>
        <w:tc>
          <w:tcPr>
            <w:tcW w:w="1380" w:type="dxa"/>
            <w:tcBorders>
              <w:top w:val="single" w:sz="5" w:space="0" w:color="000000"/>
              <w:left w:val="single" w:sz="5" w:space="0" w:color="000000"/>
              <w:bottom w:val="single" w:sz="5" w:space="0" w:color="000000"/>
              <w:right w:val="single" w:sz="5" w:space="0" w:color="000000"/>
            </w:tcBorders>
          </w:tcPr>
          <w:p w14:paraId="3F77B9D0"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Not suspected</w:t>
            </w:r>
          </w:p>
        </w:tc>
        <w:tc>
          <w:tcPr>
            <w:tcW w:w="1277" w:type="dxa"/>
            <w:tcBorders>
              <w:top w:val="single" w:sz="5" w:space="0" w:color="000000"/>
              <w:left w:val="single" w:sz="5" w:space="0" w:color="000000"/>
              <w:bottom w:val="single" w:sz="5" w:space="0" w:color="000000"/>
              <w:right w:val="single" w:sz="12" w:space="0" w:color="000000"/>
            </w:tcBorders>
          </w:tcPr>
          <w:p w14:paraId="6F2033CE"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Resolved</w:t>
            </w:r>
          </w:p>
        </w:tc>
      </w:tr>
      <w:tr w:rsidR="00957F89" w:rsidRPr="00C73849" w14:paraId="0D863724" w14:textId="77777777">
        <w:trPr>
          <w:trHeight w:hRule="exact" w:val="240"/>
        </w:trPr>
        <w:tc>
          <w:tcPr>
            <w:tcW w:w="1385" w:type="dxa"/>
            <w:tcBorders>
              <w:top w:val="single" w:sz="5" w:space="0" w:color="000000"/>
              <w:left w:val="single" w:sz="12" w:space="0" w:color="000000"/>
              <w:bottom w:val="single" w:sz="5" w:space="0" w:color="000000"/>
              <w:right w:val="single" w:sz="5" w:space="0" w:color="000000"/>
            </w:tcBorders>
          </w:tcPr>
          <w:p w14:paraId="0EE50C85" w14:textId="77777777" w:rsidR="00957F89" w:rsidRPr="00C73849" w:rsidRDefault="00D92D87">
            <w:pPr>
              <w:pStyle w:val="TableParagraph"/>
              <w:spacing w:line="222" w:lineRule="exact"/>
              <w:ind w:left="92"/>
              <w:rPr>
                <w:rFonts w:ascii="Times New Roman" w:eastAsia="Times New Roman" w:hAnsi="Times New Roman" w:cs="Times New Roman"/>
                <w:sz w:val="20"/>
                <w:szCs w:val="20"/>
              </w:rPr>
            </w:pPr>
            <w:r w:rsidRPr="00C73849">
              <w:rPr>
                <w:rFonts w:ascii="Times New Roman"/>
                <w:sz w:val="20"/>
              </w:rPr>
              <w:t>Feeling hot</w:t>
            </w:r>
          </w:p>
        </w:tc>
        <w:tc>
          <w:tcPr>
            <w:tcW w:w="996" w:type="dxa"/>
            <w:tcBorders>
              <w:top w:val="single" w:sz="5" w:space="0" w:color="000000"/>
              <w:left w:val="single" w:sz="5" w:space="0" w:color="000000"/>
              <w:bottom w:val="single" w:sz="5" w:space="0" w:color="000000"/>
              <w:right w:val="single" w:sz="5" w:space="0" w:color="000000"/>
            </w:tcBorders>
          </w:tcPr>
          <w:p w14:paraId="041E0584" w14:textId="77777777" w:rsidR="00957F89" w:rsidRPr="00C73849" w:rsidRDefault="00D92D87">
            <w:pPr>
              <w:pStyle w:val="TableParagraph"/>
              <w:spacing w:line="222" w:lineRule="exact"/>
              <w:ind w:left="103"/>
              <w:rPr>
                <w:rFonts w:ascii="Times New Roman" w:eastAsia="Times New Roman" w:hAnsi="Times New Roman" w:cs="Times New Roman"/>
                <w:sz w:val="20"/>
                <w:szCs w:val="20"/>
              </w:rPr>
            </w:pPr>
            <w:r w:rsidRPr="00C73849">
              <w:rPr>
                <w:rFonts w:ascii="Times New Roman"/>
                <w:sz w:val="20"/>
              </w:rPr>
              <w:t>001-0028</w:t>
            </w:r>
          </w:p>
        </w:tc>
        <w:tc>
          <w:tcPr>
            <w:tcW w:w="905" w:type="dxa"/>
            <w:tcBorders>
              <w:top w:val="single" w:sz="5" w:space="0" w:color="000000"/>
              <w:left w:val="single" w:sz="5" w:space="0" w:color="000000"/>
              <w:bottom w:val="single" w:sz="5" w:space="0" w:color="000000"/>
              <w:right w:val="single" w:sz="5" w:space="0" w:color="000000"/>
            </w:tcBorders>
          </w:tcPr>
          <w:p w14:paraId="0EC6391A"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No</w:t>
            </w:r>
          </w:p>
        </w:tc>
        <w:tc>
          <w:tcPr>
            <w:tcW w:w="1188" w:type="dxa"/>
            <w:tcBorders>
              <w:top w:val="single" w:sz="5" w:space="0" w:color="000000"/>
              <w:left w:val="single" w:sz="5" w:space="0" w:color="000000"/>
              <w:bottom w:val="single" w:sz="5" w:space="0" w:color="000000"/>
              <w:right w:val="single" w:sz="5" w:space="0" w:color="000000"/>
            </w:tcBorders>
          </w:tcPr>
          <w:p w14:paraId="65894AFF"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0 min</w:t>
            </w:r>
          </w:p>
        </w:tc>
        <w:tc>
          <w:tcPr>
            <w:tcW w:w="1061" w:type="dxa"/>
            <w:tcBorders>
              <w:top w:val="single" w:sz="5" w:space="0" w:color="000000"/>
              <w:left w:val="single" w:sz="5" w:space="0" w:color="000000"/>
              <w:bottom w:val="single" w:sz="5" w:space="0" w:color="000000"/>
              <w:right w:val="single" w:sz="5" w:space="0" w:color="000000"/>
            </w:tcBorders>
          </w:tcPr>
          <w:p w14:paraId="5F0F0D73"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2 min</w:t>
            </w:r>
          </w:p>
        </w:tc>
        <w:tc>
          <w:tcPr>
            <w:tcW w:w="979" w:type="dxa"/>
            <w:tcBorders>
              <w:top w:val="single" w:sz="5" w:space="0" w:color="000000"/>
              <w:left w:val="single" w:sz="5" w:space="0" w:color="000000"/>
              <w:bottom w:val="single" w:sz="5" w:space="0" w:color="000000"/>
              <w:right w:val="single" w:sz="5" w:space="0" w:color="000000"/>
            </w:tcBorders>
          </w:tcPr>
          <w:p w14:paraId="5F83D56F"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Mild</w:t>
            </w:r>
          </w:p>
        </w:tc>
        <w:tc>
          <w:tcPr>
            <w:tcW w:w="1380" w:type="dxa"/>
            <w:tcBorders>
              <w:top w:val="single" w:sz="5" w:space="0" w:color="000000"/>
              <w:left w:val="single" w:sz="5" w:space="0" w:color="000000"/>
              <w:bottom w:val="single" w:sz="5" w:space="0" w:color="000000"/>
              <w:right w:val="single" w:sz="5" w:space="0" w:color="000000"/>
            </w:tcBorders>
          </w:tcPr>
          <w:p w14:paraId="5F9FE94D"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Suspected</w:t>
            </w:r>
          </w:p>
        </w:tc>
        <w:tc>
          <w:tcPr>
            <w:tcW w:w="1277" w:type="dxa"/>
            <w:tcBorders>
              <w:top w:val="single" w:sz="5" w:space="0" w:color="000000"/>
              <w:left w:val="single" w:sz="5" w:space="0" w:color="000000"/>
              <w:bottom w:val="single" w:sz="5" w:space="0" w:color="000000"/>
              <w:right w:val="single" w:sz="12" w:space="0" w:color="000000"/>
            </w:tcBorders>
          </w:tcPr>
          <w:p w14:paraId="14C610FB"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Resolved</w:t>
            </w:r>
          </w:p>
        </w:tc>
      </w:tr>
      <w:tr w:rsidR="00957F89" w:rsidRPr="00C73849" w14:paraId="73ABFDF8" w14:textId="77777777">
        <w:trPr>
          <w:trHeight w:hRule="exact" w:val="240"/>
        </w:trPr>
        <w:tc>
          <w:tcPr>
            <w:tcW w:w="1385" w:type="dxa"/>
            <w:vMerge w:val="restart"/>
            <w:tcBorders>
              <w:top w:val="single" w:sz="5" w:space="0" w:color="000000"/>
              <w:left w:val="single" w:sz="12" w:space="0" w:color="000000"/>
              <w:right w:val="single" w:sz="5" w:space="0" w:color="000000"/>
            </w:tcBorders>
          </w:tcPr>
          <w:p w14:paraId="70FE1E44" w14:textId="77777777" w:rsidR="00957F89" w:rsidRPr="00C73849" w:rsidRDefault="00D92D87">
            <w:pPr>
              <w:pStyle w:val="TableParagraph"/>
              <w:spacing w:line="222" w:lineRule="exact"/>
              <w:ind w:left="92"/>
              <w:rPr>
                <w:rFonts w:ascii="Times New Roman" w:eastAsia="Times New Roman" w:hAnsi="Times New Roman" w:cs="Times New Roman"/>
                <w:sz w:val="20"/>
                <w:szCs w:val="20"/>
              </w:rPr>
            </w:pPr>
            <w:r w:rsidRPr="00C73849">
              <w:rPr>
                <w:rFonts w:ascii="Times New Roman"/>
                <w:sz w:val="20"/>
              </w:rPr>
              <w:t>Dysgeusia</w:t>
            </w:r>
          </w:p>
        </w:tc>
        <w:tc>
          <w:tcPr>
            <w:tcW w:w="996" w:type="dxa"/>
            <w:tcBorders>
              <w:top w:val="single" w:sz="5" w:space="0" w:color="000000"/>
              <w:left w:val="single" w:sz="5" w:space="0" w:color="000000"/>
              <w:bottom w:val="single" w:sz="5" w:space="0" w:color="000000"/>
              <w:right w:val="single" w:sz="5" w:space="0" w:color="000000"/>
            </w:tcBorders>
          </w:tcPr>
          <w:p w14:paraId="5FDC0DC3"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001-0028</w:t>
            </w:r>
          </w:p>
        </w:tc>
        <w:tc>
          <w:tcPr>
            <w:tcW w:w="905" w:type="dxa"/>
            <w:tcBorders>
              <w:top w:val="single" w:sz="5" w:space="0" w:color="000000"/>
              <w:left w:val="single" w:sz="5" w:space="0" w:color="000000"/>
              <w:bottom w:val="single" w:sz="5" w:space="0" w:color="000000"/>
              <w:right w:val="single" w:sz="5" w:space="0" w:color="000000"/>
            </w:tcBorders>
          </w:tcPr>
          <w:p w14:paraId="1808E3CF"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No</w:t>
            </w:r>
          </w:p>
        </w:tc>
        <w:tc>
          <w:tcPr>
            <w:tcW w:w="1188" w:type="dxa"/>
            <w:tcBorders>
              <w:top w:val="single" w:sz="5" w:space="0" w:color="000000"/>
              <w:left w:val="single" w:sz="5" w:space="0" w:color="000000"/>
              <w:bottom w:val="single" w:sz="5" w:space="0" w:color="000000"/>
              <w:right w:val="single" w:sz="5" w:space="0" w:color="000000"/>
            </w:tcBorders>
          </w:tcPr>
          <w:p w14:paraId="28183A3E"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0 min</w:t>
            </w:r>
          </w:p>
        </w:tc>
        <w:tc>
          <w:tcPr>
            <w:tcW w:w="1061" w:type="dxa"/>
            <w:tcBorders>
              <w:top w:val="single" w:sz="5" w:space="0" w:color="000000"/>
              <w:left w:val="single" w:sz="5" w:space="0" w:color="000000"/>
              <w:bottom w:val="single" w:sz="5" w:space="0" w:color="000000"/>
              <w:right w:val="single" w:sz="5" w:space="0" w:color="000000"/>
            </w:tcBorders>
          </w:tcPr>
          <w:p w14:paraId="447F1F49"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2 min</w:t>
            </w:r>
          </w:p>
        </w:tc>
        <w:tc>
          <w:tcPr>
            <w:tcW w:w="979" w:type="dxa"/>
            <w:tcBorders>
              <w:top w:val="single" w:sz="5" w:space="0" w:color="000000"/>
              <w:left w:val="single" w:sz="5" w:space="0" w:color="000000"/>
              <w:bottom w:val="single" w:sz="5" w:space="0" w:color="000000"/>
              <w:right w:val="single" w:sz="5" w:space="0" w:color="000000"/>
            </w:tcBorders>
          </w:tcPr>
          <w:p w14:paraId="5BE0074A"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Mild</w:t>
            </w:r>
          </w:p>
        </w:tc>
        <w:tc>
          <w:tcPr>
            <w:tcW w:w="1380" w:type="dxa"/>
            <w:tcBorders>
              <w:top w:val="single" w:sz="5" w:space="0" w:color="000000"/>
              <w:left w:val="single" w:sz="5" w:space="0" w:color="000000"/>
              <w:bottom w:val="single" w:sz="5" w:space="0" w:color="000000"/>
              <w:right w:val="single" w:sz="5" w:space="0" w:color="000000"/>
            </w:tcBorders>
          </w:tcPr>
          <w:p w14:paraId="3C847E92"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Suspected</w:t>
            </w:r>
          </w:p>
        </w:tc>
        <w:tc>
          <w:tcPr>
            <w:tcW w:w="1277" w:type="dxa"/>
            <w:tcBorders>
              <w:top w:val="single" w:sz="5" w:space="0" w:color="000000"/>
              <w:left w:val="single" w:sz="5" w:space="0" w:color="000000"/>
              <w:bottom w:val="single" w:sz="5" w:space="0" w:color="000000"/>
              <w:right w:val="single" w:sz="12" w:space="0" w:color="000000"/>
            </w:tcBorders>
          </w:tcPr>
          <w:p w14:paraId="41F874F7"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Resolved</w:t>
            </w:r>
          </w:p>
        </w:tc>
      </w:tr>
      <w:tr w:rsidR="00957F89" w:rsidRPr="00C73849" w14:paraId="7F26292B" w14:textId="77777777">
        <w:trPr>
          <w:trHeight w:hRule="exact" w:val="240"/>
        </w:trPr>
        <w:tc>
          <w:tcPr>
            <w:tcW w:w="1385" w:type="dxa"/>
            <w:vMerge/>
            <w:tcBorders>
              <w:left w:val="single" w:sz="12" w:space="0" w:color="000000"/>
              <w:bottom w:val="single" w:sz="5" w:space="0" w:color="000000"/>
              <w:right w:val="single" w:sz="5" w:space="0" w:color="000000"/>
            </w:tcBorders>
          </w:tcPr>
          <w:p w14:paraId="283B15EC" w14:textId="77777777" w:rsidR="00957F89" w:rsidRPr="00C73849" w:rsidRDefault="00957F89"/>
        </w:tc>
        <w:tc>
          <w:tcPr>
            <w:tcW w:w="996" w:type="dxa"/>
            <w:tcBorders>
              <w:top w:val="single" w:sz="5" w:space="0" w:color="000000"/>
              <w:left w:val="single" w:sz="5" w:space="0" w:color="000000"/>
              <w:bottom w:val="single" w:sz="5" w:space="0" w:color="000000"/>
              <w:right w:val="single" w:sz="5" w:space="0" w:color="000000"/>
            </w:tcBorders>
          </w:tcPr>
          <w:p w14:paraId="7DC4B7E7"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001-0028</w:t>
            </w:r>
          </w:p>
        </w:tc>
        <w:tc>
          <w:tcPr>
            <w:tcW w:w="905" w:type="dxa"/>
            <w:tcBorders>
              <w:top w:val="single" w:sz="5" w:space="0" w:color="000000"/>
              <w:left w:val="single" w:sz="5" w:space="0" w:color="000000"/>
              <w:bottom w:val="single" w:sz="5" w:space="0" w:color="000000"/>
              <w:right w:val="single" w:sz="5" w:space="0" w:color="000000"/>
            </w:tcBorders>
          </w:tcPr>
          <w:p w14:paraId="7ED00975"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No</w:t>
            </w:r>
          </w:p>
        </w:tc>
        <w:tc>
          <w:tcPr>
            <w:tcW w:w="1188" w:type="dxa"/>
            <w:tcBorders>
              <w:top w:val="single" w:sz="5" w:space="0" w:color="000000"/>
              <w:left w:val="single" w:sz="5" w:space="0" w:color="000000"/>
              <w:bottom w:val="single" w:sz="5" w:space="0" w:color="000000"/>
              <w:right w:val="single" w:sz="5" w:space="0" w:color="000000"/>
            </w:tcBorders>
          </w:tcPr>
          <w:p w14:paraId="0E07C71E"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49 min</w:t>
            </w:r>
          </w:p>
        </w:tc>
        <w:tc>
          <w:tcPr>
            <w:tcW w:w="1061" w:type="dxa"/>
            <w:tcBorders>
              <w:top w:val="single" w:sz="5" w:space="0" w:color="000000"/>
              <w:left w:val="single" w:sz="5" w:space="0" w:color="000000"/>
              <w:bottom w:val="single" w:sz="5" w:space="0" w:color="000000"/>
              <w:right w:val="single" w:sz="5" w:space="0" w:color="000000"/>
            </w:tcBorders>
          </w:tcPr>
          <w:p w14:paraId="5B6E75E1"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6 min</w:t>
            </w:r>
          </w:p>
        </w:tc>
        <w:tc>
          <w:tcPr>
            <w:tcW w:w="979" w:type="dxa"/>
            <w:tcBorders>
              <w:top w:val="single" w:sz="5" w:space="0" w:color="000000"/>
              <w:left w:val="single" w:sz="5" w:space="0" w:color="000000"/>
              <w:bottom w:val="single" w:sz="5" w:space="0" w:color="000000"/>
              <w:right w:val="single" w:sz="5" w:space="0" w:color="000000"/>
            </w:tcBorders>
          </w:tcPr>
          <w:p w14:paraId="37AD2A7B" w14:textId="77777777" w:rsidR="00957F89" w:rsidRPr="00C73849" w:rsidRDefault="00D92D87">
            <w:pPr>
              <w:pStyle w:val="TableParagraph"/>
              <w:spacing w:line="222" w:lineRule="exact"/>
              <w:ind w:left="99"/>
              <w:rPr>
                <w:rFonts w:ascii="Times New Roman" w:eastAsia="Times New Roman" w:hAnsi="Times New Roman" w:cs="Times New Roman"/>
                <w:sz w:val="20"/>
                <w:szCs w:val="20"/>
              </w:rPr>
            </w:pPr>
            <w:r w:rsidRPr="00C73849">
              <w:rPr>
                <w:rFonts w:ascii="Times New Roman"/>
                <w:sz w:val="20"/>
              </w:rPr>
              <w:t>Mild</w:t>
            </w:r>
          </w:p>
        </w:tc>
        <w:tc>
          <w:tcPr>
            <w:tcW w:w="1380" w:type="dxa"/>
            <w:tcBorders>
              <w:top w:val="single" w:sz="5" w:space="0" w:color="000000"/>
              <w:left w:val="single" w:sz="5" w:space="0" w:color="000000"/>
              <w:bottom w:val="single" w:sz="5" w:space="0" w:color="000000"/>
              <w:right w:val="single" w:sz="5" w:space="0" w:color="000000"/>
            </w:tcBorders>
          </w:tcPr>
          <w:p w14:paraId="09438030"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Suspected</w:t>
            </w:r>
          </w:p>
        </w:tc>
        <w:tc>
          <w:tcPr>
            <w:tcW w:w="1277" w:type="dxa"/>
            <w:tcBorders>
              <w:top w:val="single" w:sz="5" w:space="0" w:color="000000"/>
              <w:left w:val="single" w:sz="5" w:space="0" w:color="000000"/>
              <w:bottom w:val="single" w:sz="5" w:space="0" w:color="000000"/>
              <w:right w:val="single" w:sz="12" w:space="0" w:color="000000"/>
            </w:tcBorders>
          </w:tcPr>
          <w:p w14:paraId="7D995A32"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Resolved</w:t>
            </w:r>
          </w:p>
        </w:tc>
      </w:tr>
    </w:tbl>
    <w:p w14:paraId="7606644F" w14:textId="77777777" w:rsidR="00957F89" w:rsidRPr="00C73849" w:rsidRDefault="00957F89">
      <w:pPr>
        <w:rPr>
          <w:rFonts w:ascii="Times New Roman" w:eastAsia="Times New Roman" w:hAnsi="Times New Roman" w:cs="Times New Roman"/>
          <w:b/>
          <w:bCs/>
          <w:sz w:val="20"/>
          <w:szCs w:val="20"/>
        </w:rPr>
      </w:pPr>
    </w:p>
    <w:p w14:paraId="6E43171E" w14:textId="77777777" w:rsidR="00957F89" w:rsidRPr="00C73849" w:rsidRDefault="00957F89">
      <w:pPr>
        <w:spacing w:line="20" w:lineRule="atLeast"/>
        <w:ind w:left="187"/>
        <w:rPr>
          <w:rFonts w:ascii="Times New Roman" w:eastAsia="Times New Roman" w:hAnsi="Times New Roman" w:cs="Times New Roman"/>
          <w:sz w:val="2"/>
          <w:szCs w:val="2"/>
        </w:rPr>
      </w:pPr>
    </w:p>
    <w:p w14:paraId="1EDAD3CF" w14:textId="77777777" w:rsidR="00FD4E71" w:rsidRPr="00C73849" w:rsidRDefault="00FD4E71">
      <w:pPr>
        <w:rPr>
          <w:rFonts w:ascii="Times New Roman"/>
          <w:sz w:val="20"/>
        </w:rPr>
      </w:pPr>
      <w:r w:rsidRPr="00C73849">
        <w:rPr>
          <w:rFonts w:ascii="Times New Roman"/>
          <w:sz w:val="20"/>
        </w:rPr>
        <w:br w:type="page"/>
      </w:r>
    </w:p>
    <w:p w14:paraId="4BFC740E" w14:textId="77777777" w:rsidR="00957F89" w:rsidRPr="00C73849" w:rsidRDefault="00D92D87">
      <w:pPr>
        <w:spacing w:before="69"/>
        <w:ind w:left="1302" w:right="512" w:hanging="1080"/>
        <w:rPr>
          <w:rFonts w:ascii="Times New Roman" w:eastAsia="Times New Roman" w:hAnsi="Times New Roman" w:cs="Times New Roman"/>
          <w:sz w:val="24"/>
          <w:szCs w:val="24"/>
        </w:rPr>
      </w:pPr>
      <w:r w:rsidRPr="00C73849">
        <w:rPr>
          <w:rFonts w:ascii="Times New Roman"/>
          <w:b/>
          <w:sz w:val="24"/>
        </w:rPr>
        <w:lastRenderedPageBreak/>
        <w:t>Summary of AE Duration, Intensity, Relationship to Investigational Medicinal</w:t>
      </w:r>
      <w:r w:rsidRPr="00C73849">
        <w:rPr>
          <w:rFonts w:ascii="Times New Roman"/>
          <w:b/>
          <w:w w:val="99"/>
          <w:sz w:val="24"/>
        </w:rPr>
        <w:t xml:space="preserve"> </w:t>
      </w:r>
      <w:r w:rsidRPr="00C73849">
        <w:rPr>
          <w:rFonts w:ascii="Times New Roman"/>
          <w:b/>
          <w:sz w:val="24"/>
        </w:rPr>
        <w:t>Product, and Outcome, by Treatment Group</w:t>
      </w:r>
    </w:p>
    <w:p w14:paraId="2EFD1E58" w14:textId="77777777" w:rsidR="00957F89" w:rsidRPr="00C73849" w:rsidRDefault="00957F89">
      <w:pPr>
        <w:spacing w:before="7"/>
        <w:rPr>
          <w:rFonts w:ascii="Times New Roman" w:eastAsia="Times New Roman" w:hAnsi="Times New Roman" w:cs="Times New Roman"/>
          <w:b/>
          <w:bCs/>
          <w:sz w:val="10"/>
          <w:szCs w:val="10"/>
        </w:rPr>
      </w:pPr>
    </w:p>
    <w:tbl>
      <w:tblPr>
        <w:tblW w:w="0" w:type="auto"/>
        <w:tblInd w:w="99" w:type="dxa"/>
        <w:tblLayout w:type="fixed"/>
        <w:tblCellMar>
          <w:left w:w="0" w:type="dxa"/>
          <w:right w:w="0" w:type="dxa"/>
        </w:tblCellMar>
        <w:tblLook w:val="01E0" w:firstRow="1" w:lastRow="1" w:firstColumn="1" w:lastColumn="1" w:noHBand="0" w:noVBand="0"/>
      </w:tblPr>
      <w:tblGrid>
        <w:gridCol w:w="1385"/>
        <w:gridCol w:w="996"/>
        <w:gridCol w:w="905"/>
        <w:gridCol w:w="1188"/>
        <w:gridCol w:w="1061"/>
        <w:gridCol w:w="994"/>
        <w:gridCol w:w="1380"/>
        <w:gridCol w:w="1277"/>
      </w:tblGrid>
      <w:tr w:rsidR="00957F89" w:rsidRPr="00C73849" w14:paraId="2AA7BA9E" w14:textId="77777777">
        <w:trPr>
          <w:trHeight w:hRule="exact" w:val="709"/>
        </w:trPr>
        <w:tc>
          <w:tcPr>
            <w:tcW w:w="1385" w:type="dxa"/>
            <w:tcBorders>
              <w:top w:val="single" w:sz="13" w:space="0" w:color="000000"/>
              <w:left w:val="single" w:sz="12" w:space="0" w:color="000000"/>
              <w:bottom w:val="single" w:sz="5" w:space="0" w:color="000000"/>
              <w:right w:val="single" w:sz="5" w:space="0" w:color="000000"/>
            </w:tcBorders>
          </w:tcPr>
          <w:p w14:paraId="3F81E6F7" w14:textId="77777777" w:rsidR="00957F89" w:rsidRPr="00C73849" w:rsidRDefault="00957F89">
            <w:pPr>
              <w:pStyle w:val="TableParagraph"/>
              <w:spacing w:before="7"/>
              <w:rPr>
                <w:rFonts w:ascii="Times New Roman" w:eastAsia="Times New Roman" w:hAnsi="Times New Roman" w:cs="Times New Roman"/>
                <w:b/>
                <w:bCs/>
                <w:sz w:val="19"/>
                <w:szCs w:val="19"/>
              </w:rPr>
            </w:pPr>
          </w:p>
          <w:p w14:paraId="75867921" w14:textId="77777777" w:rsidR="00957F89" w:rsidRPr="00C73849" w:rsidRDefault="00D92D87">
            <w:pPr>
              <w:pStyle w:val="TableParagraph"/>
              <w:ind w:left="92" w:right="570"/>
              <w:rPr>
                <w:rFonts w:ascii="Times New Roman" w:eastAsia="Times New Roman" w:hAnsi="Times New Roman" w:cs="Times New Roman"/>
                <w:sz w:val="20"/>
                <w:szCs w:val="20"/>
              </w:rPr>
            </w:pPr>
            <w:r w:rsidRPr="00C73849">
              <w:rPr>
                <w:rFonts w:ascii="Times New Roman"/>
                <w:b/>
                <w:sz w:val="20"/>
              </w:rPr>
              <w:t>Adverse</w:t>
            </w:r>
            <w:r w:rsidRPr="00C73849">
              <w:rPr>
                <w:rFonts w:ascii="Times New Roman"/>
                <w:b/>
                <w:w w:val="99"/>
                <w:sz w:val="20"/>
              </w:rPr>
              <w:t xml:space="preserve"> </w:t>
            </w:r>
            <w:r w:rsidRPr="00C73849">
              <w:rPr>
                <w:rFonts w:ascii="Times New Roman"/>
                <w:b/>
                <w:sz w:val="20"/>
              </w:rPr>
              <w:t>Event</w:t>
            </w:r>
          </w:p>
        </w:tc>
        <w:tc>
          <w:tcPr>
            <w:tcW w:w="996" w:type="dxa"/>
            <w:tcBorders>
              <w:top w:val="single" w:sz="13" w:space="0" w:color="000000"/>
              <w:left w:val="single" w:sz="5" w:space="0" w:color="000000"/>
              <w:bottom w:val="single" w:sz="5" w:space="0" w:color="000000"/>
              <w:right w:val="single" w:sz="5" w:space="0" w:color="000000"/>
            </w:tcBorders>
          </w:tcPr>
          <w:p w14:paraId="42E1DA4E" w14:textId="77777777" w:rsidR="00957F89" w:rsidRPr="00C73849" w:rsidRDefault="00957F89">
            <w:pPr>
              <w:pStyle w:val="TableParagraph"/>
              <w:spacing w:before="7"/>
              <w:rPr>
                <w:rFonts w:ascii="Times New Roman" w:eastAsia="Times New Roman" w:hAnsi="Times New Roman" w:cs="Times New Roman"/>
                <w:b/>
                <w:bCs/>
                <w:sz w:val="19"/>
                <w:szCs w:val="19"/>
              </w:rPr>
            </w:pPr>
          </w:p>
          <w:p w14:paraId="6D80AACA" w14:textId="77777777" w:rsidR="00957F89" w:rsidRPr="00C73849" w:rsidRDefault="00D92D87">
            <w:pPr>
              <w:pStyle w:val="TableParagraph"/>
              <w:ind w:left="102" w:right="172"/>
              <w:rPr>
                <w:rFonts w:ascii="Times New Roman" w:eastAsia="Times New Roman" w:hAnsi="Times New Roman" w:cs="Times New Roman"/>
                <w:sz w:val="20"/>
                <w:szCs w:val="20"/>
              </w:rPr>
            </w:pPr>
            <w:r w:rsidRPr="00C73849">
              <w:rPr>
                <w:rFonts w:ascii="Times New Roman"/>
                <w:b/>
                <w:sz w:val="20"/>
              </w:rPr>
              <w:t>Subject</w:t>
            </w:r>
            <w:r w:rsidRPr="00C73849">
              <w:rPr>
                <w:rFonts w:ascii="Times New Roman"/>
                <w:b/>
                <w:w w:val="99"/>
                <w:sz w:val="20"/>
              </w:rPr>
              <w:t xml:space="preserve"> </w:t>
            </w:r>
            <w:r w:rsidRPr="00C73849">
              <w:rPr>
                <w:rFonts w:ascii="Times New Roman"/>
                <w:b/>
                <w:sz w:val="20"/>
              </w:rPr>
              <w:t>Number</w:t>
            </w:r>
          </w:p>
        </w:tc>
        <w:tc>
          <w:tcPr>
            <w:tcW w:w="905" w:type="dxa"/>
            <w:tcBorders>
              <w:top w:val="single" w:sz="13" w:space="0" w:color="000000"/>
              <w:left w:val="single" w:sz="5" w:space="0" w:color="000000"/>
              <w:bottom w:val="single" w:sz="5" w:space="0" w:color="000000"/>
              <w:right w:val="single" w:sz="5" w:space="0" w:color="000000"/>
            </w:tcBorders>
          </w:tcPr>
          <w:p w14:paraId="7C24FA05" w14:textId="77777777" w:rsidR="00957F89" w:rsidRPr="00C73849" w:rsidRDefault="00957F89">
            <w:pPr>
              <w:pStyle w:val="TableParagraph"/>
              <w:spacing w:before="7"/>
              <w:rPr>
                <w:rFonts w:ascii="Times New Roman" w:eastAsia="Times New Roman" w:hAnsi="Times New Roman" w:cs="Times New Roman"/>
                <w:b/>
                <w:bCs/>
                <w:sz w:val="19"/>
                <w:szCs w:val="19"/>
              </w:rPr>
            </w:pPr>
          </w:p>
          <w:p w14:paraId="31988EB9" w14:textId="77777777" w:rsidR="00957F89" w:rsidRPr="00C73849" w:rsidRDefault="00D92D87">
            <w:pPr>
              <w:pStyle w:val="TableParagraph"/>
              <w:ind w:left="102" w:right="122"/>
              <w:rPr>
                <w:rFonts w:ascii="Times New Roman" w:eastAsia="Times New Roman" w:hAnsi="Times New Roman" w:cs="Times New Roman"/>
                <w:sz w:val="20"/>
                <w:szCs w:val="20"/>
              </w:rPr>
            </w:pPr>
            <w:r w:rsidRPr="00C73849">
              <w:rPr>
                <w:rFonts w:ascii="Times New Roman"/>
                <w:b/>
                <w:sz w:val="20"/>
              </w:rPr>
              <w:t>Serious</w:t>
            </w:r>
            <w:r w:rsidRPr="00C73849">
              <w:rPr>
                <w:rFonts w:ascii="Times New Roman"/>
                <w:b/>
                <w:w w:val="99"/>
                <w:sz w:val="20"/>
              </w:rPr>
              <w:t xml:space="preserve"> </w:t>
            </w:r>
            <w:r w:rsidRPr="00C73849">
              <w:rPr>
                <w:rFonts w:ascii="Times New Roman"/>
                <w:b/>
                <w:sz w:val="20"/>
              </w:rPr>
              <w:t>(yes/no)</w:t>
            </w:r>
          </w:p>
        </w:tc>
        <w:tc>
          <w:tcPr>
            <w:tcW w:w="1188" w:type="dxa"/>
            <w:tcBorders>
              <w:top w:val="single" w:sz="13" w:space="0" w:color="000000"/>
              <w:left w:val="single" w:sz="5" w:space="0" w:color="000000"/>
              <w:bottom w:val="single" w:sz="5" w:space="0" w:color="000000"/>
              <w:right w:val="single" w:sz="5" w:space="0" w:color="000000"/>
            </w:tcBorders>
          </w:tcPr>
          <w:p w14:paraId="44A82141" w14:textId="77777777" w:rsidR="00957F89" w:rsidRPr="00C73849" w:rsidRDefault="00D92D87">
            <w:pPr>
              <w:pStyle w:val="TableParagraph"/>
              <w:spacing w:line="239" w:lineRule="auto"/>
              <w:ind w:left="102" w:right="154"/>
              <w:rPr>
                <w:rFonts w:ascii="Times New Roman" w:eastAsia="Times New Roman" w:hAnsi="Times New Roman" w:cs="Times New Roman"/>
                <w:sz w:val="20"/>
                <w:szCs w:val="20"/>
              </w:rPr>
            </w:pPr>
            <w:r w:rsidRPr="00C73849">
              <w:rPr>
                <w:rFonts w:ascii="Times New Roman"/>
                <w:b/>
                <w:sz w:val="20"/>
              </w:rPr>
              <w:t>Time from</w:t>
            </w:r>
            <w:r w:rsidRPr="00C73849">
              <w:rPr>
                <w:rFonts w:ascii="Times New Roman"/>
                <w:b/>
                <w:w w:val="99"/>
                <w:sz w:val="20"/>
              </w:rPr>
              <w:t xml:space="preserve"> </w:t>
            </w:r>
            <w:r w:rsidRPr="00C73849">
              <w:rPr>
                <w:rFonts w:ascii="Times New Roman"/>
                <w:b/>
                <w:sz w:val="20"/>
              </w:rPr>
              <w:t>Injection</w:t>
            </w:r>
            <w:r w:rsidRPr="00C73849">
              <w:rPr>
                <w:rFonts w:ascii="Times New Roman"/>
                <w:b/>
                <w:w w:val="99"/>
                <w:sz w:val="20"/>
              </w:rPr>
              <w:t xml:space="preserve"> </w:t>
            </w:r>
            <w:r w:rsidRPr="00C73849">
              <w:rPr>
                <w:rFonts w:ascii="Times New Roman"/>
                <w:b/>
                <w:sz w:val="20"/>
              </w:rPr>
              <w:t>to Onset</w:t>
            </w:r>
          </w:p>
        </w:tc>
        <w:tc>
          <w:tcPr>
            <w:tcW w:w="1061" w:type="dxa"/>
            <w:tcBorders>
              <w:top w:val="single" w:sz="13" w:space="0" w:color="000000"/>
              <w:left w:val="single" w:sz="5" w:space="0" w:color="000000"/>
              <w:bottom w:val="single" w:sz="5" w:space="0" w:color="000000"/>
              <w:right w:val="single" w:sz="5" w:space="0" w:color="000000"/>
            </w:tcBorders>
          </w:tcPr>
          <w:p w14:paraId="0110907C" w14:textId="77777777" w:rsidR="00957F89" w:rsidRPr="00C73849" w:rsidRDefault="00957F89">
            <w:pPr>
              <w:pStyle w:val="TableParagraph"/>
              <w:spacing w:before="7"/>
              <w:rPr>
                <w:rFonts w:ascii="Times New Roman" w:eastAsia="Times New Roman" w:hAnsi="Times New Roman" w:cs="Times New Roman"/>
                <w:b/>
                <w:bCs/>
                <w:sz w:val="19"/>
                <w:szCs w:val="19"/>
              </w:rPr>
            </w:pPr>
          </w:p>
          <w:p w14:paraId="73839EAA" w14:textId="77777777" w:rsidR="00957F89" w:rsidRPr="00C73849" w:rsidRDefault="00D92D87">
            <w:pPr>
              <w:pStyle w:val="TableParagraph"/>
              <w:ind w:left="102" w:right="166"/>
              <w:rPr>
                <w:rFonts w:ascii="Times New Roman" w:eastAsia="Times New Roman" w:hAnsi="Times New Roman" w:cs="Times New Roman"/>
                <w:sz w:val="20"/>
                <w:szCs w:val="20"/>
              </w:rPr>
            </w:pPr>
            <w:r w:rsidRPr="00C73849">
              <w:rPr>
                <w:rFonts w:ascii="Times New Roman"/>
                <w:b/>
                <w:w w:val="95"/>
                <w:sz w:val="20"/>
              </w:rPr>
              <w:t>Duration</w:t>
            </w:r>
            <w:r w:rsidRPr="00C73849">
              <w:rPr>
                <w:rFonts w:ascii="Times New Roman"/>
                <w:b/>
                <w:w w:val="99"/>
                <w:sz w:val="20"/>
              </w:rPr>
              <w:t xml:space="preserve"> </w:t>
            </w:r>
            <w:r w:rsidRPr="00C73849">
              <w:rPr>
                <w:rFonts w:ascii="Times New Roman"/>
                <w:b/>
                <w:sz w:val="20"/>
              </w:rPr>
              <w:t>of AE</w:t>
            </w:r>
          </w:p>
        </w:tc>
        <w:tc>
          <w:tcPr>
            <w:tcW w:w="994" w:type="dxa"/>
            <w:tcBorders>
              <w:top w:val="single" w:sz="13" w:space="0" w:color="000000"/>
              <w:left w:val="single" w:sz="5" w:space="0" w:color="000000"/>
              <w:bottom w:val="single" w:sz="5" w:space="0" w:color="000000"/>
              <w:right w:val="single" w:sz="10" w:space="0" w:color="000000"/>
            </w:tcBorders>
          </w:tcPr>
          <w:p w14:paraId="1B6AD3C0" w14:textId="77777777" w:rsidR="00957F89" w:rsidRPr="00C73849" w:rsidRDefault="00957F89">
            <w:pPr>
              <w:pStyle w:val="TableParagraph"/>
              <w:rPr>
                <w:rFonts w:ascii="Times New Roman" w:eastAsia="Times New Roman" w:hAnsi="Times New Roman" w:cs="Times New Roman"/>
                <w:b/>
                <w:bCs/>
                <w:sz w:val="20"/>
                <w:szCs w:val="20"/>
              </w:rPr>
            </w:pPr>
          </w:p>
          <w:p w14:paraId="6C4A32A8" w14:textId="77777777" w:rsidR="00957F89" w:rsidRPr="00C73849" w:rsidRDefault="00957F89">
            <w:pPr>
              <w:pStyle w:val="TableParagraph"/>
              <w:spacing w:before="7"/>
              <w:rPr>
                <w:rFonts w:ascii="Times New Roman" w:eastAsia="Times New Roman" w:hAnsi="Times New Roman" w:cs="Times New Roman"/>
                <w:b/>
                <w:bCs/>
                <w:sz w:val="19"/>
                <w:szCs w:val="19"/>
              </w:rPr>
            </w:pPr>
          </w:p>
          <w:p w14:paraId="758642ED" w14:textId="77777777" w:rsidR="00957F89" w:rsidRPr="00C73849" w:rsidRDefault="00D92D87">
            <w:pPr>
              <w:pStyle w:val="TableParagraph"/>
              <w:ind w:left="101"/>
              <w:rPr>
                <w:rFonts w:ascii="Times New Roman" w:eastAsia="Times New Roman" w:hAnsi="Times New Roman" w:cs="Times New Roman"/>
                <w:sz w:val="20"/>
                <w:szCs w:val="20"/>
              </w:rPr>
            </w:pPr>
            <w:r w:rsidRPr="00C73849">
              <w:rPr>
                <w:rFonts w:ascii="Times New Roman"/>
                <w:b/>
                <w:sz w:val="20"/>
              </w:rPr>
              <w:t>Intensity</w:t>
            </w:r>
          </w:p>
        </w:tc>
        <w:tc>
          <w:tcPr>
            <w:tcW w:w="1380" w:type="dxa"/>
            <w:tcBorders>
              <w:top w:val="single" w:sz="13" w:space="0" w:color="000000"/>
              <w:left w:val="single" w:sz="10" w:space="0" w:color="000000"/>
              <w:bottom w:val="single" w:sz="5" w:space="0" w:color="000000"/>
              <w:right w:val="single" w:sz="5" w:space="0" w:color="000000"/>
            </w:tcBorders>
          </w:tcPr>
          <w:p w14:paraId="3AC26D84" w14:textId="77777777" w:rsidR="00957F89" w:rsidRPr="00C73849" w:rsidRDefault="00957F89">
            <w:pPr>
              <w:pStyle w:val="TableParagraph"/>
              <w:spacing w:before="7"/>
              <w:rPr>
                <w:rFonts w:ascii="Times New Roman" w:eastAsia="Times New Roman" w:hAnsi="Times New Roman" w:cs="Times New Roman"/>
                <w:b/>
                <w:bCs/>
                <w:sz w:val="19"/>
                <w:szCs w:val="19"/>
              </w:rPr>
            </w:pPr>
          </w:p>
          <w:p w14:paraId="4FF03EB0" w14:textId="77777777" w:rsidR="00957F89" w:rsidRPr="00C73849" w:rsidRDefault="00D92D87">
            <w:pPr>
              <w:pStyle w:val="TableParagraph"/>
              <w:ind w:left="80" w:right="203"/>
              <w:rPr>
                <w:rFonts w:ascii="Times New Roman" w:eastAsia="Times New Roman" w:hAnsi="Times New Roman" w:cs="Times New Roman"/>
                <w:sz w:val="20"/>
                <w:szCs w:val="20"/>
              </w:rPr>
            </w:pPr>
            <w:r w:rsidRPr="00C73849">
              <w:rPr>
                <w:rFonts w:ascii="Times New Roman"/>
                <w:b/>
                <w:sz w:val="20"/>
              </w:rPr>
              <w:t>Relationship</w:t>
            </w:r>
            <w:r w:rsidRPr="00C73849">
              <w:rPr>
                <w:rFonts w:ascii="Times New Roman"/>
                <w:b/>
                <w:w w:val="99"/>
                <w:sz w:val="20"/>
              </w:rPr>
              <w:t xml:space="preserve"> </w:t>
            </w:r>
            <w:r w:rsidRPr="00C73849">
              <w:rPr>
                <w:rFonts w:ascii="Times New Roman"/>
                <w:b/>
                <w:sz w:val="20"/>
              </w:rPr>
              <w:t>to IMP</w:t>
            </w:r>
          </w:p>
        </w:tc>
        <w:tc>
          <w:tcPr>
            <w:tcW w:w="1277" w:type="dxa"/>
            <w:tcBorders>
              <w:top w:val="single" w:sz="13" w:space="0" w:color="000000"/>
              <w:left w:val="single" w:sz="5" w:space="0" w:color="000000"/>
              <w:bottom w:val="single" w:sz="5" w:space="0" w:color="000000"/>
              <w:right w:val="single" w:sz="12" w:space="0" w:color="000000"/>
            </w:tcBorders>
          </w:tcPr>
          <w:p w14:paraId="4EA1C8B1" w14:textId="77777777" w:rsidR="00957F89" w:rsidRPr="00C73849" w:rsidRDefault="00957F89">
            <w:pPr>
              <w:pStyle w:val="TableParagraph"/>
              <w:rPr>
                <w:rFonts w:ascii="Times New Roman" w:eastAsia="Times New Roman" w:hAnsi="Times New Roman" w:cs="Times New Roman"/>
                <w:b/>
                <w:bCs/>
                <w:sz w:val="20"/>
                <w:szCs w:val="20"/>
              </w:rPr>
            </w:pPr>
          </w:p>
          <w:p w14:paraId="2F9D1794" w14:textId="77777777" w:rsidR="00957F89" w:rsidRPr="00C73849" w:rsidRDefault="00957F89">
            <w:pPr>
              <w:pStyle w:val="TableParagraph"/>
              <w:spacing w:before="7"/>
              <w:rPr>
                <w:rFonts w:ascii="Times New Roman" w:eastAsia="Times New Roman" w:hAnsi="Times New Roman" w:cs="Times New Roman"/>
                <w:b/>
                <w:bCs/>
                <w:sz w:val="19"/>
                <w:szCs w:val="19"/>
              </w:rPr>
            </w:pPr>
          </w:p>
          <w:p w14:paraId="389E441C" w14:textId="77777777" w:rsidR="00957F89" w:rsidRPr="00C73849" w:rsidRDefault="00D92D87">
            <w:pPr>
              <w:pStyle w:val="TableParagraph"/>
              <w:ind w:left="101"/>
              <w:rPr>
                <w:rFonts w:ascii="Times New Roman" w:eastAsia="Times New Roman" w:hAnsi="Times New Roman" w:cs="Times New Roman"/>
                <w:sz w:val="20"/>
                <w:szCs w:val="20"/>
              </w:rPr>
            </w:pPr>
            <w:r w:rsidRPr="00C73849">
              <w:rPr>
                <w:rFonts w:ascii="Times New Roman"/>
                <w:b/>
                <w:sz w:val="20"/>
              </w:rPr>
              <w:t>Outcome</w:t>
            </w:r>
          </w:p>
        </w:tc>
      </w:tr>
      <w:tr w:rsidR="00957F89" w:rsidRPr="00C73849" w14:paraId="37135EF9" w14:textId="77777777">
        <w:trPr>
          <w:trHeight w:hRule="exact" w:val="240"/>
        </w:trPr>
        <w:tc>
          <w:tcPr>
            <w:tcW w:w="1385" w:type="dxa"/>
            <w:tcBorders>
              <w:top w:val="single" w:sz="5" w:space="0" w:color="000000"/>
              <w:left w:val="single" w:sz="12" w:space="0" w:color="000000"/>
              <w:bottom w:val="single" w:sz="5" w:space="0" w:color="000000"/>
              <w:right w:val="single" w:sz="5" w:space="0" w:color="000000"/>
            </w:tcBorders>
          </w:tcPr>
          <w:p w14:paraId="7FAF0E12" w14:textId="77777777" w:rsidR="00957F89" w:rsidRPr="00C73849" w:rsidRDefault="00D92D87">
            <w:pPr>
              <w:pStyle w:val="TableParagraph"/>
              <w:spacing w:line="222" w:lineRule="exact"/>
              <w:ind w:left="92"/>
              <w:rPr>
                <w:rFonts w:ascii="Times New Roman" w:eastAsia="Times New Roman" w:hAnsi="Times New Roman" w:cs="Times New Roman"/>
                <w:sz w:val="20"/>
                <w:szCs w:val="20"/>
              </w:rPr>
            </w:pPr>
            <w:r w:rsidRPr="00C73849">
              <w:rPr>
                <w:rFonts w:ascii="Times New Roman"/>
                <w:sz w:val="20"/>
              </w:rPr>
              <w:t>Fatigue</w:t>
            </w:r>
          </w:p>
        </w:tc>
        <w:tc>
          <w:tcPr>
            <w:tcW w:w="996" w:type="dxa"/>
            <w:tcBorders>
              <w:top w:val="single" w:sz="5" w:space="0" w:color="000000"/>
              <w:left w:val="single" w:sz="5" w:space="0" w:color="000000"/>
              <w:bottom w:val="single" w:sz="5" w:space="0" w:color="000000"/>
              <w:right w:val="single" w:sz="5" w:space="0" w:color="000000"/>
            </w:tcBorders>
          </w:tcPr>
          <w:p w14:paraId="79BBBE19"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001-0028</w:t>
            </w:r>
          </w:p>
        </w:tc>
        <w:tc>
          <w:tcPr>
            <w:tcW w:w="905" w:type="dxa"/>
            <w:tcBorders>
              <w:top w:val="single" w:sz="5" w:space="0" w:color="000000"/>
              <w:left w:val="single" w:sz="5" w:space="0" w:color="000000"/>
              <w:bottom w:val="single" w:sz="5" w:space="0" w:color="000000"/>
              <w:right w:val="single" w:sz="5" w:space="0" w:color="000000"/>
            </w:tcBorders>
          </w:tcPr>
          <w:p w14:paraId="3278C523"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No</w:t>
            </w:r>
          </w:p>
        </w:tc>
        <w:tc>
          <w:tcPr>
            <w:tcW w:w="1188" w:type="dxa"/>
            <w:tcBorders>
              <w:top w:val="single" w:sz="5" w:space="0" w:color="000000"/>
              <w:left w:val="single" w:sz="5" w:space="0" w:color="000000"/>
              <w:bottom w:val="single" w:sz="5" w:space="0" w:color="000000"/>
              <w:right w:val="single" w:sz="5" w:space="0" w:color="000000"/>
            </w:tcBorders>
          </w:tcPr>
          <w:p w14:paraId="5E2F9386"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6 h 20 min</w:t>
            </w:r>
          </w:p>
        </w:tc>
        <w:tc>
          <w:tcPr>
            <w:tcW w:w="1061" w:type="dxa"/>
            <w:tcBorders>
              <w:top w:val="single" w:sz="5" w:space="0" w:color="000000"/>
              <w:left w:val="single" w:sz="5" w:space="0" w:color="000000"/>
              <w:bottom w:val="single" w:sz="5" w:space="0" w:color="000000"/>
              <w:right w:val="single" w:sz="5" w:space="0" w:color="000000"/>
            </w:tcBorders>
          </w:tcPr>
          <w:p w14:paraId="623B6447"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8 h</w:t>
            </w:r>
          </w:p>
        </w:tc>
        <w:tc>
          <w:tcPr>
            <w:tcW w:w="994" w:type="dxa"/>
            <w:tcBorders>
              <w:top w:val="single" w:sz="5" w:space="0" w:color="000000"/>
              <w:left w:val="single" w:sz="5" w:space="0" w:color="000000"/>
              <w:bottom w:val="single" w:sz="5" w:space="0" w:color="000000"/>
              <w:right w:val="single" w:sz="10" w:space="0" w:color="000000"/>
            </w:tcBorders>
          </w:tcPr>
          <w:p w14:paraId="1B82E783"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Mild</w:t>
            </w:r>
          </w:p>
        </w:tc>
        <w:tc>
          <w:tcPr>
            <w:tcW w:w="1380" w:type="dxa"/>
            <w:tcBorders>
              <w:top w:val="single" w:sz="5" w:space="0" w:color="000000"/>
              <w:left w:val="single" w:sz="10" w:space="0" w:color="000000"/>
              <w:bottom w:val="single" w:sz="5" w:space="0" w:color="000000"/>
              <w:right w:val="single" w:sz="5" w:space="0" w:color="000000"/>
            </w:tcBorders>
          </w:tcPr>
          <w:p w14:paraId="07F85FC4" w14:textId="77777777" w:rsidR="00957F89" w:rsidRPr="00C73849" w:rsidRDefault="00D92D87">
            <w:pPr>
              <w:pStyle w:val="TableParagraph"/>
              <w:spacing w:line="222" w:lineRule="exact"/>
              <w:ind w:left="93"/>
              <w:rPr>
                <w:rFonts w:ascii="Times New Roman" w:eastAsia="Times New Roman" w:hAnsi="Times New Roman" w:cs="Times New Roman"/>
                <w:sz w:val="20"/>
                <w:szCs w:val="20"/>
              </w:rPr>
            </w:pPr>
            <w:r w:rsidRPr="00C73849">
              <w:rPr>
                <w:rFonts w:ascii="Times New Roman"/>
                <w:sz w:val="20"/>
              </w:rPr>
              <w:t>Suspected</w:t>
            </w:r>
          </w:p>
        </w:tc>
        <w:tc>
          <w:tcPr>
            <w:tcW w:w="1277" w:type="dxa"/>
            <w:tcBorders>
              <w:top w:val="single" w:sz="5" w:space="0" w:color="000000"/>
              <w:left w:val="single" w:sz="5" w:space="0" w:color="000000"/>
              <w:bottom w:val="single" w:sz="5" w:space="0" w:color="000000"/>
              <w:right w:val="single" w:sz="12" w:space="0" w:color="000000"/>
            </w:tcBorders>
          </w:tcPr>
          <w:p w14:paraId="5E7E8724"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Resolved</w:t>
            </w:r>
          </w:p>
        </w:tc>
      </w:tr>
      <w:tr w:rsidR="00957F89" w:rsidRPr="00C73849" w14:paraId="4932E652" w14:textId="77777777">
        <w:trPr>
          <w:trHeight w:hRule="exact" w:val="240"/>
        </w:trPr>
        <w:tc>
          <w:tcPr>
            <w:tcW w:w="1385" w:type="dxa"/>
            <w:vMerge w:val="restart"/>
            <w:tcBorders>
              <w:top w:val="single" w:sz="5" w:space="0" w:color="000000"/>
              <w:left w:val="single" w:sz="12" w:space="0" w:color="000000"/>
              <w:right w:val="single" w:sz="5" w:space="0" w:color="000000"/>
            </w:tcBorders>
          </w:tcPr>
          <w:p w14:paraId="7D2F49B3" w14:textId="77777777" w:rsidR="00957F89" w:rsidRPr="00C73849" w:rsidRDefault="00D92D87">
            <w:pPr>
              <w:pStyle w:val="TableParagraph"/>
              <w:spacing w:line="222" w:lineRule="exact"/>
              <w:ind w:left="92"/>
              <w:rPr>
                <w:rFonts w:ascii="Times New Roman" w:eastAsia="Times New Roman" w:hAnsi="Times New Roman" w:cs="Times New Roman"/>
                <w:sz w:val="20"/>
                <w:szCs w:val="20"/>
              </w:rPr>
            </w:pPr>
            <w:r w:rsidRPr="00C73849">
              <w:rPr>
                <w:rFonts w:ascii="Times New Roman"/>
                <w:sz w:val="20"/>
              </w:rPr>
              <w:t>Flushing</w:t>
            </w:r>
          </w:p>
        </w:tc>
        <w:tc>
          <w:tcPr>
            <w:tcW w:w="996" w:type="dxa"/>
            <w:tcBorders>
              <w:top w:val="single" w:sz="5" w:space="0" w:color="000000"/>
              <w:left w:val="single" w:sz="5" w:space="0" w:color="000000"/>
              <w:bottom w:val="single" w:sz="5" w:space="0" w:color="000000"/>
              <w:right w:val="single" w:sz="5" w:space="0" w:color="000000"/>
            </w:tcBorders>
          </w:tcPr>
          <w:p w14:paraId="1A2B50AA"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001-0030</w:t>
            </w:r>
          </w:p>
        </w:tc>
        <w:tc>
          <w:tcPr>
            <w:tcW w:w="905" w:type="dxa"/>
            <w:tcBorders>
              <w:top w:val="single" w:sz="5" w:space="0" w:color="000000"/>
              <w:left w:val="single" w:sz="5" w:space="0" w:color="000000"/>
              <w:bottom w:val="single" w:sz="5" w:space="0" w:color="000000"/>
              <w:right w:val="single" w:sz="5" w:space="0" w:color="000000"/>
            </w:tcBorders>
          </w:tcPr>
          <w:p w14:paraId="0AC24E52"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No</w:t>
            </w:r>
          </w:p>
        </w:tc>
        <w:tc>
          <w:tcPr>
            <w:tcW w:w="1188" w:type="dxa"/>
            <w:tcBorders>
              <w:top w:val="single" w:sz="5" w:space="0" w:color="000000"/>
              <w:left w:val="single" w:sz="5" w:space="0" w:color="000000"/>
              <w:bottom w:val="single" w:sz="5" w:space="0" w:color="000000"/>
              <w:right w:val="single" w:sz="5" w:space="0" w:color="000000"/>
            </w:tcBorders>
          </w:tcPr>
          <w:p w14:paraId="5B435AFB"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0 min</w:t>
            </w:r>
          </w:p>
        </w:tc>
        <w:tc>
          <w:tcPr>
            <w:tcW w:w="1061" w:type="dxa"/>
            <w:tcBorders>
              <w:top w:val="single" w:sz="5" w:space="0" w:color="000000"/>
              <w:left w:val="single" w:sz="5" w:space="0" w:color="000000"/>
              <w:bottom w:val="single" w:sz="5" w:space="0" w:color="000000"/>
              <w:right w:val="single" w:sz="5" w:space="0" w:color="000000"/>
            </w:tcBorders>
          </w:tcPr>
          <w:p w14:paraId="42063C0E"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1 min</w:t>
            </w:r>
          </w:p>
        </w:tc>
        <w:tc>
          <w:tcPr>
            <w:tcW w:w="994" w:type="dxa"/>
            <w:tcBorders>
              <w:top w:val="single" w:sz="5" w:space="0" w:color="000000"/>
              <w:left w:val="single" w:sz="5" w:space="0" w:color="000000"/>
              <w:bottom w:val="single" w:sz="5" w:space="0" w:color="000000"/>
              <w:right w:val="single" w:sz="5" w:space="0" w:color="000000"/>
            </w:tcBorders>
          </w:tcPr>
          <w:p w14:paraId="043ABC02"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Mild</w:t>
            </w:r>
          </w:p>
        </w:tc>
        <w:tc>
          <w:tcPr>
            <w:tcW w:w="1380" w:type="dxa"/>
            <w:tcBorders>
              <w:top w:val="single" w:sz="5" w:space="0" w:color="000000"/>
              <w:left w:val="single" w:sz="5" w:space="0" w:color="000000"/>
              <w:bottom w:val="single" w:sz="5" w:space="0" w:color="000000"/>
              <w:right w:val="single" w:sz="5" w:space="0" w:color="000000"/>
            </w:tcBorders>
          </w:tcPr>
          <w:p w14:paraId="5C4B40D0"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Suspected</w:t>
            </w:r>
          </w:p>
        </w:tc>
        <w:tc>
          <w:tcPr>
            <w:tcW w:w="1277" w:type="dxa"/>
            <w:tcBorders>
              <w:top w:val="single" w:sz="5" w:space="0" w:color="000000"/>
              <w:left w:val="single" w:sz="5" w:space="0" w:color="000000"/>
              <w:bottom w:val="single" w:sz="5" w:space="0" w:color="000000"/>
              <w:right w:val="single" w:sz="12" w:space="0" w:color="000000"/>
            </w:tcBorders>
          </w:tcPr>
          <w:p w14:paraId="4E024C38"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Resolved</w:t>
            </w:r>
          </w:p>
        </w:tc>
      </w:tr>
      <w:tr w:rsidR="00957F89" w:rsidRPr="00C73849" w14:paraId="48DB2AA4" w14:textId="77777777">
        <w:trPr>
          <w:trHeight w:hRule="exact" w:val="240"/>
        </w:trPr>
        <w:tc>
          <w:tcPr>
            <w:tcW w:w="1385" w:type="dxa"/>
            <w:vMerge/>
            <w:tcBorders>
              <w:left w:val="single" w:sz="12" w:space="0" w:color="000000"/>
              <w:bottom w:val="single" w:sz="5" w:space="0" w:color="000000"/>
              <w:right w:val="single" w:sz="5" w:space="0" w:color="000000"/>
            </w:tcBorders>
          </w:tcPr>
          <w:p w14:paraId="40BAB9CC" w14:textId="77777777" w:rsidR="00957F89" w:rsidRPr="00C73849" w:rsidRDefault="00957F89"/>
        </w:tc>
        <w:tc>
          <w:tcPr>
            <w:tcW w:w="996" w:type="dxa"/>
            <w:tcBorders>
              <w:top w:val="single" w:sz="5" w:space="0" w:color="000000"/>
              <w:left w:val="single" w:sz="5" w:space="0" w:color="000000"/>
              <w:bottom w:val="single" w:sz="5" w:space="0" w:color="000000"/>
              <w:right w:val="single" w:sz="5" w:space="0" w:color="000000"/>
            </w:tcBorders>
          </w:tcPr>
          <w:p w14:paraId="56769110"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001-0030</w:t>
            </w:r>
          </w:p>
        </w:tc>
        <w:tc>
          <w:tcPr>
            <w:tcW w:w="905" w:type="dxa"/>
            <w:tcBorders>
              <w:top w:val="single" w:sz="5" w:space="0" w:color="000000"/>
              <w:left w:val="single" w:sz="5" w:space="0" w:color="000000"/>
              <w:bottom w:val="single" w:sz="5" w:space="0" w:color="000000"/>
              <w:right w:val="single" w:sz="5" w:space="0" w:color="000000"/>
            </w:tcBorders>
          </w:tcPr>
          <w:p w14:paraId="1DA7F75E"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No</w:t>
            </w:r>
          </w:p>
        </w:tc>
        <w:tc>
          <w:tcPr>
            <w:tcW w:w="1188" w:type="dxa"/>
            <w:tcBorders>
              <w:top w:val="single" w:sz="5" w:space="0" w:color="000000"/>
              <w:left w:val="single" w:sz="5" w:space="0" w:color="000000"/>
              <w:bottom w:val="single" w:sz="5" w:space="0" w:color="000000"/>
              <w:right w:val="single" w:sz="5" w:space="0" w:color="000000"/>
            </w:tcBorders>
          </w:tcPr>
          <w:p w14:paraId="4FC9A1D8"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20 s</w:t>
            </w:r>
          </w:p>
        </w:tc>
        <w:tc>
          <w:tcPr>
            <w:tcW w:w="1061" w:type="dxa"/>
            <w:tcBorders>
              <w:top w:val="single" w:sz="5" w:space="0" w:color="000000"/>
              <w:left w:val="single" w:sz="5" w:space="0" w:color="000000"/>
              <w:bottom w:val="single" w:sz="5" w:space="0" w:color="000000"/>
              <w:right w:val="single" w:sz="5" w:space="0" w:color="000000"/>
            </w:tcBorders>
          </w:tcPr>
          <w:p w14:paraId="0552CD5D"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30 s</w:t>
            </w:r>
          </w:p>
        </w:tc>
        <w:tc>
          <w:tcPr>
            <w:tcW w:w="994" w:type="dxa"/>
            <w:tcBorders>
              <w:top w:val="single" w:sz="5" w:space="0" w:color="000000"/>
              <w:left w:val="single" w:sz="5" w:space="0" w:color="000000"/>
              <w:bottom w:val="single" w:sz="5" w:space="0" w:color="000000"/>
              <w:right w:val="single" w:sz="5" w:space="0" w:color="000000"/>
            </w:tcBorders>
          </w:tcPr>
          <w:p w14:paraId="549D1FDB" w14:textId="77777777" w:rsidR="00957F89" w:rsidRPr="00C73849" w:rsidRDefault="00D92D87">
            <w:pPr>
              <w:pStyle w:val="TableParagraph"/>
              <w:spacing w:line="222" w:lineRule="exact"/>
              <w:ind w:left="99"/>
              <w:rPr>
                <w:rFonts w:ascii="Times New Roman" w:eastAsia="Times New Roman" w:hAnsi="Times New Roman" w:cs="Times New Roman"/>
                <w:sz w:val="20"/>
                <w:szCs w:val="20"/>
              </w:rPr>
            </w:pPr>
            <w:r w:rsidRPr="00C73849">
              <w:rPr>
                <w:rFonts w:ascii="Times New Roman"/>
                <w:sz w:val="20"/>
              </w:rPr>
              <w:t>Severe</w:t>
            </w:r>
          </w:p>
        </w:tc>
        <w:tc>
          <w:tcPr>
            <w:tcW w:w="1380" w:type="dxa"/>
            <w:tcBorders>
              <w:top w:val="single" w:sz="5" w:space="0" w:color="000000"/>
              <w:left w:val="single" w:sz="5" w:space="0" w:color="000000"/>
              <w:bottom w:val="single" w:sz="5" w:space="0" w:color="000000"/>
              <w:right w:val="single" w:sz="5" w:space="0" w:color="000000"/>
            </w:tcBorders>
          </w:tcPr>
          <w:p w14:paraId="2ADC01CE"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Suspected</w:t>
            </w:r>
          </w:p>
        </w:tc>
        <w:tc>
          <w:tcPr>
            <w:tcW w:w="1277" w:type="dxa"/>
            <w:tcBorders>
              <w:top w:val="single" w:sz="5" w:space="0" w:color="000000"/>
              <w:left w:val="single" w:sz="5" w:space="0" w:color="000000"/>
              <w:bottom w:val="single" w:sz="5" w:space="0" w:color="000000"/>
              <w:right w:val="single" w:sz="12" w:space="0" w:color="000000"/>
            </w:tcBorders>
          </w:tcPr>
          <w:p w14:paraId="553E0F3B"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Resolved</w:t>
            </w:r>
          </w:p>
        </w:tc>
      </w:tr>
      <w:tr w:rsidR="00957F89" w:rsidRPr="00C73849" w14:paraId="20257F45" w14:textId="77777777">
        <w:trPr>
          <w:trHeight w:hRule="exact" w:val="240"/>
        </w:trPr>
        <w:tc>
          <w:tcPr>
            <w:tcW w:w="1385" w:type="dxa"/>
            <w:vMerge w:val="restart"/>
            <w:tcBorders>
              <w:top w:val="single" w:sz="5" w:space="0" w:color="000000"/>
              <w:left w:val="single" w:sz="12" w:space="0" w:color="000000"/>
              <w:right w:val="single" w:sz="5" w:space="0" w:color="000000"/>
            </w:tcBorders>
          </w:tcPr>
          <w:p w14:paraId="1AFFB81D" w14:textId="77777777" w:rsidR="00957F89" w:rsidRPr="00C73849" w:rsidRDefault="00D92D87">
            <w:pPr>
              <w:pStyle w:val="TableParagraph"/>
              <w:ind w:left="92" w:right="475"/>
              <w:rPr>
                <w:rFonts w:ascii="Times New Roman" w:eastAsia="Times New Roman" w:hAnsi="Times New Roman" w:cs="Times New Roman"/>
                <w:sz w:val="20"/>
                <w:szCs w:val="20"/>
              </w:rPr>
            </w:pPr>
            <w:r w:rsidRPr="00C73849">
              <w:rPr>
                <w:rFonts w:ascii="Times New Roman"/>
                <w:sz w:val="20"/>
              </w:rPr>
              <w:t>Heart rate</w:t>
            </w:r>
            <w:r w:rsidRPr="00C73849">
              <w:rPr>
                <w:rFonts w:ascii="Times New Roman"/>
                <w:w w:val="99"/>
                <w:sz w:val="20"/>
              </w:rPr>
              <w:t xml:space="preserve"> </w:t>
            </w:r>
            <w:r w:rsidRPr="00C73849">
              <w:rPr>
                <w:rFonts w:ascii="Times New Roman"/>
                <w:sz w:val="20"/>
              </w:rPr>
              <w:t>increased</w:t>
            </w:r>
          </w:p>
        </w:tc>
        <w:tc>
          <w:tcPr>
            <w:tcW w:w="996" w:type="dxa"/>
            <w:tcBorders>
              <w:top w:val="single" w:sz="5" w:space="0" w:color="000000"/>
              <w:left w:val="single" w:sz="5" w:space="0" w:color="000000"/>
              <w:bottom w:val="single" w:sz="5" w:space="0" w:color="000000"/>
              <w:right w:val="single" w:sz="5" w:space="0" w:color="000000"/>
            </w:tcBorders>
          </w:tcPr>
          <w:p w14:paraId="5F46DE8A"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001-0030</w:t>
            </w:r>
          </w:p>
        </w:tc>
        <w:tc>
          <w:tcPr>
            <w:tcW w:w="905" w:type="dxa"/>
            <w:tcBorders>
              <w:top w:val="single" w:sz="5" w:space="0" w:color="000000"/>
              <w:left w:val="single" w:sz="5" w:space="0" w:color="000000"/>
              <w:bottom w:val="single" w:sz="5" w:space="0" w:color="000000"/>
              <w:right w:val="single" w:sz="5" w:space="0" w:color="000000"/>
            </w:tcBorders>
          </w:tcPr>
          <w:p w14:paraId="3CD44234"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No</w:t>
            </w:r>
          </w:p>
        </w:tc>
        <w:tc>
          <w:tcPr>
            <w:tcW w:w="1188" w:type="dxa"/>
            <w:tcBorders>
              <w:top w:val="single" w:sz="5" w:space="0" w:color="000000"/>
              <w:left w:val="single" w:sz="5" w:space="0" w:color="000000"/>
              <w:bottom w:val="single" w:sz="5" w:space="0" w:color="000000"/>
              <w:right w:val="single" w:sz="5" w:space="0" w:color="000000"/>
            </w:tcBorders>
          </w:tcPr>
          <w:p w14:paraId="35FC9836"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1 min</w:t>
            </w:r>
          </w:p>
        </w:tc>
        <w:tc>
          <w:tcPr>
            <w:tcW w:w="1061" w:type="dxa"/>
            <w:tcBorders>
              <w:top w:val="single" w:sz="5" w:space="0" w:color="000000"/>
              <w:left w:val="single" w:sz="5" w:space="0" w:color="000000"/>
              <w:bottom w:val="single" w:sz="5" w:space="0" w:color="000000"/>
              <w:right w:val="single" w:sz="5" w:space="0" w:color="000000"/>
            </w:tcBorders>
          </w:tcPr>
          <w:p w14:paraId="366828DC"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1 min</w:t>
            </w:r>
          </w:p>
        </w:tc>
        <w:tc>
          <w:tcPr>
            <w:tcW w:w="994" w:type="dxa"/>
            <w:tcBorders>
              <w:top w:val="single" w:sz="5" w:space="0" w:color="000000"/>
              <w:left w:val="single" w:sz="5" w:space="0" w:color="000000"/>
              <w:bottom w:val="single" w:sz="5" w:space="0" w:color="000000"/>
              <w:right w:val="single" w:sz="5" w:space="0" w:color="000000"/>
            </w:tcBorders>
          </w:tcPr>
          <w:p w14:paraId="54F44036"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Moderate</w:t>
            </w:r>
          </w:p>
        </w:tc>
        <w:tc>
          <w:tcPr>
            <w:tcW w:w="1380" w:type="dxa"/>
            <w:tcBorders>
              <w:top w:val="single" w:sz="5" w:space="0" w:color="000000"/>
              <w:left w:val="single" w:sz="5" w:space="0" w:color="000000"/>
              <w:bottom w:val="single" w:sz="5" w:space="0" w:color="000000"/>
              <w:right w:val="single" w:sz="5" w:space="0" w:color="000000"/>
            </w:tcBorders>
          </w:tcPr>
          <w:p w14:paraId="39502B9D"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Suspected</w:t>
            </w:r>
          </w:p>
        </w:tc>
        <w:tc>
          <w:tcPr>
            <w:tcW w:w="1277" w:type="dxa"/>
            <w:tcBorders>
              <w:top w:val="single" w:sz="5" w:space="0" w:color="000000"/>
              <w:left w:val="single" w:sz="5" w:space="0" w:color="000000"/>
              <w:bottom w:val="single" w:sz="5" w:space="0" w:color="000000"/>
              <w:right w:val="single" w:sz="12" w:space="0" w:color="000000"/>
            </w:tcBorders>
          </w:tcPr>
          <w:p w14:paraId="53A5F143"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Resolved</w:t>
            </w:r>
          </w:p>
        </w:tc>
      </w:tr>
      <w:tr w:rsidR="00957F89" w:rsidRPr="00C73849" w14:paraId="6E7E1183" w14:textId="77777777">
        <w:trPr>
          <w:trHeight w:hRule="exact" w:val="240"/>
        </w:trPr>
        <w:tc>
          <w:tcPr>
            <w:tcW w:w="1385" w:type="dxa"/>
            <w:vMerge/>
            <w:tcBorders>
              <w:left w:val="single" w:sz="12" w:space="0" w:color="000000"/>
              <w:bottom w:val="single" w:sz="5" w:space="0" w:color="000000"/>
              <w:right w:val="single" w:sz="5" w:space="0" w:color="000000"/>
            </w:tcBorders>
          </w:tcPr>
          <w:p w14:paraId="59902B11" w14:textId="77777777" w:rsidR="00957F89" w:rsidRPr="00C73849" w:rsidRDefault="00957F89"/>
        </w:tc>
        <w:tc>
          <w:tcPr>
            <w:tcW w:w="996" w:type="dxa"/>
            <w:tcBorders>
              <w:top w:val="single" w:sz="5" w:space="0" w:color="000000"/>
              <w:left w:val="single" w:sz="5" w:space="0" w:color="000000"/>
              <w:bottom w:val="single" w:sz="5" w:space="0" w:color="000000"/>
              <w:right w:val="single" w:sz="5" w:space="0" w:color="000000"/>
            </w:tcBorders>
          </w:tcPr>
          <w:p w14:paraId="0AD12370"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001-0030</w:t>
            </w:r>
          </w:p>
        </w:tc>
        <w:tc>
          <w:tcPr>
            <w:tcW w:w="905" w:type="dxa"/>
            <w:tcBorders>
              <w:top w:val="single" w:sz="5" w:space="0" w:color="000000"/>
              <w:left w:val="single" w:sz="5" w:space="0" w:color="000000"/>
              <w:bottom w:val="single" w:sz="5" w:space="0" w:color="000000"/>
              <w:right w:val="single" w:sz="5" w:space="0" w:color="000000"/>
            </w:tcBorders>
          </w:tcPr>
          <w:p w14:paraId="1449479F"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No</w:t>
            </w:r>
          </w:p>
        </w:tc>
        <w:tc>
          <w:tcPr>
            <w:tcW w:w="1188" w:type="dxa"/>
            <w:tcBorders>
              <w:top w:val="single" w:sz="5" w:space="0" w:color="000000"/>
              <w:left w:val="single" w:sz="5" w:space="0" w:color="000000"/>
              <w:bottom w:val="single" w:sz="5" w:space="0" w:color="000000"/>
              <w:right w:val="single" w:sz="5" w:space="0" w:color="000000"/>
            </w:tcBorders>
          </w:tcPr>
          <w:p w14:paraId="5A4D609F"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6 min</w:t>
            </w:r>
          </w:p>
        </w:tc>
        <w:tc>
          <w:tcPr>
            <w:tcW w:w="1061" w:type="dxa"/>
            <w:tcBorders>
              <w:top w:val="single" w:sz="5" w:space="0" w:color="000000"/>
              <w:left w:val="single" w:sz="5" w:space="0" w:color="000000"/>
              <w:bottom w:val="single" w:sz="5" w:space="0" w:color="000000"/>
              <w:right w:val="single" w:sz="5" w:space="0" w:color="000000"/>
            </w:tcBorders>
          </w:tcPr>
          <w:p w14:paraId="6580A700"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4 min</w:t>
            </w:r>
          </w:p>
        </w:tc>
        <w:tc>
          <w:tcPr>
            <w:tcW w:w="994" w:type="dxa"/>
            <w:tcBorders>
              <w:top w:val="single" w:sz="5" w:space="0" w:color="000000"/>
              <w:left w:val="single" w:sz="5" w:space="0" w:color="000000"/>
              <w:bottom w:val="single" w:sz="5" w:space="0" w:color="000000"/>
              <w:right w:val="single" w:sz="5" w:space="0" w:color="000000"/>
            </w:tcBorders>
          </w:tcPr>
          <w:p w14:paraId="139392C7"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Moderate</w:t>
            </w:r>
          </w:p>
        </w:tc>
        <w:tc>
          <w:tcPr>
            <w:tcW w:w="1380" w:type="dxa"/>
            <w:tcBorders>
              <w:top w:val="single" w:sz="5" w:space="0" w:color="000000"/>
              <w:left w:val="single" w:sz="5" w:space="0" w:color="000000"/>
              <w:bottom w:val="single" w:sz="5" w:space="0" w:color="000000"/>
              <w:right w:val="single" w:sz="5" w:space="0" w:color="000000"/>
            </w:tcBorders>
          </w:tcPr>
          <w:p w14:paraId="1F72A5BA"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Suspected</w:t>
            </w:r>
          </w:p>
        </w:tc>
        <w:tc>
          <w:tcPr>
            <w:tcW w:w="1277" w:type="dxa"/>
            <w:tcBorders>
              <w:top w:val="single" w:sz="5" w:space="0" w:color="000000"/>
              <w:left w:val="single" w:sz="5" w:space="0" w:color="000000"/>
              <w:bottom w:val="single" w:sz="5" w:space="0" w:color="000000"/>
              <w:right w:val="single" w:sz="12" w:space="0" w:color="000000"/>
            </w:tcBorders>
          </w:tcPr>
          <w:p w14:paraId="0C4C8459"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Resolved</w:t>
            </w:r>
          </w:p>
        </w:tc>
      </w:tr>
      <w:tr w:rsidR="00957F89" w:rsidRPr="00C73849" w14:paraId="676EA8DC" w14:textId="77777777">
        <w:trPr>
          <w:trHeight w:hRule="exact" w:val="240"/>
        </w:trPr>
        <w:tc>
          <w:tcPr>
            <w:tcW w:w="1385" w:type="dxa"/>
            <w:tcBorders>
              <w:top w:val="single" w:sz="5" w:space="0" w:color="000000"/>
              <w:left w:val="single" w:sz="12" w:space="0" w:color="000000"/>
              <w:bottom w:val="single" w:sz="5" w:space="0" w:color="000000"/>
              <w:right w:val="single" w:sz="5" w:space="0" w:color="000000"/>
            </w:tcBorders>
          </w:tcPr>
          <w:p w14:paraId="7572BDDB" w14:textId="77777777" w:rsidR="00957F89" w:rsidRPr="00C73849" w:rsidRDefault="00D92D87">
            <w:pPr>
              <w:pStyle w:val="TableParagraph"/>
              <w:spacing w:line="222" w:lineRule="exact"/>
              <w:ind w:left="92"/>
              <w:rPr>
                <w:rFonts w:ascii="Times New Roman" w:eastAsia="Times New Roman" w:hAnsi="Times New Roman" w:cs="Times New Roman"/>
                <w:sz w:val="20"/>
                <w:szCs w:val="20"/>
              </w:rPr>
            </w:pPr>
            <w:r w:rsidRPr="00C73849">
              <w:rPr>
                <w:rFonts w:ascii="Times New Roman"/>
                <w:sz w:val="20"/>
              </w:rPr>
              <w:t>BP increased</w:t>
            </w:r>
          </w:p>
        </w:tc>
        <w:tc>
          <w:tcPr>
            <w:tcW w:w="996" w:type="dxa"/>
            <w:tcBorders>
              <w:top w:val="single" w:sz="5" w:space="0" w:color="000000"/>
              <w:left w:val="single" w:sz="5" w:space="0" w:color="000000"/>
              <w:bottom w:val="single" w:sz="5" w:space="0" w:color="000000"/>
              <w:right w:val="single" w:sz="5" w:space="0" w:color="000000"/>
            </w:tcBorders>
          </w:tcPr>
          <w:p w14:paraId="4DEA70B8"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001-0030</w:t>
            </w:r>
          </w:p>
        </w:tc>
        <w:tc>
          <w:tcPr>
            <w:tcW w:w="905" w:type="dxa"/>
            <w:tcBorders>
              <w:top w:val="single" w:sz="5" w:space="0" w:color="000000"/>
              <w:left w:val="single" w:sz="5" w:space="0" w:color="000000"/>
              <w:bottom w:val="single" w:sz="5" w:space="0" w:color="000000"/>
              <w:right w:val="single" w:sz="5" w:space="0" w:color="000000"/>
            </w:tcBorders>
          </w:tcPr>
          <w:p w14:paraId="35F32DEB"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No</w:t>
            </w:r>
          </w:p>
        </w:tc>
        <w:tc>
          <w:tcPr>
            <w:tcW w:w="1188" w:type="dxa"/>
            <w:tcBorders>
              <w:top w:val="single" w:sz="5" w:space="0" w:color="000000"/>
              <w:left w:val="single" w:sz="5" w:space="0" w:color="000000"/>
              <w:bottom w:val="single" w:sz="5" w:space="0" w:color="000000"/>
              <w:right w:val="single" w:sz="5" w:space="0" w:color="000000"/>
            </w:tcBorders>
          </w:tcPr>
          <w:p w14:paraId="4D355980"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1 min</w:t>
            </w:r>
          </w:p>
        </w:tc>
        <w:tc>
          <w:tcPr>
            <w:tcW w:w="1061" w:type="dxa"/>
            <w:tcBorders>
              <w:top w:val="single" w:sz="5" w:space="0" w:color="000000"/>
              <w:left w:val="single" w:sz="5" w:space="0" w:color="000000"/>
              <w:bottom w:val="single" w:sz="5" w:space="0" w:color="000000"/>
              <w:right w:val="single" w:sz="5" w:space="0" w:color="000000"/>
            </w:tcBorders>
          </w:tcPr>
          <w:p w14:paraId="12B76822"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3 min</w:t>
            </w:r>
          </w:p>
        </w:tc>
        <w:tc>
          <w:tcPr>
            <w:tcW w:w="994" w:type="dxa"/>
            <w:tcBorders>
              <w:top w:val="single" w:sz="5" w:space="0" w:color="000000"/>
              <w:left w:val="single" w:sz="5" w:space="0" w:color="000000"/>
              <w:bottom w:val="single" w:sz="5" w:space="0" w:color="000000"/>
              <w:right w:val="single" w:sz="5" w:space="0" w:color="000000"/>
            </w:tcBorders>
          </w:tcPr>
          <w:p w14:paraId="212291A8"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Mild</w:t>
            </w:r>
          </w:p>
        </w:tc>
        <w:tc>
          <w:tcPr>
            <w:tcW w:w="1380" w:type="dxa"/>
            <w:tcBorders>
              <w:top w:val="single" w:sz="5" w:space="0" w:color="000000"/>
              <w:left w:val="single" w:sz="5" w:space="0" w:color="000000"/>
              <w:bottom w:val="single" w:sz="5" w:space="0" w:color="000000"/>
              <w:right w:val="single" w:sz="5" w:space="0" w:color="000000"/>
            </w:tcBorders>
          </w:tcPr>
          <w:p w14:paraId="463AA170"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Suspected</w:t>
            </w:r>
          </w:p>
        </w:tc>
        <w:tc>
          <w:tcPr>
            <w:tcW w:w="1277" w:type="dxa"/>
            <w:tcBorders>
              <w:top w:val="single" w:sz="5" w:space="0" w:color="000000"/>
              <w:left w:val="single" w:sz="5" w:space="0" w:color="000000"/>
              <w:bottom w:val="single" w:sz="5" w:space="0" w:color="000000"/>
              <w:right w:val="single" w:sz="12" w:space="0" w:color="000000"/>
            </w:tcBorders>
          </w:tcPr>
          <w:p w14:paraId="5250237F" w14:textId="77777777" w:rsidR="00957F89" w:rsidRPr="00C73849" w:rsidRDefault="00D92D87">
            <w:pPr>
              <w:pStyle w:val="TableParagraph"/>
              <w:spacing w:line="222" w:lineRule="exact"/>
              <w:ind w:left="103"/>
              <w:rPr>
                <w:rFonts w:ascii="Times New Roman" w:eastAsia="Times New Roman" w:hAnsi="Times New Roman" w:cs="Times New Roman"/>
                <w:sz w:val="20"/>
                <w:szCs w:val="20"/>
              </w:rPr>
            </w:pPr>
            <w:r w:rsidRPr="00C73849">
              <w:rPr>
                <w:rFonts w:ascii="Times New Roman"/>
                <w:sz w:val="20"/>
              </w:rPr>
              <w:t>Resolved</w:t>
            </w:r>
          </w:p>
        </w:tc>
      </w:tr>
      <w:tr w:rsidR="00957F89" w:rsidRPr="00C73849" w14:paraId="0436CB8A" w14:textId="77777777">
        <w:trPr>
          <w:trHeight w:hRule="exact" w:val="468"/>
        </w:trPr>
        <w:tc>
          <w:tcPr>
            <w:tcW w:w="1385" w:type="dxa"/>
            <w:tcBorders>
              <w:top w:val="single" w:sz="5" w:space="0" w:color="000000"/>
              <w:left w:val="single" w:sz="12" w:space="0" w:color="000000"/>
              <w:bottom w:val="single" w:sz="5" w:space="0" w:color="000000"/>
              <w:right w:val="single" w:sz="5" w:space="0" w:color="000000"/>
            </w:tcBorders>
          </w:tcPr>
          <w:p w14:paraId="1B50E514" w14:textId="77777777" w:rsidR="00957F89" w:rsidRPr="00C73849" w:rsidRDefault="00D92D87">
            <w:pPr>
              <w:pStyle w:val="TableParagraph"/>
              <w:spacing w:line="238" w:lineRule="auto"/>
              <w:ind w:left="92" w:right="297"/>
              <w:rPr>
                <w:rFonts w:ascii="Times New Roman" w:eastAsia="Times New Roman" w:hAnsi="Times New Roman" w:cs="Times New Roman"/>
                <w:sz w:val="20"/>
                <w:szCs w:val="20"/>
              </w:rPr>
            </w:pPr>
            <w:r w:rsidRPr="00C73849">
              <w:rPr>
                <w:rFonts w:ascii="Times New Roman"/>
                <w:sz w:val="20"/>
              </w:rPr>
              <w:t>BP diastolic</w:t>
            </w:r>
            <w:r w:rsidRPr="00C73849">
              <w:rPr>
                <w:rFonts w:ascii="Times New Roman"/>
                <w:w w:val="99"/>
                <w:sz w:val="20"/>
              </w:rPr>
              <w:t xml:space="preserve"> </w:t>
            </w:r>
            <w:r w:rsidRPr="00C73849">
              <w:rPr>
                <w:rFonts w:ascii="Times New Roman"/>
                <w:sz w:val="20"/>
              </w:rPr>
              <w:t>increased</w:t>
            </w:r>
          </w:p>
        </w:tc>
        <w:tc>
          <w:tcPr>
            <w:tcW w:w="996" w:type="dxa"/>
            <w:tcBorders>
              <w:top w:val="single" w:sz="5" w:space="0" w:color="000000"/>
              <w:left w:val="single" w:sz="5" w:space="0" w:color="000000"/>
              <w:bottom w:val="single" w:sz="5" w:space="0" w:color="000000"/>
              <w:right w:val="single" w:sz="5" w:space="0" w:color="000000"/>
            </w:tcBorders>
          </w:tcPr>
          <w:p w14:paraId="0970EBFD"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001-0030</w:t>
            </w:r>
          </w:p>
        </w:tc>
        <w:tc>
          <w:tcPr>
            <w:tcW w:w="905" w:type="dxa"/>
            <w:tcBorders>
              <w:top w:val="single" w:sz="5" w:space="0" w:color="000000"/>
              <w:left w:val="single" w:sz="5" w:space="0" w:color="000000"/>
              <w:bottom w:val="single" w:sz="5" w:space="0" w:color="000000"/>
              <w:right w:val="single" w:sz="5" w:space="0" w:color="000000"/>
            </w:tcBorders>
          </w:tcPr>
          <w:p w14:paraId="4C19F378"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No</w:t>
            </w:r>
          </w:p>
        </w:tc>
        <w:tc>
          <w:tcPr>
            <w:tcW w:w="1188" w:type="dxa"/>
            <w:tcBorders>
              <w:top w:val="single" w:sz="5" w:space="0" w:color="000000"/>
              <w:left w:val="single" w:sz="5" w:space="0" w:color="000000"/>
              <w:bottom w:val="single" w:sz="5" w:space="0" w:color="000000"/>
              <w:right w:val="single" w:sz="5" w:space="0" w:color="000000"/>
            </w:tcBorders>
          </w:tcPr>
          <w:p w14:paraId="1A9E2307"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5 min</w:t>
            </w:r>
          </w:p>
        </w:tc>
        <w:tc>
          <w:tcPr>
            <w:tcW w:w="1061" w:type="dxa"/>
            <w:tcBorders>
              <w:top w:val="single" w:sz="5" w:space="0" w:color="000000"/>
              <w:left w:val="single" w:sz="5" w:space="0" w:color="000000"/>
              <w:bottom w:val="single" w:sz="5" w:space="0" w:color="000000"/>
              <w:right w:val="single" w:sz="5" w:space="0" w:color="000000"/>
            </w:tcBorders>
          </w:tcPr>
          <w:p w14:paraId="3FB2949E"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1 min</w:t>
            </w:r>
          </w:p>
        </w:tc>
        <w:tc>
          <w:tcPr>
            <w:tcW w:w="994" w:type="dxa"/>
            <w:tcBorders>
              <w:top w:val="single" w:sz="5" w:space="0" w:color="000000"/>
              <w:left w:val="single" w:sz="5" w:space="0" w:color="000000"/>
              <w:bottom w:val="single" w:sz="5" w:space="0" w:color="000000"/>
              <w:right w:val="single" w:sz="5" w:space="0" w:color="000000"/>
            </w:tcBorders>
          </w:tcPr>
          <w:p w14:paraId="40FC3968"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Mild</w:t>
            </w:r>
          </w:p>
        </w:tc>
        <w:tc>
          <w:tcPr>
            <w:tcW w:w="1380" w:type="dxa"/>
            <w:tcBorders>
              <w:top w:val="single" w:sz="5" w:space="0" w:color="000000"/>
              <w:left w:val="single" w:sz="5" w:space="0" w:color="000000"/>
              <w:bottom w:val="single" w:sz="5" w:space="0" w:color="000000"/>
              <w:right w:val="single" w:sz="5" w:space="0" w:color="000000"/>
            </w:tcBorders>
          </w:tcPr>
          <w:p w14:paraId="2733139D"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Suspected</w:t>
            </w:r>
          </w:p>
        </w:tc>
        <w:tc>
          <w:tcPr>
            <w:tcW w:w="1277" w:type="dxa"/>
            <w:tcBorders>
              <w:top w:val="single" w:sz="5" w:space="0" w:color="000000"/>
              <w:left w:val="single" w:sz="5" w:space="0" w:color="000000"/>
              <w:bottom w:val="single" w:sz="5" w:space="0" w:color="000000"/>
              <w:right w:val="single" w:sz="12" w:space="0" w:color="000000"/>
            </w:tcBorders>
          </w:tcPr>
          <w:p w14:paraId="6D8436CA"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Resolved</w:t>
            </w:r>
          </w:p>
        </w:tc>
      </w:tr>
      <w:tr w:rsidR="00957F89" w:rsidRPr="00C73849" w14:paraId="1F97F47D" w14:textId="77777777">
        <w:trPr>
          <w:trHeight w:hRule="exact" w:val="240"/>
        </w:trPr>
        <w:tc>
          <w:tcPr>
            <w:tcW w:w="9185" w:type="dxa"/>
            <w:gridSpan w:val="8"/>
            <w:tcBorders>
              <w:top w:val="single" w:sz="5" w:space="0" w:color="000000"/>
              <w:left w:val="single" w:sz="12" w:space="0" w:color="000000"/>
              <w:bottom w:val="single" w:sz="5" w:space="0" w:color="000000"/>
              <w:right w:val="single" w:sz="12" w:space="0" w:color="000000"/>
            </w:tcBorders>
          </w:tcPr>
          <w:p w14:paraId="452B0CD4" w14:textId="77777777" w:rsidR="00957F89" w:rsidRPr="00C73849" w:rsidRDefault="00D92D87">
            <w:pPr>
              <w:pStyle w:val="TableParagraph"/>
              <w:spacing w:line="227" w:lineRule="exact"/>
              <w:ind w:left="92"/>
              <w:rPr>
                <w:rFonts w:ascii="Times New Roman" w:eastAsia="Times New Roman" w:hAnsi="Times New Roman" w:cs="Times New Roman"/>
                <w:sz w:val="20"/>
                <w:szCs w:val="20"/>
              </w:rPr>
            </w:pPr>
            <w:r w:rsidRPr="00C73849">
              <w:rPr>
                <w:rFonts w:ascii="Times New Roman"/>
                <w:b/>
                <w:sz w:val="20"/>
              </w:rPr>
              <w:t>Placebo</w:t>
            </w:r>
          </w:p>
        </w:tc>
      </w:tr>
      <w:tr w:rsidR="00957F89" w:rsidRPr="00C73849" w14:paraId="1EF3F55A" w14:textId="77777777">
        <w:trPr>
          <w:trHeight w:hRule="exact" w:val="470"/>
        </w:trPr>
        <w:tc>
          <w:tcPr>
            <w:tcW w:w="1385" w:type="dxa"/>
            <w:tcBorders>
              <w:top w:val="single" w:sz="5" w:space="0" w:color="000000"/>
              <w:left w:val="single" w:sz="12" w:space="0" w:color="000000"/>
              <w:bottom w:val="single" w:sz="5" w:space="0" w:color="000000"/>
              <w:right w:val="single" w:sz="5" w:space="0" w:color="000000"/>
            </w:tcBorders>
          </w:tcPr>
          <w:p w14:paraId="238B203A" w14:textId="77777777" w:rsidR="00957F89" w:rsidRPr="00C73849" w:rsidRDefault="00D92D87">
            <w:pPr>
              <w:pStyle w:val="TableParagraph"/>
              <w:ind w:left="92" w:right="265"/>
              <w:rPr>
                <w:rFonts w:ascii="Times New Roman" w:eastAsia="Times New Roman" w:hAnsi="Times New Roman" w:cs="Times New Roman"/>
                <w:sz w:val="20"/>
                <w:szCs w:val="20"/>
              </w:rPr>
            </w:pPr>
            <w:r w:rsidRPr="00C73849">
              <w:rPr>
                <w:rFonts w:ascii="Times New Roman"/>
                <w:sz w:val="20"/>
              </w:rPr>
              <w:t>Catheter site</w:t>
            </w:r>
            <w:r w:rsidRPr="00C73849">
              <w:rPr>
                <w:rFonts w:ascii="Times New Roman"/>
                <w:w w:val="99"/>
                <w:sz w:val="20"/>
              </w:rPr>
              <w:t xml:space="preserve"> </w:t>
            </w:r>
            <w:r w:rsidRPr="00C73849">
              <w:rPr>
                <w:rFonts w:ascii="Times New Roman"/>
                <w:sz w:val="20"/>
              </w:rPr>
              <w:t>pain</w:t>
            </w:r>
          </w:p>
        </w:tc>
        <w:tc>
          <w:tcPr>
            <w:tcW w:w="996" w:type="dxa"/>
            <w:tcBorders>
              <w:top w:val="single" w:sz="5" w:space="0" w:color="000000"/>
              <w:left w:val="single" w:sz="5" w:space="0" w:color="000000"/>
              <w:bottom w:val="single" w:sz="5" w:space="0" w:color="000000"/>
              <w:right w:val="single" w:sz="5" w:space="0" w:color="000000"/>
            </w:tcBorders>
          </w:tcPr>
          <w:p w14:paraId="2B60091E"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001-0011</w:t>
            </w:r>
          </w:p>
        </w:tc>
        <w:tc>
          <w:tcPr>
            <w:tcW w:w="905" w:type="dxa"/>
            <w:tcBorders>
              <w:top w:val="single" w:sz="5" w:space="0" w:color="000000"/>
              <w:left w:val="single" w:sz="5" w:space="0" w:color="000000"/>
              <w:bottom w:val="single" w:sz="5" w:space="0" w:color="000000"/>
              <w:right w:val="single" w:sz="5" w:space="0" w:color="000000"/>
            </w:tcBorders>
          </w:tcPr>
          <w:p w14:paraId="1E4A98A5"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No</w:t>
            </w:r>
          </w:p>
        </w:tc>
        <w:tc>
          <w:tcPr>
            <w:tcW w:w="1188" w:type="dxa"/>
            <w:tcBorders>
              <w:top w:val="single" w:sz="5" w:space="0" w:color="000000"/>
              <w:left w:val="single" w:sz="5" w:space="0" w:color="000000"/>
              <w:bottom w:val="single" w:sz="5" w:space="0" w:color="000000"/>
              <w:right w:val="single" w:sz="5" w:space="0" w:color="000000"/>
            </w:tcBorders>
          </w:tcPr>
          <w:p w14:paraId="2ECEB621"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40 min</w:t>
            </w:r>
          </w:p>
        </w:tc>
        <w:tc>
          <w:tcPr>
            <w:tcW w:w="1061" w:type="dxa"/>
            <w:tcBorders>
              <w:top w:val="single" w:sz="5" w:space="0" w:color="000000"/>
              <w:left w:val="single" w:sz="5" w:space="0" w:color="000000"/>
              <w:bottom w:val="single" w:sz="5" w:space="0" w:color="000000"/>
              <w:right w:val="single" w:sz="5" w:space="0" w:color="000000"/>
            </w:tcBorders>
          </w:tcPr>
          <w:p w14:paraId="4B2DCEB4"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10 min</w:t>
            </w:r>
          </w:p>
        </w:tc>
        <w:tc>
          <w:tcPr>
            <w:tcW w:w="994" w:type="dxa"/>
            <w:tcBorders>
              <w:top w:val="single" w:sz="5" w:space="0" w:color="000000"/>
              <w:left w:val="single" w:sz="5" w:space="0" w:color="000000"/>
              <w:bottom w:val="single" w:sz="5" w:space="0" w:color="000000"/>
              <w:right w:val="single" w:sz="5" w:space="0" w:color="000000"/>
            </w:tcBorders>
          </w:tcPr>
          <w:p w14:paraId="375FAA81"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Mild</w:t>
            </w:r>
          </w:p>
        </w:tc>
        <w:tc>
          <w:tcPr>
            <w:tcW w:w="1380" w:type="dxa"/>
            <w:tcBorders>
              <w:top w:val="single" w:sz="5" w:space="0" w:color="000000"/>
              <w:left w:val="single" w:sz="5" w:space="0" w:color="000000"/>
              <w:bottom w:val="single" w:sz="5" w:space="0" w:color="000000"/>
              <w:right w:val="single" w:sz="5" w:space="0" w:color="000000"/>
            </w:tcBorders>
          </w:tcPr>
          <w:p w14:paraId="6C1CEBE8"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Not suspected</w:t>
            </w:r>
          </w:p>
        </w:tc>
        <w:tc>
          <w:tcPr>
            <w:tcW w:w="1277" w:type="dxa"/>
            <w:tcBorders>
              <w:top w:val="single" w:sz="5" w:space="0" w:color="000000"/>
              <w:left w:val="single" w:sz="5" w:space="0" w:color="000000"/>
              <w:bottom w:val="single" w:sz="5" w:space="0" w:color="000000"/>
              <w:right w:val="single" w:sz="12" w:space="0" w:color="000000"/>
            </w:tcBorders>
          </w:tcPr>
          <w:p w14:paraId="2C930357"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Resolved</w:t>
            </w:r>
          </w:p>
        </w:tc>
      </w:tr>
      <w:tr w:rsidR="00957F89" w:rsidRPr="00C73849" w14:paraId="2297D562" w14:textId="77777777">
        <w:trPr>
          <w:trHeight w:hRule="exact" w:val="240"/>
        </w:trPr>
        <w:tc>
          <w:tcPr>
            <w:tcW w:w="1385" w:type="dxa"/>
            <w:tcBorders>
              <w:top w:val="single" w:sz="5" w:space="0" w:color="000000"/>
              <w:left w:val="single" w:sz="12" w:space="0" w:color="000000"/>
              <w:bottom w:val="single" w:sz="5" w:space="0" w:color="000000"/>
              <w:right w:val="single" w:sz="5" w:space="0" w:color="000000"/>
            </w:tcBorders>
          </w:tcPr>
          <w:p w14:paraId="101841E2" w14:textId="77777777" w:rsidR="00957F89" w:rsidRPr="00C73849" w:rsidRDefault="00D92D87">
            <w:pPr>
              <w:pStyle w:val="TableParagraph"/>
              <w:spacing w:line="222" w:lineRule="exact"/>
              <w:ind w:left="92"/>
              <w:rPr>
                <w:rFonts w:ascii="Times New Roman" w:eastAsia="Times New Roman" w:hAnsi="Times New Roman" w:cs="Times New Roman"/>
                <w:sz w:val="20"/>
                <w:szCs w:val="20"/>
              </w:rPr>
            </w:pPr>
            <w:r w:rsidRPr="00C73849">
              <w:rPr>
                <w:rFonts w:ascii="Times New Roman"/>
                <w:sz w:val="20"/>
              </w:rPr>
              <w:t>Dizziness</w:t>
            </w:r>
          </w:p>
        </w:tc>
        <w:tc>
          <w:tcPr>
            <w:tcW w:w="996" w:type="dxa"/>
            <w:tcBorders>
              <w:top w:val="single" w:sz="5" w:space="0" w:color="000000"/>
              <w:left w:val="single" w:sz="5" w:space="0" w:color="000000"/>
              <w:bottom w:val="single" w:sz="5" w:space="0" w:color="000000"/>
              <w:right w:val="single" w:sz="5" w:space="0" w:color="000000"/>
            </w:tcBorders>
          </w:tcPr>
          <w:p w14:paraId="0DA439D2" w14:textId="77777777" w:rsidR="00957F89" w:rsidRPr="00C73849" w:rsidRDefault="00D92D87">
            <w:pPr>
              <w:pStyle w:val="TableParagraph"/>
              <w:spacing w:line="222" w:lineRule="exact"/>
              <w:ind w:left="103"/>
              <w:rPr>
                <w:rFonts w:ascii="Times New Roman" w:eastAsia="Times New Roman" w:hAnsi="Times New Roman" w:cs="Times New Roman"/>
                <w:sz w:val="20"/>
                <w:szCs w:val="20"/>
              </w:rPr>
            </w:pPr>
            <w:r w:rsidRPr="00C73849">
              <w:rPr>
                <w:rFonts w:ascii="Times New Roman"/>
                <w:sz w:val="20"/>
              </w:rPr>
              <w:t>001-0011</w:t>
            </w:r>
          </w:p>
        </w:tc>
        <w:tc>
          <w:tcPr>
            <w:tcW w:w="905" w:type="dxa"/>
            <w:tcBorders>
              <w:top w:val="single" w:sz="5" w:space="0" w:color="000000"/>
              <w:left w:val="single" w:sz="5" w:space="0" w:color="000000"/>
              <w:bottom w:val="single" w:sz="5" w:space="0" w:color="000000"/>
              <w:right w:val="single" w:sz="5" w:space="0" w:color="000000"/>
            </w:tcBorders>
          </w:tcPr>
          <w:p w14:paraId="704AE209"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No</w:t>
            </w:r>
          </w:p>
        </w:tc>
        <w:tc>
          <w:tcPr>
            <w:tcW w:w="1188" w:type="dxa"/>
            <w:tcBorders>
              <w:top w:val="single" w:sz="5" w:space="0" w:color="000000"/>
              <w:left w:val="single" w:sz="5" w:space="0" w:color="000000"/>
              <w:bottom w:val="single" w:sz="5" w:space="0" w:color="000000"/>
              <w:right w:val="single" w:sz="5" w:space="0" w:color="000000"/>
            </w:tcBorders>
          </w:tcPr>
          <w:p w14:paraId="03CE6EAE"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12 h 10 min</w:t>
            </w:r>
          </w:p>
        </w:tc>
        <w:tc>
          <w:tcPr>
            <w:tcW w:w="1061" w:type="dxa"/>
            <w:tcBorders>
              <w:top w:val="single" w:sz="5" w:space="0" w:color="000000"/>
              <w:left w:val="single" w:sz="5" w:space="0" w:color="000000"/>
              <w:bottom w:val="single" w:sz="5" w:space="0" w:color="000000"/>
              <w:right w:val="single" w:sz="5" w:space="0" w:color="000000"/>
            </w:tcBorders>
          </w:tcPr>
          <w:p w14:paraId="2178C2FC"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30 min</w:t>
            </w:r>
          </w:p>
        </w:tc>
        <w:tc>
          <w:tcPr>
            <w:tcW w:w="994" w:type="dxa"/>
            <w:tcBorders>
              <w:top w:val="single" w:sz="5" w:space="0" w:color="000000"/>
              <w:left w:val="single" w:sz="5" w:space="0" w:color="000000"/>
              <w:bottom w:val="single" w:sz="5" w:space="0" w:color="000000"/>
              <w:right w:val="single" w:sz="5" w:space="0" w:color="000000"/>
            </w:tcBorders>
          </w:tcPr>
          <w:p w14:paraId="30DCF2BF"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Mild</w:t>
            </w:r>
          </w:p>
        </w:tc>
        <w:tc>
          <w:tcPr>
            <w:tcW w:w="1380" w:type="dxa"/>
            <w:tcBorders>
              <w:top w:val="single" w:sz="5" w:space="0" w:color="000000"/>
              <w:left w:val="single" w:sz="5" w:space="0" w:color="000000"/>
              <w:bottom w:val="single" w:sz="5" w:space="0" w:color="000000"/>
              <w:right w:val="single" w:sz="5" w:space="0" w:color="000000"/>
            </w:tcBorders>
          </w:tcPr>
          <w:p w14:paraId="275961E1"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Not suspected</w:t>
            </w:r>
          </w:p>
        </w:tc>
        <w:tc>
          <w:tcPr>
            <w:tcW w:w="1277" w:type="dxa"/>
            <w:tcBorders>
              <w:top w:val="single" w:sz="5" w:space="0" w:color="000000"/>
              <w:left w:val="single" w:sz="5" w:space="0" w:color="000000"/>
              <w:bottom w:val="single" w:sz="5" w:space="0" w:color="000000"/>
              <w:right w:val="single" w:sz="12" w:space="0" w:color="000000"/>
            </w:tcBorders>
          </w:tcPr>
          <w:p w14:paraId="2B0CBC12"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Resolved</w:t>
            </w:r>
          </w:p>
        </w:tc>
      </w:tr>
      <w:tr w:rsidR="00957F89" w:rsidRPr="00C73849" w14:paraId="4E4FA106" w14:textId="77777777">
        <w:trPr>
          <w:trHeight w:hRule="exact" w:val="470"/>
        </w:trPr>
        <w:tc>
          <w:tcPr>
            <w:tcW w:w="1385" w:type="dxa"/>
            <w:tcBorders>
              <w:top w:val="single" w:sz="5" w:space="0" w:color="000000"/>
              <w:left w:val="single" w:sz="12" w:space="0" w:color="000000"/>
              <w:bottom w:val="single" w:sz="5" w:space="0" w:color="000000"/>
              <w:right w:val="single" w:sz="5" w:space="0" w:color="000000"/>
            </w:tcBorders>
          </w:tcPr>
          <w:p w14:paraId="35E1D816" w14:textId="77777777" w:rsidR="00957F89" w:rsidRPr="00C73849" w:rsidRDefault="00D92D87">
            <w:pPr>
              <w:pStyle w:val="TableParagraph"/>
              <w:ind w:left="92" w:right="231"/>
              <w:rPr>
                <w:rFonts w:ascii="Times New Roman" w:eastAsia="Times New Roman" w:hAnsi="Times New Roman" w:cs="Times New Roman"/>
                <w:sz w:val="20"/>
                <w:szCs w:val="20"/>
              </w:rPr>
            </w:pPr>
            <w:r w:rsidRPr="00C73849">
              <w:rPr>
                <w:rFonts w:ascii="Times New Roman"/>
                <w:sz w:val="20"/>
              </w:rPr>
              <w:t>Injection site</w:t>
            </w:r>
            <w:r w:rsidRPr="00C73849">
              <w:rPr>
                <w:rFonts w:ascii="Times New Roman"/>
                <w:w w:val="99"/>
                <w:sz w:val="20"/>
              </w:rPr>
              <w:t xml:space="preserve"> </w:t>
            </w:r>
            <w:r w:rsidR="00625E37" w:rsidRPr="00C73849">
              <w:rPr>
                <w:rFonts w:ascii="Times New Roman"/>
                <w:sz w:val="20"/>
              </w:rPr>
              <w:t>hematoma</w:t>
            </w:r>
          </w:p>
        </w:tc>
        <w:tc>
          <w:tcPr>
            <w:tcW w:w="996" w:type="dxa"/>
            <w:tcBorders>
              <w:top w:val="single" w:sz="5" w:space="0" w:color="000000"/>
              <w:left w:val="single" w:sz="5" w:space="0" w:color="000000"/>
              <w:bottom w:val="single" w:sz="5" w:space="0" w:color="000000"/>
              <w:right w:val="single" w:sz="5" w:space="0" w:color="000000"/>
            </w:tcBorders>
          </w:tcPr>
          <w:p w14:paraId="342B8269"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001-0011</w:t>
            </w:r>
          </w:p>
        </w:tc>
        <w:tc>
          <w:tcPr>
            <w:tcW w:w="905" w:type="dxa"/>
            <w:tcBorders>
              <w:top w:val="single" w:sz="5" w:space="0" w:color="000000"/>
              <w:left w:val="single" w:sz="5" w:space="0" w:color="000000"/>
              <w:bottom w:val="single" w:sz="5" w:space="0" w:color="000000"/>
              <w:right w:val="single" w:sz="5" w:space="0" w:color="000000"/>
            </w:tcBorders>
          </w:tcPr>
          <w:p w14:paraId="0436B563" w14:textId="77777777" w:rsidR="00957F89" w:rsidRPr="00C73849" w:rsidRDefault="00D92D87">
            <w:pPr>
              <w:pStyle w:val="TableParagraph"/>
              <w:spacing w:line="222" w:lineRule="exact"/>
              <w:ind w:left="98"/>
              <w:rPr>
                <w:rFonts w:ascii="Times New Roman" w:eastAsia="Times New Roman" w:hAnsi="Times New Roman" w:cs="Times New Roman"/>
                <w:sz w:val="20"/>
                <w:szCs w:val="20"/>
              </w:rPr>
            </w:pPr>
            <w:r w:rsidRPr="00C73849">
              <w:rPr>
                <w:rFonts w:ascii="Times New Roman"/>
                <w:sz w:val="20"/>
              </w:rPr>
              <w:t>No</w:t>
            </w:r>
          </w:p>
        </w:tc>
        <w:tc>
          <w:tcPr>
            <w:tcW w:w="1188" w:type="dxa"/>
            <w:tcBorders>
              <w:top w:val="single" w:sz="5" w:space="0" w:color="000000"/>
              <w:left w:val="single" w:sz="5" w:space="0" w:color="000000"/>
              <w:bottom w:val="single" w:sz="5" w:space="0" w:color="000000"/>
              <w:right w:val="single" w:sz="5" w:space="0" w:color="000000"/>
            </w:tcBorders>
          </w:tcPr>
          <w:p w14:paraId="41D95621" w14:textId="77777777" w:rsidR="00957F89" w:rsidRPr="00C73849" w:rsidRDefault="00D92D87">
            <w:pPr>
              <w:pStyle w:val="TableParagraph"/>
              <w:spacing w:line="222" w:lineRule="exact"/>
              <w:ind w:left="98"/>
              <w:rPr>
                <w:rFonts w:ascii="Times New Roman" w:eastAsia="Times New Roman" w:hAnsi="Times New Roman" w:cs="Times New Roman"/>
                <w:sz w:val="20"/>
                <w:szCs w:val="20"/>
              </w:rPr>
            </w:pPr>
            <w:r w:rsidRPr="00C73849">
              <w:rPr>
                <w:rFonts w:ascii="Times New Roman"/>
                <w:sz w:val="20"/>
              </w:rPr>
              <w:t>UNK</w:t>
            </w:r>
          </w:p>
        </w:tc>
        <w:tc>
          <w:tcPr>
            <w:tcW w:w="1061" w:type="dxa"/>
            <w:tcBorders>
              <w:top w:val="single" w:sz="5" w:space="0" w:color="000000"/>
              <w:left w:val="single" w:sz="5" w:space="0" w:color="000000"/>
              <w:bottom w:val="single" w:sz="5" w:space="0" w:color="000000"/>
              <w:right w:val="single" w:sz="5" w:space="0" w:color="000000"/>
            </w:tcBorders>
          </w:tcPr>
          <w:p w14:paraId="49CA0E8C" w14:textId="77777777" w:rsidR="00957F89" w:rsidRPr="00C73849" w:rsidRDefault="00D92D87">
            <w:pPr>
              <w:pStyle w:val="TableParagraph"/>
              <w:spacing w:line="222" w:lineRule="exact"/>
              <w:ind w:left="99"/>
              <w:rPr>
                <w:rFonts w:ascii="Times New Roman" w:eastAsia="Times New Roman" w:hAnsi="Times New Roman" w:cs="Times New Roman"/>
                <w:sz w:val="20"/>
                <w:szCs w:val="20"/>
              </w:rPr>
            </w:pPr>
            <w:r w:rsidRPr="00C73849">
              <w:rPr>
                <w:rFonts w:ascii="Times New Roman"/>
                <w:sz w:val="20"/>
              </w:rPr>
              <w:t>Ongoing</w:t>
            </w:r>
          </w:p>
        </w:tc>
        <w:tc>
          <w:tcPr>
            <w:tcW w:w="994" w:type="dxa"/>
            <w:tcBorders>
              <w:top w:val="single" w:sz="5" w:space="0" w:color="000000"/>
              <w:left w:val="single" w:sz="5" w:space="0" w:color="000000"/>
              <w:bottom w:val="single" w:sz="5" w:space="0" w:color="000000"/>
              <w:right w:val="single" w:sz="5" w:space="0" w:color="000000"/>
            </w:tcBorders>
          </w:tcPr>
          <w:p w14:paraId="679CF38A" w14:textId="77777777" w:rsidR="00957F89" w:rsidRPr="00C73849" w:rsidRDefault="00D92D87">
            <w:pPr>
              <w:pStyle w:val="TableParagraph"/>
              <w:spacing w:line="222" w:lineRule="exact"/>
              <w:ind w:left="98"/>
              <w:rPr>
                <w:rFonts w:ascii="Times New Roman" w:eastAsia="Times New Roman" w:hAnsi="Times New Roman" w:cs="Times New Roman"/>
                <w:sz w:val="20"/>
                <w:szCs w:val="20"/>
              </w:rPr>
            </w:pPr>
            <w:r w:rsidRPr="00C73849">
              <w:rPr>
                <w:rFonts w:ascii="Times New Roman"/>
                <w:sz w:val="20"/>
              </w:rPr>
              <w:t>Mild</w:t>
            </w:r>
          </w:p>
        </w:tc>
        <w:tc>
          <w:tcPr>
            <w:tcW w:w="1380" w:type="dxa"/>
            <w:tcBorders>
              <w:top w:val="single" w:sz="5" w:space="0" w:color="000000"/>
              <w:left w:val="single" w:sz="5" w:space="0" w:color="000000"/>
              <w:bottom w:val="single" w:sz="5" w:space="0" w:color="000000"/>
              <w:right w:val="single" w:sz="5" w:space="0" w:color="000000"/>
            </w:tcBorders>
          </w:tcPr>
          <w:p w14:paraId="0B37D771" w14:textId="77777777" w:rsidR="00957F89" w:rsidRPr="00C73849" w:rsidRDefault="00D92D87">
            <w:pPr>
              <w:pStyle w:val="TableParagraph"/>
              <w:spacing w:line="222" w:lineRule="exact"/>
              <w:ind w:left="99"/>
              <w:rPr>
                <w:rFonts w:ascii="Times New Roman" w:eastAsia="Times New Roman" w:hAnsi="Times New Roman" w:cs="Times New Roman"/>
                <w:sz w:val="20"/>
                <w:szCs w:val="20"/>
              </w:rPr>
            </w:pPr>
            <w:r w:rsidRPr="00C73849">
              <w:rPr>
                <w:rFonts w:ascii="Times New Roman"/>
                <w:sz w:val="20"/>
              </w:rPr>
              <w:t>Not suspected</w:t>
            </w:r>
          </w:p>
        </w:tc>
        <w:tc>
          <w:tcPr>
            <w:tcW w:w="1277" w:type="dxa"/>
            <w:tcBorders>
              <w:top w:val="single" w:sz="5" w:space="0" w:color="000000"/>
              <w:left w:val="single" w:sz="5" w:space="0" w:color="000000"/>
              <w:bottom w:val="single" w:sz="5" w:space="0" w:color="000000"/>
              <w:right w:val="single" w:sz="12" w:space="0" w:color="000000"/>
            </w:tcBorders>
          </w:tcPr>
          <w:p w14:paraId="7850C983"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Not resolved</w:t>
            </w:r>
          </w:p>
        </w:tc>
      </w:tr>
      <w:tr w:rsidR="00957F89" w:rsidRPr="00C73849" w14:paraId="13A1A72D" w14:textId="77777777">
        <w:trPr>
          <w:trHeight w:hRule="exact" w:val="470"/>
        </w:trPr>
        <w:tc>
          <w:tcPr>
            <w:tcW w:w="1385" w:type="dxa"/>
            <w:tcBorders>
              <w:top w:val="single" w:sz="5" w:space="0" w:color="000000"/>
              <w:left w:val="single" w:sz="12" w:space="0" w:color="000000"/>
              <w:bottom w:val="single" w:sz="5" w:space="0" w:color="000000"/>
              <w:right w:val="single" w:sz="5" w:space="0" w:color="000000"/>
            </w:tcBorders>
          </w:tcPr>
          <w:p w14:paraId="5FE13586" w14:textId="77777777" w:rsidR="00957F89" w:rsidRPr="00C73849" w:rsidRDefault="00D92D87">
            <w:pPr>
              <w:pStyle w:val="TableParagraph"/>
              <w:ind w:left="92" w:right="132"/>
              <w:rPr>
                <w:rFonts w:ascii="Times New Roman" w:eastAsia="Times New Roman" w:hAnsi="Times New Roman" w:cs="Times New Roman"/>
                <w:sz w:val="20"/>
                <w:szCs w:val="20"/>
              </w:rPr>
            </w:pPr>
            <w:r w:rsidRPr="00C73849">
              <w:rPr>
                <w:rFonts w:ascii="Times New Roman"/>
                <w:sz w:val="20"/>
              </w:rPr>
              <w:t>Pharyngo-</w:t>
            </w:r>
            <w:r w:rsidRPr="00C73849">
              <w:rPr>
                <w:rFonts w:ascii="Times New Roman"/>
                <w:w w:val="99"/>
                <w:sz w:val="20"/>
              </w:rPr>
              <w:t xml:space="preserve"> </w:t>
            </w:r>
            <w:r w:rsidRPr="00C73849">
              <w:rPr>
                <w:rFonts w:ascii="Times New Roman"/>
                <w:sz w:val="20"/>
              </w:rPr>
              <w:t>laryngeal pain</w:t>
            </w:r>
          </w:p>
        </w:tc>
        <w:tc>
          <w:tcPr>
            <w:tcW w:w="996" w:type="dxa"/>
            <w:tcBorders>
              <w:top w:val="single" w:sz="5" w:space="0" w:color="000000"/>
              <w:left w:val="single" w:sz="5" w:space="0" w:color="000000"/>
              <w:bottom w:val="single" w:sz="5" w:space="0" w:color="000000"/>
              <w:right w:val="single" w:sz="5" w:space="0" w:color="000000"/>
            </w:tcBorders>
          </w:tcPr>
          <w:p w14:paraId="5DCF476B"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001-0020</w:t>
            </w:r>
          </w:p>
        </w:tc>
        <w:tc>
          <w:tcPr>
            <w:tcW w:w="905" w:type="dxa"/>
            <w:tcBorders>
              <w:top w:val="single" w:sz="5" w:space="0" w:color="000000"/>
              <w:left w:val="single" w:sz="5" w:space="0" w:color="000000"/>
              <w:bottom w:val="single" w:sz="5" w:space="0" w:color="000000"/>
              <w:right w:val="single" w:sz="5" w:space="0" w:color="000000"/>
            </w:tcBorders>
          </w:tcPr>
          <w:p w14:paraId="73F3C9BB"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No</w:t>
            </w:r>
          </w:p>
        </w:tc>
        <w:tc>
          <w:tcPr>
            <w:tcW w:w="1188" w:type="dxa"/>
            <w:tcBorders>
              <w:top w:val="single" w:sz="5" w:space="0" w:color="000000"/>
              <w:left w:val="single" w:sz="5" w:space="0" w:color="000000"/>
              <w:bottom w:val="single" w:sz="5" w:space="0" w:color="000000"/>
              <w:right w:val="single" w:sz="5" w:space="0" w:color="000000"/>
            </w:tcBorders>
          </w:tcPr>
          <w:p w14:paraId="6A8F006B"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13 h 40 min</w:t>
            </w:r>
          </w:p>
        </w:tc>
        <w:tc>
          <w:tcPr>
            <w:tcW w:w="1061" w:type="dxa"/>
            <w:tcBorders>
              <w:top w:val="single" w:sz="5" w:space="0" w:color="000000"/>
              <w:left w:val="single" w:sz="5" w:space="0" w:color="000000"/>
              <w:bottom w:val="single" w:sz="5" w:space="0" w:color="000000"/>
              <w:right w:val="single" w:sz="5" w:space="0" w:color="000000"/>
            </w:tcBorders>
          </w:tcPr>
          <w:p w14:paraId="0B1001E2" w14:textId="77777777" w:rsidR="00957F89" w:rsidRPr="00C73849" w:rsidRDefault="00D92D87">
            <w:pPr>
              <w:pStyle w:val="TableParagraph"/>
              <w:spacing w:line="222" w:lineRule="exact"/>
              <w:ind w:left="99"/>
              <w:rPr>
                <w:rFonts w:ascii="Times New Roman" w:eastAsia="Times New Roman" w:hAnsi="Times New Roman" w:cs="Times New Roman"/>
                <w:sz w:val="20"/>
                <w:szCs w:val="20"/>
              </w:rPr>
            </w:pPr>
            <w:r w:rsidRPr="00C73849">
              <w:rPr>
                <w:rFonts w:ascii="Times New Roman"/>
                <w:sz w:val="20"/>
              </w:rPr>
              <w:t>Ongoing</w:t>
            </w:r>
          </w:p>
        </w:tc>
        <w:tc>
          <w:tcPr>
            <w:tcW w:w="994" w:type="dxa"/>
            <w:tcBorders>
              <w:top w:val="single" w:sz="5" w:space="0" w:color="000000"/>
              <w:left w:val="single" w:sz="5" w:space="0" w:color="000000"/>
              <w:bottom w:val="single" w:sz="5" w:space="0" w:color="000000"/>
              <w:right w:val="single" w:sz="5" w:space="0" w:color="000000"/>
            </w:tcBorders>
          </w:tcPr>
          <w:p w14:paraId="0024FBFE" w14:textId="77777777" w:rsidR="00957F89" w:rsidRPr="00C73849" w:rsidRDefault="00D92D87">
            <w:pPr>
              <w:pStyle w:val="TableParagraph"/>
              <w:spacing w:line="222" w:lineRule="exact"/>
              <w:ind w:left="99"/>
              <w:rPr>
                <w:rFonts w:ascii="Times New Roman" w:eastAsia="Times New Roman" w:hAnsi="Times New Roman" w:cs="Times New Roman"/>
                <w:sz w:val="20"/>
                <w:szCs w:val="20"/>
              </w:rPr>
            </w:pPr>
            <w:r w:rsidRPr="00C73849">
              <w:rPr>
                <w:rFonts w:ascii="Times New Roman"/>
                <w:sz w:val="20"/>
              </w:rPr>
              <w:t>Mild</w:t>
            </w:r>
          </w:p>
        </w:tc>
        <w:tc>
          <w:tcPr>
            <w:tcW w:w="1380" w:type="dxa"/>
            <w:tcBorders>
              <w:top w:val="single" w:sz="5" w:space="0" w:color="000000"/>
              <w:left w:val="single" w:sz="5" w:space="0" w:color="000000"/>
              <w:bottom w:val="single" w:sz="5" w:space="0" w:color="000000"/>
              <w:right w:val="single" w:sz="5" w:space="0" w:color="000000"/>
            </w:tcBorders>
          </w:tcPr>
          <w:p w14:paraId="25E3FE4A" w14:textId="77777777" w:rsidR="00957F89" w:rsidRPr="00C73849" w:rsidRDefault="00D92D87">
            <w:pPr>
              <w:pStyle w:val="TableParagraph"/>
              <w:spacing w:line="222" w:lineRule="exact"/>
              <w:ind w:left="99"/>
              <w:rPr>
                <w:rFonts w:ascii="Times New Roman" w:eastAsia="Times New Roman" w:hAnsi="Times New Roman" w:cs="Times New Roman"/>
                <w:sz w:val="20"/>
                <w:szCs w:val="20"/>
              </w:rPr>
            </w:pPr>
            <w:r w:rsidRPr="00C73849">
              <w:rPr>
                <w:rFonts w:ascii="Times New Roman"/>
                <w:sz w:val="20"/>
              </w:rPr>
              <w:t>Not suspected</w:t>
            </w:r>
          </w:p>
        </w:tc>
        <w:tc>
          <w:tcPr>
            <w:tcW w:w="1277" w:type="dxa"/>
            <w:tcBorders>
              <w:top w:val="single" w:sz="5" w:space="0" w:color="000000"/>
              <w:left w:val="single" w:sz="5" w:space="0" w:color="000000"/>
              <w:bottom w:val="single" w:sz="5" w:space="0" w:color="000000"/>
              <w:right w:val="single" w:sz="12" w:space="0" w:color="000000"/>
            </w:tcBorders>
          </w:tcPr>
          <w:p w14:paraId="369F2D82"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Not resolved</w:t>
            </w:r>
          </w:p>
        </w:tc>
      </w:tr>
      <w:tr w:rsidR="00957F89" w:rsidRPr="00C73849" w14:paraId="30E7EF3D" w14:textId="77777777">
        <w:trPr>
          <w:trHeight w:hRule="exact" w:val="240"/>
        </w:trPr>
        <w:tc>
          <w:tcPr>
            <w:tcW w:w="1385" w:type="dxa"/>
            <w:tcBorders>
              <w:top w:val="single" w:sz="5" w:space="0" w:color="000000"/>
              <w:left w:val="single" w:sz="12" w:space="0" w:color="000000"/>
              <w:bottom w:val="single" w:sz="5" w:space="0" w:color="000000"/>
              <w:right w:val="single" w:sz="5" w:space="0" w:color="000000"/>
            </w:tcBorders>
          </w:tcPr>
          <w:p w14:paraId="3B971FBF" w14:textId="77777777" w:rsidR="00957F89" w:rsidRPr="00C73849" w:rsidRDefault="00D92D87">
            <w:pPr>
              <w:pStyle w:val="TableParagraph"/>
              <w:spacing w:line="222" w:lineRule="exact"/>
              <w:ind w:left="92"/>
              <w:rPr>
                <w:rFonts w:ascii="Times New Roman" w:eastAsia="Times New Roman" w:hAnsi="Times New Roman" w:cs="Times New Roman"/>
                <w:sz w:val="20"/>
                <w:szCs w:val="20"/>
              </w:rPr>
            </w:pPr>
            <w:r w:rsidRPr="00C73849">
              <w:rPr>
                <w:rFonts w:ascii="Times New Roman"/>
                <w:sz w:val="20"/>
              </w:rPr>
              <w:t>Oral herpes</w:t>
            </w:r>
          </w:p>
        </w:tc>
        <w:tc>
          <w:tcPr>
            <w:tcW w:w="996" w:type="dxa"/>
            <w:tcBorders>
              <w:top w:val="single" w:sz="5" w:space="0" w:color="000000"/>
              <w:left w:val="single" w:sz="5" w:space="0" w:color="000000"/>
              <w:bottom w:val="single" w:sz="5" w:space="0" w:color="000000"/>
              <w:right w:val="single" w:sz="5" w:space="0" w:color="000000"/>
            </w:tcBorders>
          </w:tcPr>
          <w:p w14:paraId="2FA9B748" w14:textId="77777777" w:rsidR="00957F89" w:rsidRPr="00C73849" w:rsidRDefault="00D92D87">
            <w:pPr>
              <w:pStyle w:val="TableParagraph"/>
              <w:spacing w:line="222" w:lineRule="exact"/>
              <w:ind w:left="103"/>
              <w:rPr>
                <w:rFonts w:ascii="Times New Roman" w:eastAsia="Times New Roman" w:hAnsi="Times New Roman" w:cs="Times New Roman"/>
                <w:sz w:val="20"/>
                <w:szCs w:val="20"/>
              </w:rPr>
            </w:pPr>
            <w:r w:rsidRPr="00C73849">
              <w:rPr>
                <w:rFonts w:ascii="Times New Roman"/>
                <w:sz w:val="20"/>
              </w:rPr>
              <w:t>001-0025</w:t>
            </w:r>
          </w:p>
        </w:tc>
        <w:tc>
          <w:tcPr>
            <w:tcW w:w="905" w:type="dxa"/>
            <w:tcBorders>
              <w:top w:val="single" w:sz="5" w:space="0" w:color="000000"/>
              <w:left w:val="single" w:sz="5" w:space="0" w:color="000000"/>
              <w:bottom w:val="single" w:sz="5" w:space="0" w:color="000000"/>
              <w:right w:val="single" w:sz="5" w:space="0" w:color="000000"/>
            </w:tcBorders>
          </w:tcPr>
          <w:p w14:paraId="1CE91748"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No</w:t>
            </w:r>
          </w:p>
        </w:tc>
        <w:tc>
          <w:tcPr>
            <w:tcW w:w="1188" w:type="dxa"/>
            <w:tcBorders>
              <w:top w:val="single" w:sz="5" w:space="0" w:color="000000"/>
              <w:left w:val="single" w:sz="5" w:space="0" w:color="000000"/>
              <w:bottom w:val="single" w:sz="5" w:space="0" w:color="000000"/>
              <w:right w:val="single" w:sz="5" w:space="0" w:color="000000"/>
            </w:tcBorders>
          </w:tcPr>
          <w:p w14:paraId="352EDBA1"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8 h 20 min</w:t>
            </w:r>
          </w:p>
        </w:tc>
        <w:tc>
          <w:tcPr>
            <w:tcW w:w="1061" w:type="dxa"/>
            <w:tcBorders>
              <w:top w:val="single" w:sz="5" w:space="0" w:color="000000"/>
              <w:left w:val="single" w:sz="5" w:space="0" w:color="000000"/>
              <w:bottom w:val="single" w:sz="5" w:space="0" w:color="000000"/>
              <w:right w:val="single" w:sz="5" w:space="0" w:color="000000"/>
            </w:tcBorders>
          </w:tcPr>
          <w:p w14:paraId="61AC8B59"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1 day 4 h</w:t>
            </w:r>
          </w:p>
        </w:tc>
        <w:tc>
          <w:tcPr>
            <w:tcW w:w="994" w:type="dxa"/>
            <w:tcBorders>
              <w:top w:val="single" w:sz="5" w:space="0" w:color="000000"/>
              <w:left w:val="single" w:sz="5" w:space="0" w:color="000000"/>
              <w:bottom w:val="single" w:sz="5" w:space="0" w:color="000000"/>
              <w:right w:val="single" w:sz="5" w:space="0" w:color="000000"/>
            </w:tcBorders>
          </w:tcPr>
          <w:p w14:paraId="336AC9B2" w14:textId="77777777" w:rsidR="00957F89" w:rsidRPr="00C73849" w:rsidRDefault="00D92D87">
            <w:pPr>
              <w:pStyle w:val="TableParagraph"/>
              <w:spacing w:line="222" w:lineRule="exact"/>
              <w:ind w:left="99"/>
              <w:rPr>
                <w:rFonts w:ascii="Times New Roman" w:eastAsia="Times New Roman" w:hAnsi="Times New Roman" w:cs="Times New Roman"/>
                <w:sz w:val="20"/>
                <w:szCs w:val="20"/>
              </w:rPr>
            </w:pPr>
            <w:r w:rsidRPr="00C73849">
              <w:rPr>
                <w:rFonts w:ascii="Times New Roman"/>
                <w:sz w:val="20"/>
              </w:rPr>
              <w:t>Mild</w:t>
            </w:r>
          </w:p>
        </w:tc>
        <w:tc>
          <w:tcPr>
            <w:tcW w:w="1380" w:type="dxa"/>
            <w:tcBorders>
              <w:top w:val="single" w:sz="5" w:space="0" w:color="000000"/>
              <w:left w:val="single" w:sz="5" w:space="0" w:color="000000"/>
              <w:bottom w:val="single" w:sz="5" w:space="0" w:color="000000"/>
              <w:right w:val="single" w:sz="5" w:space="0" w:color="000000"/>
            </w:tcBorders>
          </w:tcPr>
          <w:p w14:paraId="22C88EE1"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Not suspected</w:t>
            </w:r>
          </w:p>
        </w:tc>
        <w:tc>
          <w:tcPr>
            <w:tcW w:w="1277" w:type="dxa"/>
            <w:tcBorders>
              <w:top w:val="single" w:sz="5" w:space="0" w:color="000000"/>
              <w:left w:val="single" w:sz="5" w:space="0" w:color="000000"/>
              <w:bottom w:val="single" w:sz="5" w:space="0" w:color="000000"/>
              <w:right w:val="single" w:sz="12" w:space="0" w:color="000000"/>
            </w:tcBorders>
          </w:tcPr>
          <w:p w14:paraId="031DFFB8"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Resolved</w:t>
            </w:r>
          </w:p>
        </w:tc>
      </w:tr>
      <w:tr w:rsidR="00957F89" w:rsidRPr="00C73849" w14:paraId="1C8A6AAB" w14:textId="77777777">
        <w:trPr>
          <w:trHeight w:hRule="exact" w:val="250"/>
        </w:trPr>
        <w:tc>
          <w:tcPr>
            <w:tcW w:w="1385" w:type="dxa"/>
            <w:tcBorders>
              <w:top w:val="single" w:sz="5" w:space="0" w:color="000000"/>
              <w:left w:val="single" w:sz="12" w:space="0" w:color="000000"/>
              <w:bottom w:val="single" w:sz="12" w:space="0" w:color="000000"/>
              <w:right w:val="single" w:sz="5" w:space="0" w:color="000000"/>
            </w:tcBorders>
          </w:tcPr>
          <w:p w14:paraId="4CD1D63F" w14:textId="77777777" w:rsidR="00957F89" w:rsidRPr="00C73849" w:rsidRDefault="00D92D87">
            <w:pPr>
              <w:pStyle w:val="TableParagraph"/>
              <w:spacing w:line="222" w:lineRule="exact"/>
              <w:ind w:left="92"/>
              <w:rPr>
                <w:rFonts w:ascii="Times New Roman" w:eastAsia="Times New Roman" w:hAnsi="Times New Roman" w:cs="Times New Roman"/>
                <w:sz w:val="20"/>
                <w:szCs w:val="20"/>
              </w:rPr>
            </w:pPr>
            <w:r w:rsidRPr="00C73849">
              <w:rPr>
                <w:rFonts w:ascii="Times New Roman"/>
                <w:sz w:val="20"/>
              </w:rPr>
              <w:t>Dysgeusia</w:t>
            </w:r>
          </w:p>
        </w:tc>
        <w:tc>
          <w:tcPr>
            <w:tcW w:w="996" w:type="dxa"/>
            <w:tcBorders>
              <w:top w:val="single" w:sz="5" w:space="0" w:color="000000"/>
              <w:left w:val="single" w:sz="5" w:space="0" w:color="000000"/>
              <w:bottom w:val="single" w:sz="12" w:space="0" w:color="000000"/>
              <w:right w:val="single" w:sz="5" w:space="0" w:color="000000"/>
            </w:tcBorders>
          </w:tcPr>
          <w:p w14:paraId="29150CA0"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001-0025</w:t>
            </w:r>
          </w:p>
        </w:tc>
        <w:tc>
          <w:tcPr>
            <w:tcW w:w="905" w:type="dxa"/>
            <w:tcBorders>
              <w:top w:val="single" w:sz="5" w:space="0" w:color="000000"/>
              <w:left w:val="single" w:sz="5" w:space="0" w:color="000000"/>
              <w:bottom w:val="single" w:sz="12" w:space="0" w:color="000000"/>
              <w:right w:val="single" w:sz="5" w:space="0" w:color="000000"/>
            </w:tcBorders>
          </w:tcPr>
          <w:p w14:paraId="27921285"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No</w:t>
            </w:r>
          </w:p>
        </w:tc>
        <w:tc>
          <w:tcPr>
            <w:tcW w:w="1188" w:type="dxa"/>
            <w:tcBorders>
              <w:top w:val="single" w:sz="5" w:space="0" w:color="000000"/>
              <w:left w:val="single" w:sz="5" w:space="0" w:color="000000"/>
              <w:bottom w:val="single" w:sz="12" w:space="0" w:color="000000"/>
              <w:right w:val="single" w:sz="5" w:space="0" w:color="000000"/>
            </w:tcBorders>
          </w:tcPr>
          <w:p w14:paraId="29DD3B3B"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0 min</w:t>
            </w:r>
          </w:p>
        </w:tc>
        <w:tc>
          <w:tcPr>
            <w:tcW w:w="1061" w:type="dxa"/>
            <w:tcBorders>
              <w:top w:val="single" w:sz="5" w:space="0" w:color="000000"/>
              <w:left w:val="single" w:sz="5" w:space="0" w:color="000000"/>
              <w:bottom w:val="single" w:sz="12" w:space="0" w:color="000000"/>
              <w:right w:val="single" w:sz="5" w:space="0" w:color="000000"/>
            </w:tcBorders>
          </w:tcPr>
          <w:p w14:paraId="273601C7"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1 min</w:t>
            </w:r>
          </w:p>
        </w:tc>
        <w:tc>
          <w:tcPr>
            <w:tcW w:w="994" w:type="dxa"/>
            <w:tcBorders>
              <w:top w:val="single" w:sz="5" w:space="0" w:color="000000"/>
              <w:left w:val="single" w:sz="5" w:space="0" w:color="000000"/>
              <w:bottom w:val="single" w:sz="12" w:space="0" w:color="000000"/>
              <w:right w:val="single" w:sz="5" w:space="0" w:color="000000"/>
            </w:tcBorders>
          </w:tcPr>
          <w:p w14:paraId="5DEF03BC" w14:textId="77777777" w:rsidR="00957F89" w:rsidRPr="00C73849" w:rsidRDefault="00D92D87">
            <w:pPr>
              <w:pStyle w:val="TableParagraph"/>
              <w:spacing w:line="222" w:lineRule="exact"/>
              <w:ind w:left="99"/>
              <w:rPr>
                <w:rFonts w:ascii="Times New Roman" w:eastAsia="Times New Roman" w:hAnsi="Times New Roman" w:cs="Times New Roman"/>
                <w:sz w:val="20"/>
                <w:szCs w:val="20"/>
              </w:rPr>
            </w:pPr>
            <w:r w:rsidRPr="00C73849">
              <w:rPr>
                <w:rFonts w:ascii="Times New Roman"/>
                <w:sz w:val="20"/>
              </w:rPr>
              <w:t>Mild</w:t>
            </w:r>
          </w:p>
        </w:tc>
        <w:tc>
          <w:tcPr>
            <w:tcW w:w="1380" w:type="dxa"/>
            <w:tcBorders>
              <w:top w:val="single" w:sz="5" w:space="0" w:color="000000"/>
              <w:left w:val="single" w:sz="5" w:space="0" w:color="000000"/>
              <w:bottom w:val="single" w:sz="12" w:space="0" w:color="000000"/>
              <w:right w:val="single" w:sz="5" w:space="0" w:color="000000"/>
            </w:tcBorders>
          </w:tcPr>
          <w:p w14:paraId="356F3856"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Suspected</w:t>
            </w:r>
          </w:p>
        </w:tc>
        <w:tc>
          <w:tcPr>
            <w:tcW w:w="1277" w:type="dxa"/>
            <w:tcBorders>
              <w:top w:val="single" w:sz="5" w:space="0" w:color="000000"/>
              <w:left w:val="single" w:sz="5" w:space="0" w:color="000000"/>
              <w:bottom w:val="single" w:sz="12" w:space="0" w:color="000000"/>
              <w:right w:val="single" w:sz="12" w:space="0" w:color="000000"/>
            </w:tcBorders>
          </w:tcPr>
          <w:p w14:paraId="06D10A72"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Resolved</w:t>
            </w:r>
          </w:p>
        </w:tc>
      </w:tr>
    </w:tbl>
    <w:p w14:paraId="052ADEE4" w14:textId="77777777" w:rsidR="00957F89" w:rsidRPr="00C73849" w:rsidRDefault="00D92D87">
      <w:pPr>
        <w:spacing w:line="225" w:lineRule="exact"/>
        <w:ind w:left="222"/>
        <w:rPr>
          <w:rFonts w:ascii="Times New Roman" w:eastAsia="Times New Roman" w:hAnsi="Times New Roman" w:cs="Times New Roman"/>
          <w:sz w:val="20"/>
          <w:szCs w:val="20"/>
        </w:rPr>
      </w:pPr>
      <w:r w:rsidRPr="00C73849">
        <w:rPr>
          <w:rFonts w:ascii="Times New Roman"/>
          <w:sz w:val="20"/>
        </w:rPr>
        <w:t>h = hour; min = minute; s = second; UNK = unknown</w:t>
      </w:r>
    </w:p>
    <w:p w14:paraId="58B59037" w14:textId="77777777" w:rsidR="00957F89" w:rsidRPr="00C73849" w:rsidRDefault="00957F89">
      <w:pPr>
        <w:spacing w:before="7"/>
        <w:rPr>
          <w:rFonts w:ascii="Times New Roman" w:eastAsia="Times New Roman" w:hAnsi="Times New Roman" w:cs="Times New Roman"/>
          <w:sz w:val="14"/>
          <w:szCs w:val="14"/>
        </w:rPr>
      </w:pPr>
    </w:p>
    <w:p w14:paraId="486A8172" w14:textId="77777777" w:rsidR="00957F89" w:rsidRPr="00C73849" w:rsidRDefault="00D92D87" w:rsidP="00B90474">
      <w:pPr>
        <w:pStyle w:val="BodyText"/>
      </w:pPr>
      <w:r w:rsidRPr="00B90474">
        <w:t>All 6 AEs in placebo subjects were mild in intensity. Thirty-one (89%) of the 35 AEs in the</w:t>
      </w:r>
      <w:r w:rsidRPr="00C73849">
        <w:rPr>
          <w:w w:val="99"/>
        </w:rPr>
        <w:t xml:space="preserve"> </w:t>
      </w:r>
      <w:r w:rsidRPr="00C73849">
        <w:t>Pyruvate Injection subjects were mild in intensity and 3 (9%) were moderate in intensity.</w:t>
      </w:r>
    </w:p>
    <w:p w14:paraId="38F4C8BB" w14:textId="0E120C54" w:rsidR="00957F89" w:rsidRPr="00C73849" w:rsidRDefault="00D92D87" w:rsidP="00B90474">
      <w:pPr>
        <w:pStyle w:val="BodyText"/>
      </w:pPr>
      <w:r w:rsidRPr="00C73849">
        <w:t>There was 1 AE of severe intensity in the 0.57 ml/kg Pyruvate Injection dose group; subject</w:t>
      </w:r>
      <w:r w:rsidRPr="00C73849">
        <w:rPr>
          <w:w w:val="99"/>
        </w:rPr>
        <w:t xml:space="preserve"> </w:t>
      </w:r>
      <w:r w:rsidRPr="00C73849">
        <w:t xml:space="preserve">001-0030 experienced flushing which was suspected to be related to this </w:t>
      </w:r>
      <w:r w:rsidR="00E51AF8">
        <w:t>investigational medical product (</w:t>
      </w:r>
      <w:r w:rsidRPr="00C73849">
        <w:t>IMP</w:t>
      </w:r>
      <w:r w:rsidR="00E51AF8">
        <w:t>)</w:t>
      </w:r>
      <w:r w:rsidRPr="00C73849">
        <w:t>.</w:t>
      </w:r>
    </w:p>
    <w:p w14:paraId="21C5915E" w14:textId="77777777" w:rsidR="00957F89" w:rsidRPr="00C73849" w:rsidRDefault="00957F89">
      <w:pPr>
        <w:spacing w:before="10"/>
        <w:rPr>
          <w:rFonts w:ascii="Times New Roman" w:eastAsia="Times New Roman" w:hAnsi="Times New Roman" w:cs="Times New Roman"/>
          <w:sz w:val="20"/>
          <w:szCs w:val="20"/>
        </w:rPr>
      </w:pPr>
    </w:p>
    <w:p w14:paraId="3366780D" w14:textId="51830CF5" w:rsidR="00957F89" w:rsidRPr="00C73849" w:rsidRDefault="00D92D87" w:rsidP="00B90474">
      <w:pPr>
        <w:pStyle w:val="BodyText"/>
      </w:pPr>
      <w:r w:rsidRPr="00C73849">
        <w:t>A total of 30 AEs (73%) were suspected to be related to</w:t>
      </w:r>
      <w:r w:rsidR="00E51AF8">
        <w:t xml:space="preserve"> the</w:t>
      </w:r>
      <w:r w:rsidRPr="00C73849">
        <w:t xml:space="preserve"> IMP, 29 of 35 AEs (83%) in the</w:t>
      </w:r>
      <w:r w:rsidRPr="00C73849">
        <w:rPr>
          <w:w w:val="99"/>
        </w:rPr>
        <w:t xml:space="preserve"> </w:t>
      </w:r>
      <w:r w:rsidRPr="00C73849">
        <w:t>Pyruvate Injection dose groups and 1 of 6 AEs (17%) in the placebo group. Since neither the</w:t>
      </w:r>
      <w:r w:rsidRPr="00C73849">
        <w:rPr>
          <w:w w:val="99"/>
        </w:rPr>
        <w:t xml:space="preserve"> </w:t>
      </w:r>
      <w:r w:rsidRPr="00C73849">
        <w:t>subjects nor the safety observers were aware of which IMP had been given, this indicates that</w:t>
      </w:r>
      <w:r w:rsidRPr="00C73849">
        <w:rPr>
          <w:w w:val="99"/>
        </w:rPr>
        <w:t xml:space="preserve"> </w:t>
      </w:r>
      <w:r w:rsidRPr="00C73849">
        <w:t>many of the events suspected of being related to Pyruvate Injection were truly related to the</w:t>
      </w:r>
      <w:r w:rsidRPr="00C73849">
        <w:rPr>
          <w:w w:val="99"/>
        </w:rPr>
        <w:t xml:space="preserve"> </w:t>
      </w:r>
      <w:r w:rsidRPr="00C73849">
        <w:t>administration of this IMP. The most frequently reported individual AEs were flushing</w:t>
      </w:r>
      <w:r w:rsidR="00CC7DF9">
        <w:t xml:space="preserve"> </w:t>
      </w:r>
      <w:r w:rsidRPr="00C73849">
        <w:t>(6 subjects, 7 AEs), dizziness (5 subjects, 5 AEs), and feeling hot (5 subjects, 5 AEs). Flushing and feeling hot were reported only in subjects receiving Pyruvate injection and dizziness was mainly reported in subjects receiving Pyruvate Injection (4 out of 5 AEs) indicating that these</w:t>
      </w:r>
      <w:r w:rsidRPr="00C73849">
        <w:rPr>
          <w:w w:val="99"/>
        </w:rPr>
        <w:t xml:space="preserve"> </w:t>
      </w:r>
      <w:r w:rsidRPr="00C73849">
        <w:t>events are linked to the administration of Pyruvate Injection.</w:t>
      </w:r>
    </w:p>
    <w:p w14:paraId="7D184756" w14:textId="77777777" w:rsidR="00957F89" w:rsidRPr="00C73849" w:rsidRDefault="00957F89" w:rsidP="00B90474">
      <w:pPr>
        <w:pStyle w:val="BodyText"/>
        <w:rPr>
          <w:rFonts w:ascii="Times New Roman" w:hAnsi="Times New Roman" w:cs="Times New Roman"/>
          <w:sz w:val="20"/>
          <w:szCs w:val="20"/>
        </w:rPr>
      </w:pPr>
    </w:p>
    <w:p w14:paraId="2775AC6C" w14:textId="77777777" w:rsidR="00957F89" w:rsidRPr="00C73849" w:rsidRDefault="00D92D87" w:rsidP="00B90474">
      <w:pPr>
        <w:pStyle w:val="BodyText"/>
      </w:pPr>
      <w:r w:rsidRPr="00C73849">
        <w:t>Thirty-nine (95%) of the 41 AEs that were reported resolved before the final follow-up. The</w:t>
      </w:r>
      <w:r w:rsidR="001E1911">
        <w:rPr>
          <w:w w:val="99"/>
        </w:rPr>
        <w:t xml:space="preserve"> </w:t>
      </w:r>
      <w:r w:rsidRPr="00C73849">
        <w:t xml:space="preserve">2 AEs that did not resolve (injection site </w:t>
      </w:r>
      <w:r w:rsidR="00625E37" w:rsidRPr="00C73849">
        <w:t>hematoma</w:t>
      </w:r>
      <w:r w:rsidRPr="00C73849">
        <w:t xml:space="preserve"> in subject 001-0011 and </w:t>
      </w:r>
      <w:proofErr w:type="spellStart"/>
      <w:r w:rsidRPr="00C73849">
        <w:t>pharyngolaryngeal</w:t>
      </w:r>
      <w:proofErr w:type="spellEnd"/>
      <w:r w:rsidRPr="00C73849">
        <w:t xml:space="preserve"> pain in subject 001-0020) were reported in the placebo group and were not</w:t>
      </w:r>
      <w:r w:rsidRPr="00C73849">
        <w:rPr>
          <w:w w:val="99"/>
        </w:rPr>
        <w:t xml:space="preserve"> </w:t>
      </w:r>
      <w:r w:rsidRPr="00C73849">
        <w:t>suspected to be related to IMP.</w:t>
      </w:r>
    </w:p>
    <w:p w14:paraId="68648093" w14:textId="77777777" w:rsidR="00957F89" w:rsidRPr="00C73849" w:rsidRDefault="00957F89">
      <w:pPr>
        <w:spacing w:before="10"/>
        <w:rPr>
          <w:rFonts w:ascii="Times New Roman" w:eastAsia="Times New Roman" w:hAnsi="Times New Roman" w:cs="Times New Roman"/>
          <w:sz w:val="20"/>
          <w:szCs w:val="20"/>
        </w:rPr>
      </w:pPr>
    </w:p>
    <w:p w14:paraId="72A58355" w14:textId="77777777" w:rsidR="00957F89" w:rsidRPr="00B90474" w:rsidRDefault="00D92D87" w:rsidP="00B90474">
      <w:pPr>
        <w:pStyle w:val="BodyText"/>
      </w:pPr>
      <w:r w:rsidRPr="00B90474">
        <w:t>Treatment was given for 3 AEs; subject 001-0026 (0.57 ml/kg Pyruvate Injection dose group) took Naproxen for migraine, subject 001-0011 (placebo group) took paracetamol for dizziness, and subject 001-0025 (placebo group) took acyclovir for oral herpes. None of these events was suspected to be related to the IMP given.</w:t>
      </w:r>
    </w:p>
    <w:p w14:paraId="52AC3E5A" w14:textId="77777777" w:rsidR="00957F89" w:rsidRPr="00C73849" w:rsidRDefault="00957F89">
      <w:pPr>
        <w:rPr>
          <w:rFonts w:ascii="Times New Roman" w:eastAsia="Times New Roman" w:hAnsi="Times New Roman" w:cs="Times New Roman"/>
          <w:sz w:val="20"/>
          <w:szCs w:val="20"/>
        </w:rPr>
      </w:pPr>
    </w:p>
    <w:p w14:paraId="34E0E0E2" w14:textId="77777777" w:rsidR="00957F89" w:rsidRPr="00C73849" w:rsidRDefault="00D92D87">
      <w:pPr>
        <w:pStyle w:val="BodyText"/>
        <w:spacing w:before="69"/>
        <w:ind w:right="151"/>
      </w:pPr>
      <w:r w:rsidRPr="00C73849">
        <w:t>The investigator raised safety concerns over some of the AEs reported in the 0.57 ml/kg dose group:</w:t>
      </w:r>
    </w:p>
    <w:p w14:paraId="321FFDF1" w14:textId="77777777" w:rsidR="00957F89" w:rsidRPr="00C73849" w:rsidRDefault="00957F89">
      <w:pPr>
        <w:spacing w:before="10"/>
        <w:rPr>
          <w:rFonts w:ascii="Times New Roman" w:eastAsia="Times New Roman" w:hAnsi="Times New Roman" w:cs="Times New Roman"/>
          <w:sz w:val="20"/>
          <w:szCs w:val="20"/>
        </w:rPr>
      </w:pPr>
    </w:p>
    <w:p w14:paraId="105DD71A" w14:textId="77777777" w:rsidR="00957F89" w:rsidRPr="00C73849" w:rsidRDefault="00D92D87" w:rsidP="002131A0">
      <w:pPr>
        <w:pStyle w:val="BodyText"/>
        <w:ind w:right="343"/>
      </w:pPr>
      <w:r w:rsidRPr="00C73849">
        <w:t xml:space="preserve">Subject 001-0026 was a 51-kg, 21-year-old female with no history of allergy. </w:t>
      </w:r>
      <w:proofErr w:type="gramStart"/>
      <w:r w:rsidRPr="00C73849">
        <w:t>When,</w:t>
      </w:r>
      <w:proofErr w:type="gramEnd"/>
      <w:r w:rsidRPr="00C73849">
        <w:t xml:space="preserve"> soon</w:t>
      </w:r>
      <w:r w:rsidR="001E1911">
        <w:t xml:space="preserve"> </w:t>
      </w:r>
      <w:r w:rsidRPr="00C73849">
        <w:t>after administration of Pyruvate Injection, the investigator asked if the subject was feeling OK, the subject was ‘unresponsive’ for approximately 30 seconds and could not answer the</w:t>
      </w:r>
      <w:r w:rsidRPr="00C73849">
        <w:rPr>
          <w:w w:val="99"/>
        </w:rPr>
        <w:t xml:space="preserve"> </w:t>
      </w:r>
      <w:r w:rsidRPr="00C73849">
        <w:t>question. The subject recovered quickly and reported having experienced an ‘odd feeling’.</w:t>
      </w:r>
      <w:r w:rsidR="0087360C">
        <w:t xml:space="preserve"> </w:t>
      </w:r>
      <w:r w:rsidRPr="00C73849">
        <w:t>The investigator classified this as a non-serious AE that was related to Pyruvate Injection.</w:t>
      </w:r>
    </w:p>
    <w:p w14:paraId="7B11BE08" w14:textId="77777777" w:rsidR="00957F89" w:rsidRPr="00C73849" w:rsidRDefault="00957F89">
      <w:pPr>
        <w:spacing w:before="10"/>
        <w:rPr>
          <w:rFonts w:ascii="Times New Roman" w:eastAsia="Times New Roman" w:hAnsi="Times New Roman" w:cs="Times New Roman"/>
          <w:sz w:val="20"/>
          <w:szCs w:val="20"/>
        </w:rPr>
      </w:pPr>
    </w:p>
    <w:p w14:paraId="72B444F2" w14:textId="77777777" w:rsidR="00957F89" w:rsidRPr="00C73849" w:rsidRDefault="00D92D87" w:rsidP="002131A0">
      <w:pPr>
        <w:pStyle w:val="BodyText"/>
        <w:ind w:right="151"/>
      </w:pPr>
      <w:r w:rsidRPr="00C73849">
        <w:t>Subject 001-0030 was a 67-kg, 26-year-old female with no history of allergy. Soon after administration of Pyruvate Injection, the subject started gasping and her face became flushed.</w:t>
      </w:r>
      <w:r w:rsidRPr="00C73849">
        <w:rPr>
          <w:w w:val="99"/>
        </w:rPr>
        <w:t xml:space="preserve"> </w:t>
      </w:r>
      <w:r w:rsidRPr="00C73849">
        <w:t>Afterwards she reported feeling a sensation of something touching her throat (not constriction).</w:t>
      </w:r>
      <w:r w:rsidR="0087360C">
        <w:t xml:space="preserve"> </w:t>
      </w:r>
      <w:r w:rsidRPr="00C73849">
        <w:t xml:space="preserve">The subject’s heart rate rose from a stable baseline value of 58 bpm to 93 bpm at </w:t>
      </w:r>
      <w:proofErr w:type="gramStart"/>
      <w:r w:rsidRPr="00C73849">
        <w:t>1 minute</w:t>
      </w:r>
      <w:proofErr w:type="gramEnd"/>
      <w:r w:rsidRPr="00C73849">
        <w:rPr>
          <w:w w:val="99"/>
        </w:rPr>
        <w:t xml:space="preserve"> </w:t>
      </w:r>
      <w:r w:rsidRPr="00C73849">
        <w:t>post-injection, declined to 61 bpm at 2 minutes post-injection, and rose again to 109 bpm at</w:t>
      </w:r>
      <w:r w:rsidR="001E1911">
        <w:rPr>
          <w:w w:val="99"/>
        </w:rPr>
        <w:t xml:space="preserve"> </w:t>
      </w:r>
      <w:r w:rsidRPr="00C73849">
        <w:t>6 minutes post-injection (data from ECG recordings). The subject’s blood pressure also rose (particularly diastolic blood pressure) but not to an alarming level. When asked to grade the</w:t>
      </w:r>
      <w:r w:rsidRPr="00C73849">
        <w:rPr>
          <w:w w:val="99"/>
        </w:rPr>
        <w:t xml:space="preserve"> </w:t>
      </w:r>
      <w:r w:rsidRPr="00C73849">
        <w:t>severity of her symptoms on a scale of 1-5, the subject graded the facial flushing as 1 and the</w:t>
      </w:r>
      <w:r w:rsidRPr="00C73849">
        <w:rPr>
          <w:w w:val="99"/>
        </w:rPr>
        <w:t xml:space="preserve"> </w:t>
      </w:r>
      <w:r w:rsidRPr="00C73849">
        <w:t>throat feeling (coded as ‘flushing, severe’) as 5. The investigator classed these events as</w:t>
      </w:r>
      <w:r w:rsidR="0087360C">
        <w:t xml:space="preserve"> </w:t>
      </w:r>
      <w:r w:rsidRPr="00C73849">
        <w:t>non-serious AEs that were related to Pyruvate Injection.</w:t>
      </w:r>
    </w:p>
    <w:p w14:paraId="08C5E47D" w14:textId="77777777" w:rsidR="00957F89" w:rsidRPr="00C73849" w:rsidRDefault="00957F89">
      <w:pPr>
        <w:spacing w:before="10"/>
        <w:rPr>
          <w:rFonts w:ascii="Times New Roman" w:eastAsia="Times New Roman" w:hAnsi="Times New Roman" w:cs="Times New Roman"/>
          <w:sz w:val="20"/>
          <w:szCs w:val="20"/>
        </w:rPr>
      </w:pPr>
    </w:p>
    <w:p w14:paraId="2ADB4A88" w14:textId="77777777" w:rsidR="00957F89" w:rsidRPr="00C73849" w:rsidRDefault="00D92D87">
      <w:pPr>
        <w:pStyle w:val="BodyText"/>
        <w:ind w:right="343"/>
      </w:pPr>
      <w:r w:rsidRPr="00C73849">
        <w:t>In addition, subject 001-0028 in this dose group experienced 4 AEs that were considered</w:t>
      </w:r>
      <w:r w:rsidRPr="00C73849">
        <w:rPr>
          <w:w w:val="99"/>
        </w:rPr>
        <w:t xml:space="preserve"> </w:t>
      </w:r>
      <w:r w:rsidRPr="00C73849">
        <w:t>related to Pyruvate Injection, including feeling hot, dysgeusia and fatigue; however, these</w:t>
      </w:r>
      <w:r w:rsidRPr="00C73849">
        <w:rPr>
          <w:w w:val="99"/>
        </w:rPr>
        <w:t xml:space="preserve"> </w:t>
      </w:r>
      <w:r w:rsidRPr="00C73849">
        <w:t>events did not raise any concern at the time.</w:t>
      </w:r>
    </w:p>
    <w:p w14:paraId="39C702F2" w14:textId="77777777" w:rsidR="00957F89" w:rsidRPr="00C73849" w:rsidRDefault="00957F89">
      <w:pPr>
        <w:spacing w:before="10"/>
        <w:rPr>
          <w:rFonts w:ascii="Times New Roman" w:eastAsia="Times New Roman" w:hAnsi="Times New Roman" w:cs="Times New Roman"/>
          <w:sz w:val="20"/>
          <w:szCs w:val="20"/>
        </w:rPr>
      </w:pPr>
    </w:p>
    <w:p w14:paraId="22C8D8F4" w14:textId="77777777" w:rsidR="00957F89" w:rsidRPr="00C73849" w:rsidRDefault="00D92D87">
      <w:pPr>
        <w:pStyle w:val="BodyText"/>
        <w:ind w:right="311"/>
      </w:pPr>
      <w:proofErr w:type="gramStart"/>
      <w:r w:rsidRPr="00C73849">
        <w:t>In order to</w:t>
      </w:r>
      <w:proofErr w:type="gramEnd"/>
      <w:r w:rsidRPr="00C73849">
        <w:t xml:space="preserve"> assess the AEs in the 0.57 ml/kg dose group that were classified as related to IMP and to facilitate a safety discussion, the blind was broken for 4 subjects prior to database lock.</w:t>
      </w:r>
      <w:r w:rsidRPr="00C73849">
        <w:rPr>
          <w:w w:val="99"/>
        </w:rPr>
        <w:t xml:space="preserve"> </w:t>
      </w:r>
      <w:r w:rsidRPr="00C73849">
        <w:t>These were subject 001-0025 (placebo), and subjects 001-0026, 001-0028 and 001-0030 (all</w:t>
      </w:r>
      <w:r w:rsidRPr="00C73849">
        <w:rPr>
          <w:w w:val="99"/>
        </w:rPr>
        <w:t xml:space="preserve"> </w:t>
      </w:r>
      <w:r w:rsidRPr="00C73849">
        <w:t>received Pyruvate Injection).</w:t>
      </w:r>
    </w:p>
    <w:p w14:paraId="0E37D6B8" w14:textId="77777777" w:rsidR="00957F89" w:rsidRPr="00C73849" w:rsidRDefault="00957F89">
      <w:pPr>
        <w:spacing w:before="10"/>
        <w:rPr>
          <w:rFonts w:ascii="Times New Roman" w:eastAsia="Times New Roman" w:hAnsi="Times New Roman" w:cs="Times New Roman"/>
          <w:sz w:val="20"/>
          <w:szCs w:val="20"/>
        </w:rPr>
      </w:pPr>
    </w:p>
    <w:p w14:paraId="0F350EAA" w14:textId="77777777" w:rsidR="00957F89" w:rsidRPr="00C73849" w:rsidRDefault="00D92D87">
      <w:pPr>
        <w:pStyle w:val="BodyText"/>
        <w:spacing w:line="239" w:lineRule="auto"/>
        <w:ind w:right="311"/>
      </w:pPr>
      <w:r w:rsidRPr="00C73849">
        <w:t>The study was temporarily halted after completion of the 0.57 ml/kg dose group. The sponsor decided not to proceed with the next planned dose level (0.71 ml/kg). The protocol was amended to repeat the 0.43 ml/kg dose group to confirm that this dose was as well tolerated in</w:t>
      </w:r>
      <w:r w:rsidRPr="00C73849">
        <w:rPr>
          <w:w w:val="99"/>
        </w:rPr>
        <w:t xml:space="preserve"> </w:t>
      </w:r>
      <w:r w:rsidRPr="00C73849">
        <w:t>a second cohort of healthy volunteers as it was in the first one. The introduction of additional</w:t>
      </w:r>
      <w:r w:rsidRPr="00C73849">
        <w:rPr>
          <w:w w:val="99"/>
        </w:rPr>
        <w:t xml:space="preserve"> </w:t>
      </w:r>
      <w:r w:rsidRPr="00C73849">
        <w:t xml:space="preserve">safety monitoring was considered but was not thought necessary </w:t>
      </w:r>
      <w:proofErr w:type="gramStart"/>
      <w:r w:rsidRPr="00C73849">
        <w:t>in light of</w:t>
      </w:r>
      <w:proofErr w:type="gramEnd"/>
      <w:r w:rsidRPr="00C73849">
        <w:t xml:space="preserve"> the comprehensive</w:t>
      </w:r>
      <w:r w:rsidRPr="00C73849">
        <w:rPr>
          <w:w w:val="99"/>
        </w:rPr>
        <w:t xml:space="preserve"> </w:t>
      </w:r>
      <w:r w:rsidRPr="00C73849">
        <w:t>safety monitoring already being applied.</w:t>
      </w:r>
    </w:p>
    <w:p w14:paraId="01803D9E" w14:textId="77777777" w:rsidR="00957F89" w:rsidRPr="00C73849" w:rsidRDefault="00957F89">
      <w:pPr>
        <w:spacing w:before="3"/>
        <w:rPr>
          <w:rFonts w:ascii="Times New Roman" w:eastAsia="Times New Roman" w:hAnsi="Times New Roman" w:cs="Times New Roman"/>
          <w:sz w:val="21"/>
          <w:szCs w:val="21"/>
        </w:rPr>
      </w:pPr>
    </w:p>
    <w:p w14:paraId="2FC8902B" w14:textId="3E07BF09" w:rsidR="00957F89" w:rsidRPr="00C73849" w:rsidRDefault="00D92D87">
      <w:pPr>
        <w:ind w:left="142"/>
        <w:rPr>
          <w:rFonts w:ascii="Times New Roman" w:eastAsia="Times New Roman" w:hAnsi="Times New Roman" w:cs="Times New Roman"/>
          <w:sz w:val="24"/>
          <w:szCs w:val="24"/>
        </w:rPr>
      </w:pPr>
      <w:r w:rsidRPr="00C73849">
        <w:rPr>
          <w:rFonts w:ascii="Times New Roman"/>
          <w:b/>
          <w:sz w:val="24"/>
        </w:rPr>
        <w:t xml:space="preserve">Safety </w:t>
      </w:r>
      <w:r w:rsidR="00E51AF8">
        <w:rPr>
          <w:rFonts w:ascii="Times New Roman"/>
          <w:b/>
          <w:sz w:val="24"/>
        </w:rPr>
        <w:t>C</w:t>
      </w:r>
      <w:r w:rsidRPr="00C73849">
        <w:rPr>
          <w:rFonts w:ascii="Times New Roman"/>
          <w:b/>
          <w:sz w:val="24"/>
        </w:rPr>
        <w:t>onclusions</w:t>
      </w:r>
    </w:p>
    <w:p w14:paraId="3C4F9D2F" w14:textId="77777777" w:rsidR="00957F89" w:rsidRPr="00C73849" w:rsidRDefault="00957F89">
      <w:pPr>
        <w:spacing w:before="7"/>
        <w:rPr>
          <w:rFonts w:ascii="Times New Roman" w:eastAsia="Times New Roman" w:hAnsi="Times New Roman" w:cs="Times New Roman"/>
          <w:b/>
          <w:bCs/>
          <w:sz w:val="20"/>
          <w:szCs w:val="20"/>
        </w:rPr>
      </w:pPr>
    </w:p>
    <w:p w14:paraId="554DF811" w14:textId="77777777" w:rsidR="00957F89" w:rsidRPr="00C73849" w:rsidRDefault="00D92D87" w:rsidP="00F670E8">
      <w:pPr>
        <w:pStyle w:val="BodyText"/>
        <w:numPr>
          <w:ilvl w:val="0"/>
          <w:numId w:val="4"/>
        </w:numPr>
        <w:tabs>
          <w:tab w:val="left" w:pos="863"/>
        </w:tabs>
        <w:ind w:right="311"/>
      </w:pPr>
      <w:r w:rsidRPr="00C73849">
        <w:t xml:space="preserve">Among the 36 subjects enrolled into the study, 18 subjects (50%) experienced a total of 41 AEs. Of these, 15 out of 24 subjects (63%) in the Pyruvate Injection dose groups experienced 35 AEs and 3 out of 12 subjects (25%) in the placebo dose groups experienced 6 AEs. </w:t>
      </w:r>
      <w:proofErr w:type="gramStart"/>
      <w:r w:rsidRPr="00C73849">
        <w:t>The majority of</w:t>
      </w:r>
      <w:proofErr w:type="gramEnd"/>
      <w:r w:rsidRPr="00C73849">
        <w:t xml:space="preserve"> AEs were mild in intensity (37, 90%). No deaths,</w:t>
      </w:r>
      <w:r w:rsidRPr="00C73849">
        <w:rPr>
          <w:w w:val="99"/>
        </w:rPr>
        <w:t xml:space="preserve"> </w:t>
      </w:r>
      <w:r w:rsidRPr="00C73849">
        <w:t>SAEs or withdrawals due to AEs occurred during the study.</w:t>
      </w:r>
    </w:p>
    <w:p w14:paraId="2B327A32" w14:textId="77777777" w:rsidR="00957F89" w:rsidRPr="00C73849" w:rsidRDefault="00957F89">
      <w:pPr>
        <w:spacing w:before="2"/>
        <w:rPr>
          <w:rFonts w:ascii="Times New Roman" w:eastAsia="Times New Roman" w:hAnsi="Times New Roman" w:cs="Times New Roman"/>
          <w:sz w:val="21"/>
          <w:szCs w:val="21"/>
        </w:rPr>
      </w:pPr>
    </w:p>
    <w:p w14:paraId="4A8697B8" w14:textId="77777777" w:rsidR="00957F89" w:rsidRPr="00C73849" w:rsidRDefault="00D92D87" w:rsidP="00F670E8">
      <w:pPr>
        <w:pStyle w:val="BodyText"/>
        <w:numPr>
          <w:ilvl w:val="0"/>
          <w:numId w:val="4"/>
        </w:numPr>
        <w:tabs>
          <w:tab w:val="left" w:pos="863"/>
        </w:tabs>
        <w:spacing w:before="69" w:line="238" w:lineRule="auto"/>
        <w:ind w:right="151"/>
      </w:pPr>
      <w:r w:rsidRPr="00C73849">
        <w:t>Similar numbers/percentages of AEs were reported across the Pyruvate Injection dose groups, with the exception of the 0.57 ml/kg dose group where a clearly increased</w:t>
      </w:r>
      <w:r w:rsidRPr="0087360C">
        <w:rPr>
          <w:w w:val="99"/>
        </w:rPr>
        <w:t xml:space="preserve"> </w:t>
      </w:r>
      <w:r w:rsidRPr="00C73849">
        <w:t xml:space="preserve">number of AEs were </w:t>
      </w:r>
      <w:proofErr w:type="gramStart"/>
      <w:r w:rsidRPr="00C73849">
        <w:t>reported</w:t>
      </w:r>
      <w:proofErr w:type="gramEnd"/>
      <w:r w:rsidRPr="00C73849">
        <w:t xml:space="preserve"> and some safety concerns were raised. Although none of</w:t>
      </w:r>
      <w:r w:rsidR="0087360C">
        <w:t xml:space="preserve"> </w:t>
      </w:r>
      <w:r w:rsidRPr="00C73849">
        <w:t xml:space="preserve">these events </w:t>
      </w:r>
      <w:proofErr w:type="gramStart"/>
      <w:r w:rsidRPr="00C73849">
        <w:t>was considered to be</w:t>
      </w:r>
      <w:proofErr w:type="gramEnd"/>
      <w:r w:rsidRPr="00C73849">
        <w:t xml:space="preserve"> an SAE, the sponsor decided not to proceed with the</w:t>
      </w:r>
      <w:r w:rsidRPr="0087360C">
        <w:rPr>
          <w:w w:val="99"/>
        </w:rPr>
        <w:t xml:space="preserve"> </w:t>
      </w:r>
      <w:r w:rsidRPr="00C73849">
        <w:t xml:space="preserve">next planned dose level (0.71 ml/kg). The 0.43 ml/kg dose group was </w:t>
      </w:r>
      <w:proofErr w:type="gramStart"/>
      <w:r w:rsidRPr="00C73849">
        <w:t>repeated</w:t>
      </w:r>
      <w:proofErr w:type="gramEnd"/>
      <w:r w:rsidRPr="00C73849">
        <w:t xml:space="preserve"> and this</w:t>
      </w:r>
      <w:r w:rsidRPr="0087360C">
        <w:rPr>
          <w:w w:val="99"/>
        </w:rPr>
        <w:t xml:space="preserve"> </w:t>
      </w:r>
      <w:r w:rsidRPr="00C73849">
        <w:t>dose was confirmed as well tolerated in a second cohort of healthy volunteers.</w:t>
      </w:r>
    </w:p>
    <w:p w14:paraId="28775998" w14:textId="77777777" w:rsidR="00957F89" w:rsidRPr="00C73849" w:rsidRDefault="00957F89">
      <w:pPr>
        <w:spacing w:before="1"/>
        <w:rPr>
          <w:rFonts w:ascii="Times New Roman" w:eastAsia="Times New Roman" w:hAnsi="Times New Roman" w:cs="Times New Roman"/>
          <w:sz w:val="21"/>
          <w:szCs w:val="21"/>
        </w:rPr>
      </w:pPr>
    </w:p>
    <w:p w14:paraId="05B4D757" w14:textId="77777777" w:rsidR="00957F89" w:rsidRPr="00C73849" w:rsidRDefault="00D92D87" w:rsidP="00F670E8">
      <w:pPr>
        <w:pStyle w:val="BodyText"/>
        <w:numPr>
          <w:ilvl w:val="0"/>
          <w:numId w:val="4"/>
        </w:numPr>
        <w:tabs>
          <w:tab w:val="left" w:pos="863"/>
        </w:tabs>
        <w:spacing w:line="239" w:lineRule="auto"/>
        <w:ind w:right="562"/>
      </w:pPr>
      <w:r w:rsidRPr="00C73849">
        <w:t xml:space="preserve">A total of 30 of 41 AEs (73%) were suspected to be related to IMP; 29 of 35 AEs </w:t>
      </w:r>
      <w:r w:rsidRPr="00C73849">
        <w:lastRenderedPageBreak/>
        <w:t>(83%) in the Pyruvate Injection dose groups and 1 of 6 AEs (17%) in the placebo</w:t>
      </w:r>
      <w:r w:rsidRPr="00C73849">
        <w:rPr>
          <w:w w:val="99"/>
        </w:rPr>
        <w:t xml:space="preserve"> </w:t>
      </w:r>
      <w:r w:rsidRPr="00C73849">
        <w:t>group. Since neither the subjects nor the safety observers were aware of which IMP had been given, this indicates that many of the events suspected of being related to</w:t>
      </w:r>
      <w:r w:rsidRPr="00C73849">
        <w:rPr>
          <w:w w:val="99"/>
        </w:rPr>
        <w:t xml:space="preserve"> </w:t>
      </w:r>
      <w:r w:rsidRPr="00C73849">
        <w:t>Pyruvate Injection were truly related to the administration of this IMP.</w:t>
      </w:r>
    </w:p>
    <w:p w14:paraId="05B5E426" w14:textId="77777777" w:rsidR="00957F89" w:rsidRPr="00C73849" w:rsidRDefault="00957F89">
      <w:pPr>
        <w:spacing w:before="1"/>
        <w:rPr>
          <w:rFonts w:ascii="Times New Roman" w:eastAsia="Times New Roman" w:hAnsi="Times New Roman" w:cs="Times New Roman"/>
          <w:sz w:val="21"/>
          <w:szCs w:val="21"/>
        </w:rPr>
      </w:pPr>
    </w:p>
    <w:p w14:paraId="2DFE3A7B" w14:textId="77777777" w:rsidR="00957F89" w:rsidRPr="00C73849" w:rsidRDefault="00D92D87" w:rsidP="00F670E8">
      <w:pPr>
        <w:pStyle w:val="BodyText"/>
        <w:numPr>
          <w:ilvl w:val="0"/>
          <w:numId w:val="4"/>
        </w:numPr>
        <w:tabs>
          <w:tab w:val="left" w:pos="863"/>
        </w:tabs>
        <w:spacing w:line="239" w:lineRule="auto"/>
        <w:ind w:right="248"/>
      </w:pPr>
      <w:r w:rsidRPr="00C73849">
        <w:t>The most frequently reported individual AEs were flushing (6 subjects, 7 AEs), dizziness (5 subjects, 5 AEs), and feeling hot (5 subjects, 5 AEs). Flushing and feeling hot were reported only in subjects receiving Pyruvate Injection and dizziness was</w:t>
      </w:r>
      <w:r w:rsidR="001E1911">
        <w:t xml:space="preserve"> </w:t>
      </w:r>
      <w:r w:rsidRPr="00C73849">
        <w:t>mainly reported in subjects receiving Pyruvate Injection (4 out of 5 AEs) indicating that</w:t>
      </w:r>
      <w:r w:rsidRPr="00C73849">
        <w:rPr>
          <w:w w:val="99"/>
        </w:rPr>
        <w:t xml:space="preserve"> </w:t>
      </w:r>
      <w:r w:rsidRPr="00C73849">
        <w:t>these events are linked to the administration of Pyruvate Injection.</w:t>
      </w:r>
    </w:p>
    <w:p w14:paraId="0D164EC3" w14:textId="77777777" w:rsidR="00957F89" w:rsidRPr="00C73849" w:rsidRDefault="00957F89">
      <w:pPr>
        <w:spacing w:before="2"/>
        <w:rPr>
          <w:rFonts w:ascii="Times New Roman" w:eastAsia="Times New Roman" w:hAnsi="Times New Roman" w:cs="Times New Roman"/>
          <w:sz w:val="21"/>
          <w:szCs w:val="21"/>
        </w:rPr>
      </w:pPr>
    </w:p>
    <w:p w14:paraId="2BD84CA8" w14:textId="77777777" w:rsidR="00957F89" w:rsidRPr="00C73849" w:rsidRDefault="00D92D87" w:rsidP="00F670E8">
      <w:pPr>
        <w:pStyle w:val="BodyText"/>
        <w:numPr>
          <w:ilvl w:val="0"/>
          <w:numId w:val="4"/>
        </w:numPr>
        <w:tabs>
          <w:tab w:val="left" w:pos="863"/>
        </w:tabs>
        <w:spacing w:line="238" w:lineRule="auto"/>
        <w:ind w:right="466"/>
      </w:pPr>
      <w:r w:rsidRPr="00C73849">
        <w:t>Among the subjects in the 0.07 to 0.43 ml/kg dose groups, there was overall stability throughout the follow-up period for all parameters, including clinical laboratory, vital</w:t>
      </w:r>
      <w:r w:rsidRPr="00C73849">
        <w:rPr>
          <w:w w:val="99"/>
        </w:rPr>
        <w:t xml:space="preserve"> </w:t>
      </w:r>
      <w:r w:rsidRPr="00C73849">
        <w:t>signs and ECG. No clinically important trends or safety signals were noted.</w:t>
      </w:r>
    </w:p>
    <w:p w14:paraId="24019D41" w14:textId="77777777" w:rsidR="00957F89" w:rsidRPr="00C73849" w:rsidRDefault="00957F89">
      <w:pPr>
        <w:spacing w:before="1"/>
        <w:rPr>
          <w:rFonts w:ascii="Times New Roman" w:eastAsia="Times New Roman" w:hAnsi="Times New Roman" w:cs="Times New Roman"/>
          <w:sz w:val="21"/>
          <w:szCs w:val="21"/>
        </w:rPr>
      </w:pPr>
    </w:p>
    <w:p w14:paraId="6CFA8061" w14:textId="77777777" w:rsidR="00957F89" w:rsidRPr="00C73849" w:rsidRDefault="00D92D87" w:rsidP="00F670E8">
      <w:pPr>
        <w:pStyle w:val="BodyText"/>
        <w:numPr>
          <w:ilvl w:val="0"/>
          <w:numId w:val="4"/>
        </w:numPr>
        <w:tabs>
          <w:tab w:val="left" w:pos="863"/>
        </w:tabs>
        <w:spacing w:line="239" w:lineRule="auto"/>
        <w:ind w:right="248"/>
      </w:pPr>
      <w:r w:rsidRPr="00C73849">
        <w:t>In the 0.57 ml/kg dose group, subject 001-0030 showed changes in heart rate and blood</w:t>
      </w:r>
      <w:r w:rsidRPr="00C73849">
        <w:rPr>
          <w:w w:val="99"/>
        </w:rPr>
        <w:t xml:space="preserve"> </w:t>
      </w:r>
      <w:r w:rsidRPr="00C73849">
        <w:t>pressure that were of concern to the investigator and were reported as AEs. In addition,</w:t>
      </w:r>
      <w:r w:rsidRPr="00C73849">
        <w:rPr>
          <w:w w:val="99"/>
        </w:rPr>
        <w:t xml:space="preserve"> </w:t>
      </w:r>
      <w:r w:rsidRPr="00C73849">
        <w:t>this subject showed several increases in QTcB (</w:t>
      </w:r>
      <w:proofErr w:type="spellStart"/>
      <w:r w:rsidRPr="00C73849">
        <w:t>Bazett’s</w:t>
      </w:r>
      <w:proofErr w:type="spellEnd"/>
      <w:r w:rsidRPr="00C73849">
        <w:t xml:space="preserve"> correction) interval </w:t>
      </w:r>
      <w:r w:rsidRPr="00C73849">
        <w:rPr>
          <w:rFonts w:ascii="Symbol" w:eastAsia="Symbol" w:hAnsi="Symbol" w:cs="Symbol"/>
        </w:rPr>
        <w:t></w:t>
      </w:r>
      <w:r w:rsidRPr="00C73849">
        <w:t>60 msec</w:t>
      </w:r>
      <w:r w:rsidRPr="00C73849">
        <w:rPr>
          <w:w w:val="99"/>
        </w:rPr>
        <w:t xml:space="preserve"> </w:t>
      </w:r>
      <w:r w:rsidRPr="00C73849">
        <w:t xml:space="preserve">but only 1 increase in </w:t>
      </w:r>
      <w:proofErr w:type="spellStart"/>
      <w:r w:rsidRPr="00C73849">
        <w:t>QTcF</w:t>
      </w:r>
      <w:proofErr w:type="spellEnd"/>
      <w:r w:rsidRPr="00C73849">
        <w:t xml:space="preserve"> (Fridericia’s correction) in this period. Since the subject’s</w:t>
      </w:r>
      <w:r w:rsidRPr="00C73849">
        <w:rPr>
          <w:w w:val="99"/>
        </w:rPr>
        <w:t xml:space="preserve"> </w:t>
      </w:r>
      <w:r w:rsidRPr="00C73849">
        <w:t xml:space="preserve">heart rate was ~90 or more when changes in QTc were noted, </w:t>
      </w:r>
      <w:proofErr w:type="spellStart"/>
      <w:r w:rsidRPr="00C73849">
        <w:t>QTcF</w:t>
      </w:r>
      <w:proofErr w:type="spellEnd"/>
      <w:r w:rsidRPr="00C73849">
        <w:t xml:space="preserve"> is the appropriate</w:t>
      </w:r>
      <w:r w:rsidRPr="00C73849">
        <w:rPr>
          <w:w w:val="99"/>
        </w:rPr>
        <w:t xml:space="preserve"> </w:t>
      </w:r>
      <w:r w:rsidRPr="00C73849">
        <w:t>correction; therefore, these changes were not classified as being clinically significant.</w:t>
      </w:r>
    </w:p>
    <w:p w14:paraId="611C0B2A" w14:textId="77777777" w:rsidR="00957F89" w:rsidRPr="00C73849" w:rsidRDefault="00957F89">
      <w:pPr>
        <w:spacing w:before="1"/>
        <w:rPr>
          <w:rFonts w:ascii="Times New Roman" w:eastAsia="Times New Roman" w:hAnsi="Times New Roman" w:cs="Times New Roman"/>
          <w:sz w:val="21"/>
          <w:szCs w:val="21"/>
        </w:rPr>
      </w:pPr>
    </w:p>
    <w:p w14:paraId="0BE522E7" w14:textId="77777777" w:rsidR="00957F89" w:rsidRPr="00C73849" w:rsidRDefault="00D92D87" w:rsidP="00F670E8">
      <w:pPr>
        <w:pStyle w:val="BodyText"/>
        <w:numPr>
          <w:ilvl w:val="0"/>
          <w:numId w:val="4"/>
        </w:numPr>
        <w:tabs>
          <w:tab w:val="left" w:pos="863"/>
        </w:tabs>
        <w:spacing w:line="239" w:lineRule="auto"/>
        <w:ind w:right="293"/>
      </w:pPr>
      <w:r w:rsidRPr="00C73849">
        <w:t>No SAEs occurred during the study and most of the non-serious AEs that occurred</w:t>
      </w:r>
      <w:r w:rsidRPr="00C73849">
        <w:rPr>
          <w:w w:val="99"/>
        </w:rPr>
        <w:t xml:space="preserve"> </w:t>
      </w:r>
      <w:r w:rsidRPr="00C73849">
        <w:t xml:space="preserve">during the study were mild in intensity, short-lasting, and resolved spontaneously without any treatment or intervention. Throughout the study, serum biochemistry, </w:t>
      </w:r>
      <w:r w:rsidR="00625E37" w:rsidRPr="00C73849">
        <w:t>hematology</w:t>
      </w:r>
      <w:r w:rsidRPr="00C73849">
        <w:t>, urinalysis, vital signs and ECG variables showed overall stability and no dose-related tendencies (</w:t>
      </w:r>
      <w:proofErr w:type="gramStart"/>
      <w:r w:rsidRPr="00C73849">
        <w:t>with the exception of</w:t>
      </w:r>
      <w:proofErr w:type="gramEnd"/>
      <w:r w:rsidRPr="00C73849">
        <w:t xml:space="preserve"> the changes in heart rate and blood</w:t>
      </w:r>
      <w:r w:rsidRPr="00C73849">
        <w:rPr>
          <w:w w:val="99"/>
        </w:rPr>
        <w:t xml:space="preserve"> </w:t>
      </w:r>
      <w:r w:rsidRPr="00C73849">
        <w:t>pressure that were experienced by subject 001-0030 in the 0.57 ml/kg dose group and</w:t>
      </w:r>
      <w:r w:rsidRPr="00C73849">
        <w:rPr>
          <w:w w:val="99"/>
        </w:rPr>
        <w:t xml:space="preserve"> </w:t>
      </w:r>
      <w:r w:rsidRPr="00C73849">
        <w:t>reported as AEs). No other clinically important trends or safety signals were noted.</w:t>
      </w:r>
    </w:p>
    <w:p w14:paraId="7078A6D2" w14:textId="77777777" w:rsidR="00957F89" w:rsidRPr="00C73849" w:rsidRDefault="00957F89">
      <w:pPr>
        <w:rPr>
          <w:rFonts w:ascii="Times New Roman" w:eastAsia="Times New Roman" w:hAnsi="Times New Roman" w:cs="Times New Roman"/>
          <w:sz w:val="24"/>
          <w:szCs w:val="24"/>
        </w:rPr>
      </w:pPr>
    </w:p>
    <w:p w14:paraId="5FA4BB40" w14:textId="77777777" w:rsidR="00957F89" w:rsidRPr="00C73849" w:rsidRDefault="00D92D87">
      <w:pPr>
        <w:spacing w:before="209"/>
        <w:ind w:left="142"/>
        <w:rPr>
          <w:rFonts w:ascii="Times New Roman" w:eastAsia="Times New Roman" w:hAnsi="Times New Roman" w:cs="Times New Roman"/>
          <w:sz w:val="24"/>
          <w:szCs w:val="24"/>
        </w:rPr>
      </w:pPr>
      <w:r w:rsidRPr="00C73849">
        <w:rPr>
          <w:rFonts w:ascii="Times New Roman"/>
          <w:b/>
          <w:sz w:val="24"/>
        </w:rPr>
        <w:t>Overall safety conclusion</w:t>
      </w:r>
    </w:p>
    <w:p w14:paraId="4DB074EB" w14:textId="77777777" w:rsidR="00957F89" w:rsidRPr="00C73849" w:rsidRDefault="00957F89">
      <w:pPr>
        <w:spacing w:before="5"/>
        <w:rPr>
          <w:rFonts w:ascii="Times New Roman" w:eastAsia="Times New Roman" w:hAnsi="Times New Roman" w:cs="Times New Roman"/>
          <w:b/>
          <w:bCs/>
          <w:sz w:val="20"/>
          <w:szCs w:val="20"/>
        </w:rPr>
      </w:pPr>
    </w:p>
    <w:p w14:paraId="05824014" w14:textId="77777777" w:rsidR="00957F89" w:rsidRPr="00C73849" w:rsidRDefault="00D92D87" w:rsidP="002131A0">
      <w:pPr>
        <w:pStyle w:val="BodyText"/>
        <w:ind w:right="311"/>
      </w:pPr>
      <w:r w:rsidRPr="00C73849">
        <w:t>In conclusion, doses of Pyruvate Injection up to 0.43 ml/kg were well tolerated in young healthy male and female volunteers. The safety and tolerability of Pyruvate Injection, up to</w:t>
      </w:r>
      <w:r w:rsidR="0087360C">
        <w:t xml:space="preserve"> </w:t>
      </w:r>
      <w:r w:rsidRPr="00C73849">
        <w:t xml:space="preserve">0.43 ml/kg, should now be assessed further in elderly volunteers (i.e., subjects </w:t>
      </w:r>
      <w:r w:rsidRPr="00C73849">
        <w:rPr>
          <w:rFonts w:ascii="Symbol" w:eastAsia="Symbol" w:hAnsi="Symbol" w:cs="Symbol"/>
        </w:rPr>
        <w:t></w:t>
      </w:r>
      <w:r w:rsidRPr="00C73849">
        <w:t>60 years of age), to confirm an acceptable safety profile in subjects in whom compensatory baroreflexes</w:t>
      </w:r>
      <w:r w:rsidR="001E1911">
        <w:t xml:space="preserve"> </w:t>
      </w:r>
      <w:r w:rsidRPr="00C73849">
        <w:t xml:space="preserve">are expected to be compromised </w:t>
      </w:r>
      <w:proofErr w:type="gramStart"/>
      <w:r w:rsidRPr="00C73849">
        <w:t>as a result of</w:t>
      </w:r>
      <w:proofErr w:type="gramEnd"/>
      <w:r w:rsidRPr="00C73849">
        <w:t xml:space="preserve"> normal ageing. This assessment is of particular</w:t>
      </w:r>
      <w:r w:rsidRPr="00C73849">
        <w:rPr>
          <w:w w:val="99"/>
        </w:rPr>
        <w:t xml:space="preserve"> </w:t>
      </w:r>
      <w:r w:rsidRPr="00C73849">
        <w:t>interest as the target population for this product – patients with prostate cancer – will tend to be</w:t>
      </w:r>
      <w:r w:rsidRPr="00C73849">
        <w:rPr>
          <w:w w:val="99"/>
        </w:rPr>
        <w:t xml:space="preserve"> </w:t>
      </w:r>
      <w:r w:rsidRPr="00C73849">
        <w:t>elderly.</w:t>
      </w:r>
    </w:p>
    <w:p w14:paraId="70E0F789" w14:textId="77777777" w:rsidR="00957F89" w:rsidRPr="00C73849" w:rsidRDefault="00957F89">
      <w:pPr>
        <w:rPr>
          <w:rFonts w:ascii="Times New Roman" w:eastAsia="Times New Roman" w:hAnsi="Times New Roman" w:cs="Times New Roman"/>
          <w:sz w:val="20"/>
          <w:szCs w:val="20"/>
        </w:rPr>
      </w:pPr>
    </w:p>
    <w:p w14:paraId="01852C6C" w14:textId="77777777" w:rsidR="00957F89" w:rsidRPr="00C73849" w:rsidRDefault="00D92D87">
      <w:pPr>
        <w:pStyle w:val="BodyText"/>
        <w:spacing w:before="69"/>
        <w:ind w:right="311"/>
      </w:pPr>
      <w:r w:rsidRPr="00C73849">
        <w:t xml:space="preserve">Throughout the study, serum biochemistry, </w:t>
      </w:r>
      <w:r w:rsidR="00625E37" w:rsidRPr="00C73849">
        <w:t>hematology</w:t>
      </w:r>
      <w:r w:rsidRPr="00C73849">
        <w:t>, urinalysis, vital signs and ECG variables showed overall stability and no dose-related tendencies. No clinically important</w:t>
      </w:r>
      <w:r w:rsidRPr="00C73849">
        <w:rPr>
          <w:w w:val="99"/>
        </w:rPr>
        <w:t xml:space="preserve"> </w:t>
      </w:r>
      <w:r w:rsidRPr="00C73849">
        <w:t>trends or safety signals were noted.</w:t>
      </w:r>
    </w:p>
    <w:p w14:paraId="6D05E334" w14:textId="77777777" w:rsidR="00957F89" w:rsidRPr="00C73849" w:rsidRDefault="00957F89">
      <w:pPr>
        <w:spacing w:before="10"/>
        <w:rPr>
          <w:rFonts w:ascii="Times New Roman" w:eastAsia="Times New Roman" w:hAnsi="Times New Roman" w:cs="Times New Roman"/>
          <w:sz w:val="20"/>
          <w:szCs w:val="20"/>
        </w:rPr>
      </w:pPr>
    </w:p>
    <w:p w14:paraId="15EA3609" w14:textId="77777777" w:rsidR="00957F89" w:rsidRPr="00C73849" w:rsidRDefault="00D92D87" w:rsidP="002131A0">
      <w:pPr>
        <w:pStyle w:val="BodyText"/>
        <w:ind w:right="151"/>
      </w:pPr>
      <w:r w:rsidRPr="00C73849">
        <w:t>While it is apparent that the percentage of AEs attributed to IMP is higher in subjects given</w:t>
      </w:r>
      <w:r w:rsidRPr="00C73849">
        <w:rPr>
          <w:w w:val="99"/>
        </w:rPr>
        <w:t xml:space="preserve"> </w:t>
      </w:r>
      <w:r w:rsidRPr="00C73849">
        <w:t>Pyruvate Injection than those given placebo, most of these events (e.g., flushing, dysgeusia, and dizziness) were mild, short-lasting symptomatic reactions that are commonly reported after intravenous injection of 10 ml or more of other types of contrast agents, e.g., those used for</w:t>
      </w:r>
      <w:r w:rsidR="0087360C">
        <w:t xml:space="preserve"> </w:t>
      </w:r>
      <w:r w:rsidRPr="00C73849">
        <w:t>X-ray and MRI examinations. Therefore, this difference does not raise any concerns.</w:t>
      </w:r>
    </w:p>
    <w:p w14:paraId="5527A4C0" w14:textId="77777777" w:rsidR="00957F89" w:rsidRPr="00C73849" w:rsidRDefault="00957F89">
      <w:pPr>
        <w:rPr>
          <w:rFonts w:ascii="Times New Roman" w:eastAsia="Times New Roman" w:hAnsi="Times New Roman" w:cs="Times New Roman"/>
          <w:sz w:val="24"/>
          <w:szCs w:val="24"/>
        </w:rPr>
      </w:pPr>
    </w:p>
    <w:p w14:paraId="6CE83D67" w14:textId="77777777" w:rsidR="00957F89" w:rsidRPr="005A4B55" w:rsidRDefault="00D92D87" w:rsidP="00D849D3">
      <w:pPr>
        <w:pStyle w:val="Heading3"/>
        <w:rPr>
          <w:rStyle w:val="Heading3Char"/>
          <w:b/>
          <w:bCs/>
        </w:rPr>
      </w:pPr>
      <w:bookmarkStart w:id="176" w:name="_Toc34900000"/>
      <w:bookmarkStart w:id="177" w:name="_Toc33702529"/>
      <w:bookmarkStart w:id="178" w:name="_Toc176276956"/>
      <w:r w:rsidRPr="005A4B55">
        <w:rPr>
          <w:rStyle w:val="Heading3Char"/>
          <w:b/>
          <w:bCs/>
        </w:rPr>
        <w:lastRenderedPageBreak/>
        <w:t>6.3.2</w:t>
      </w:r>
      <w:r w:rsidRPr="005A4B55">
        <w:tab/>
      </w:r>
      <w:r w:rsidRPr="005A4B55">
        <w:rPr>
          <w:rStyle w:val="Heading3Char"/>
          <w:b/>
          <w:bCs/>
        </w:rPr>
        <w:t xml:space="preserve">A phase 1, placebo-controlled, </w:t>
      </w:r>
      <w:r w:rsidR="00FD4E71" w:rsidRPr="005A4B55">
        <w:rPr>
          <w:rStyle w:val="Heading3Char"/>
          <w:b/>
          <w:bCs/>
        </w:rPr>
        <w:t>randomized</w:t>
      </w:r>
      <w:r w:rsidRPr="005A4B55">
        <w:rPr>
          <w:rStyle w:val="Heading3Char"/>
          <w:b/>
          <w:bCs/>
        </w:rPr>
        <w:t>, ascending-dose study to assess the safety and tolerability of Pyruvate Injection in elderly male and female volunteers (GE-101-003)</w:t>
      </w:r>
      <w:bookmarkEnd w:id="176"/>
      <w:bookmarkEnd w:id="177"/>
      <w:bookmarkEnd w:id="178"/>
    </w:p>
    <w:p w14:paraId="24888896" w14:textId="77777777" w:rsidR="00957F89" w:rsidRPr="00C73849" w:rsidRDefault="00957F89">
      <w:pPr>
        <w:spacing w:before="5"/>
        <w:rPr>
          <w:rFonts w:ascii="Times New Roman" w:eastAsia="Times New Roman" w:hAnsi="Times New Roman" w:cs="Times New Roman"/>
          <w:b/>
          <w:bCs/>
          <w:sz w:val="20"/>
          <w:szCs w:val="20"/>
        </w:rPr>
      </w:pPr>
    </w:p>
    <w:p w14:paraId="24ECB930" w14:textId="77777777" w:rsidR="00957F89" w:rsidRPr="00C73849" w:rsidRDefault="00D92D87">
      <w:pPr>
        <w:pStyle w:val="BodyText"/>
        <w:spacing w:line="239" w:lineRule="auto"/>
        <w:ind w:right="195"/>
      </w:pPr>
      <w:r w:rsidRPr="00C73849">
        <w:t xml:space="preserve">The primary objective of this study was to determine the safety of Pyruvate Injection in a dose- ascending manner (0.14, 0.21, 0.28, 0.36, and 0.43 ml/kg body weight </w:t>
      </w:r>
      <w:r w:rsidRPr="00C73849">
        <w:rPr>
          <w:rFonts w:ascii="Symbol" w:eastAsia="Symbol" w:hAnsi="Symbol" w:cs="Symbol"/>
        </w:rPr>
        <w:t></w:t>
      </w:r>
      <w:proofErr w:type="spellStart"/>
      <w:r w:rsidRPr="00C73849">
        <w:t>bw</w:t>
      </w:r>
      <w:proofErr w:type="spellEnd"/>
      <w:r w:rsidRPr="00C73849">
        <w:rPr>
          <w:rFonts w:ascii="Symbol" w:eastAsia="Symbol" w:hAnsi="Symbol" w:cs="Symbol"/>
        </w:rPr>
        <w:t></w:t>
      </w:r>
      <w:r w:rsidRPr="00C73849">
        <w:t>) in elderly male</w:t>
      </w:r>
      <w:r w:rsidR="001E1911">
        <w:rPr>
          <w:w w:val="99"/>
        </w:rPr>
        <w:t xml:space="preserve"> </w:t>
      </w:r>
      <w:r w:rsidRPr="00C73849">
        <w:t>and female volunteers, starting with the lowest of the 5 dose levels and using appropriate</w:t>
      </w:r>
      <w:r w:rsidRPr="00C73849">
        <w:rPr>
          <w:w w:val="99"/>
        </w:rPr>
        <w:t xml:space="preserve"> </w:t>
      </w:r>
      <w:r w:rsidRPr="00C73849">
        <w:t>placebo-treated controls.</w:t>
      </w:r>
    </w:p>
    <w:p w14:paraId="28891FFC" w14:textId="77777777" w:rsidR="00957F89" w:rsidRPr="00C73849" w:rsidRDefault="00957F89">
      <w:pPr>
        <w:spacing w:before="10"/>
        <w:rPr>
          <w:rFonts w:ascii="Times New Roman" w:eastAsia="Times New Roman" w:hAnsi="Times New Roman" w:cs="Times New Roman"/>
          <w:sz w:val="20"/>
          <w:szCs w:val="20"/>
        </w:rPr>
      </w:pPr>
    </w:p>
    <w:p w14:paraId="2F9CCD35" w14:textId="77777777" w:rsidR="00957F89" w:rsidRPr="00C73849" w:rsidRDefault="00D92D87">
      <w:pPr>
        <w:pStyle w:val="BodyText"/>
        <w:ind w:right="151"/>
      </w:pPr>
      <w:r w:rsidRPr="00C73849">
        <w:t>The study was conducted at the phase 1 unit: Clinical Research Services Turku (CRST), Turku,</w:t>
      </w:r>
      <w:r w:rsidRPr="00C73849">
        <w:rPr>
          <w:w w:val="99"/>
        </w:rPr>
        <w:t xml:space="preserve"> </w:t>
      </w:r>
      <w:r w:rsidRPr="00C73849">
        <w:t>Finland.</w:t>
      </w:r>
    </w:p>
    <w:p w14:paraId="2D7928BF" w14:textId="77777777" w:rsidR="00957F89" w:rsidRPr="00C73849" w:rsidRDefault="00957F89">
      <w:pPr>
        <w:spacing w:before="10"/>
        <w:rPr>
          <w:rFonts w:ascii="Times New Roman" w:eastAsia="Times New Roman" w:hAnsi="Times New Roman" w:cs="Times New Roman"/>
          <w:sz w:val="20"/>
          <w:szCs w:val="20"/>
        </w:rPr>
      </w:pPr>
    </w:p>
    <w:p w14:paraId="1C1CED99" w14:textId="77777777" w:rsidR="00957F89" w:rsidRPr="00C73849" w:rsidRDefault="00D92D87">
      <w:pPr>
        <w:pStyle w:val="BodyText"/>
        <w:ind w:right="311"/>
      </w:pPr>
      <w:r w:rsidRPr="00C73849">
        <w:t>The safety and tolerability of 5 ascending doses of Pyruvate Injection were evaluated. Thirty subjects were enrolled into 5 dose groups. Each group contained 6 subjects (4 received</w:t>
      </w:r>
      <w:r w:rsidRPr="00C73849">
        <w:rPr>
          <w:w w:val="99"/>
        </w:rPr>
        <w:t xml:space="preserve"> </w:t>
      </w:r>
      <w:r w:rsidRPr="00C73849">
        <w:t xml:space="preserve">Pyruvate Injection and 2 received placebo). Doses from 0.14 to 0.43 ml/kg </w:t>
      </w:r>
      <w:proofErr w:type="spellStart"/>
      <w:r w:rsidRPr="00C73849">
        <w:t>bw</w:t>
      </w:r>
      <w:proofErr w:type="spellEnd"/>
      <w:r w:rsidRPr="00C73849">
        <w:t xml:space="preserve"> of a 250 mM</w:t>
      </w:r>
      <w:r w:rsidRPr="00C73849">
        <w:rPr>
          <w:w w:val="99"/>
        </w:rPr>
        <w:t xml:space="preserve"> </w:t>
      </w:r>
      <w:r w:rsidRPr="00C73849">
        <w:t>formulation of Pyruvate Injection were intravenously injected at a rate of 5 ml/second. At the</w:t>
      </w:r>
      <w:r w:rsidRPr="00C73849">
        <w:rPr>
          <w:w w:val="99"/>
        </w:rPr>
        <w:t xml:space="preserve"> </w:t>
      </w:r>
      <w:r w:rsidRPr="00C73849">
        <w:t xml:space="preserve">highest dose-level, subjects received 9.4 mg/kg </w:t>
      </w:r>
      <w:proofErr w:type="spellStart"/>
      <w:r w:rsidRPr="00C73849">
        <w:t>bw</w:t>
      </w:r>
      <w:proofErr w:type="spellEnd"/>
      <w:r w:rsidRPr="00C73849">
        <w:t xml:space="preserve"> of pyruvate and 2.0 </w:t>
      </w:r>
      <w:r w:rsidRPr="00C73849">
        <w:rPr>
          <w:rFonts w:ascii="Symbol" w:eastAsia="Symbol" w:hAnsi="Symbol" w:cs="Symbol"/>
        </w:rPr>
        <w:t></w:t>
      </w:r>
      <w:r w:rsidRPr="00C73849">
        <w:t xml:space="preserve">g/kg </w:t>
      </w:r>
      <w:proofErr w:type="spellStart"/>
      <w:r w:rsidRPr="00C73849">
        <w:t>bw</w:t>
      </w:r>
      <w:proofErr w:type="spellEnd"/>
      <w:r w:rsidRPr="00C73849">
        <w:t xml:space="preserve"> of EPA. The</w:t>
      </w:r>
      <w:r w:rsidRPr="00C73849">
        <w:rPr>
          <w:w w:val="99"/>
        </w:rPr>
        <w:t xml:space="preserve"> </w:t>
      </w:r>
      <w:r w:rsidRPr="00C73849">
        <w:t xml:space="preserve">study commenced at the lowest dose of 0.14 ml/kg </w:t>
      </w:r>
      <w:proofErr w:type="spellStart"/>
      <w:r w:rsidRPr="00C73849">
        <w:t>bw</w:t>
      </w:r>
      <w:proofErr w:type="spellEnd"/>
      <w:r w:rsidRPr="00C73849">
        <w:t xml:space="preserve"> (10 ml for a 70-kg subject).</w:t>
      </w:r>
    </w:p>
    <w:p w14:paraId="1CD3C1A1" w14:textId="77777777" w:rsidR="00957F89" w:rsidRPr="00C73849" w:rsidRDefault="00957F89">
      <w:pPr>
        <w:spacing w:before="10"/>
        <w:rPr>
          <w:rFonts w:ascii="Times New Roman" w:eastAsia="Times New Roman" w:hAnsi="Times New Roman" w:cs="Times New Roman"/>
          <w:sz w:val="20"/>
          <w:szCs w:val="20"/>
        </w:rPr>
      </w:pPr>
    </w:p>
    <w:p w14:paraId="02B7F610" w14:textId="77777777" w:rsidR="00957F89" w:rsidRPr="00C73849" w:rsidRDefault="00D92D87">
      <w:pPr>
        <w:pStyle w:val="BodyText"/>
        <w:ind w:right="166"/>
      </w:pPr>
      <w:r w:rsidRPr="00C73849">
        <w:t>Increasing to the next dose level occurred only after the safety data from the previous dose</w:t>
      </w:r>
      <w:r w:rsidR="001E1911">
        <w:t xml:space="preserve"> </w:t>
      </w:r>
      <w:r w:rsidRPr="00C73849">
        <w:t>level had been properly evaluated by the Sponsor and the principal investigator and both agreed that it was safe to continue with the next dose. As there were no adverse safety findings</w:t>
      </w:r>
      <w:r w:rsidR="001E1911">
        <w:t xml:space="preserve"> </w:t>
      </w:r>
      <w:r w:rsidRPr="00C73849">
        <w:t xml:space="preserve">at the lower doses the highest dose was 0.43 ml/kg </w:t>
      </w:r>
      <w:proofErr w:type="spellStart"/>
      <w:r w:rsidRPr="00C73849">
        <w:t>bw</w:t>
      </w:r>
      <w:proofErr w:type="spellEnd"/>
      <w:r w:rsidRPr="00C73849">
        <w:t xml:space="preserve"> (30 ml for a 70-kg subject).</w:t>
      </w:r>
    </w:p>
    <w:p w14:paraId="66677C9B" w14:textId="77777777" w:rsidR="00957F89" w:rsidRPr="00C73849" w:rsidRDefault="00957F89">
      <w:pPr>
        <w:spacing w:before="8"/>
        <w:rPr>
          <w:rFonts w:ascii="Times New Roman" w:eastAsia="Times New Roman" w:hAnsi="Times New Roman" w:cs="Times New Roman"/>
          <w:sz w:val="20"/>
          <w:szCs w:val="20"/>
        </w:rPr>
      </w:pPr>
    </w:p>
    <w:p w14:paraId="2B243A60" w14:textId="4A389E20" w:rsidR="00957F89" w:rsidRPr="00C73849" w:rsidRDefault="00D92D87">
      <w:pPr>
        <w:pStyle w:val="BodyText"/>
        <w:ind w:right="151"/>
      </w:pPr>
      <w:r w:rsidRPr="00C73849">
        <w:t xml:space="preserve">The subjects </w:t>
      </w:r>
      <w:r w:rsidR="00625E37" w:rsidRPr="00C73849">
        <w:t>randomized</w:t>
      </w:r>
      <w:r w:rsidRPr="00C73849">
        <w:t xml:space="preserve"> to receive placebo were given an </w:t>
      </w:r>
      <w:r w:rsidR="0022012C">
        <w:t>IV</w:t>
      </w:r>
      <w:r w:rsidRPr="00C73849">
        <w:t xml:space="preserve"> injection of Sodium Chloride</w:t>
      </w:r>
      <w:r w:rsidRPr="00C73849">
        <w:rPr>
          <w:w w:val="99"/>
        </w:rPr>
        <w:t xml:space="preserve"> </w:t>
      </w:r>
      <w:r w:rsidRPr="00C73849">
        <w:t xml:space="preserve">Solution for Infusion (0.9% weight/volume </w:t>
      </w:r>
      <w:r w:rsidRPr="00C73849">
        <w:rPr>
          <w:rFonts w:ascii="Symbol" w:eastAsia="Symbol" w:hAnsi="Symbol" w:cs="Symbol"/>
        </w:rPr>
        <w:t></w:t>
      </w:r>
      <w:r w:rsidRPr="00C73849">
        <w:t>w/v</w:t>
      </w:r>
      <w:r w:rsidRPr="00C73849">
        <w:rPr>
          <w:rFonts w:ascii="Symbol" w:eastAsia="Symbol" w:hAnsi="Symbol" w:cs="Symbol"/>
        </w:rPr>
        <w:t></w:t>
      </w:r>
      <w:r w:rsidRPr="00C73849">
        <w:t>) at an injection rate of 5 ml/second and at a</w:t>
      </w:r>
      <w:r w:rsidRPr="00C73849">
        <w:rPr>
          <w:w w:val="99"/>
        </w:rPr>
        <w:t xml:space="preserve"> </w:t>
      </w:r>
      <w:r w:rsidRPr="00C73849">
        <w:t>volume that corresponded with the volume of the IMP administered in each dose group.</w:t>
      </w:r>
    </w:p>
    <w:p w14:paraId="27E04D38" w14:textId="77777777" w:rsidR="00957F89" w:rsidRPr="00C73849" w:rsidRDefault="00957F89">
      <w:pPr>
        <w:spacing w:before="10"/>
        <w:rPr>
          <w:rFonts w:ascii="Times New Roman" w:eastAsia="Times New Roman" w:hAnsi="Times New Roman" w:cs="Times New Roman"/>
          <w:sz w:val="20"/>
          <w:szCs w:val="20"/>
        </w:rPr>
      </w:pPr>
    </w:p>
    <w:p w14:paraId="62FF16BD" w14:textId="77777777" w:rsidR="00957F89" w:rsidRPr="00C73849" w:rsidRDefault="00D92D87" w:rsidP="00625E37">
      <w:pPr>
        <w:pStyle w:val="BodyText"/>
        <w:ind w:right="185"/>
      </w:pPr>
      <w:r w:rsidRPr="00C73849">
        <w:t xml:space="preserve">Safety assessments including baseline signs and symptoms, AEs, limited physical examinations, clinical laboratory tests (serum biochemistry and </w:t>
      </w:r>
      <w:r w:rsidR="00625E37" w:rsidRPr="00C73849">
        <w:t>hematology</w:t>
      </w:r>
      <w:r w:rsidRPr="00C73849">
        <w:t xml:space="preserve">), vital signs (heart </w:t>
      </w:r>
      <w:proofErr w:type="gramStart"/>
      <w:r w:rsidRPr="00C73849">
        <w:t>rate,</w:t>
      </w:r>
      <w:r w:rsidR="001E1911">
        <w:t xml:space="preserve">   </w:t>
      </w:r>
      <w:proofErr w:type="gramEnd"/>
      <w:r w:rsidRPr="00C73849">
        <w:t>systolic and diastolic blood pressures, respiration rate, body temperature, and oxygen saturation), and 12-lead ECGs were performed at various time points pre- and</w:t>
      </w:r>
      <w:r w:rsidR="00625E37">
        <w:t xml:space="preserve"> </w:t>
      </w:r>
      <w:r w:rsidRPr="00C73849">
        <w:t>post-administration. In addition, the site of injection was monitored for evidence of local and</w:t>
      </w:r>
      <w:r w:rsidRPr="00C73849">
        <w:rPr>
          <w:w w:val="99"/>
        </w:rPr>
        <w:t xml:space="preserve"> </w:t>
      </w:r>
      <w:r w:rsidRPr="00C73849">
        <w:t>regional reactions. Changes after administration of Pyruvate Injection were compared to</w:t>
      </w:r>
      <w:r w:rsidRPr="00C73849">
        <w:rPr>
          <w:w w:val="99"/>
        </w:rPr>
        <w:t xml:space="preserve"> </w:t>
      </w:r>
      <w:r w:rsidRPr="00C73849">
        <w:t>changes after administration of placebo. Safety data up to and including the 2-day assessment</w:t>
      </w:r>
      <w:r w:rsidR="00625E37">
        <w:t xml:space="preserve"> </w:t>
      </w:r>
      <w:r w:rsidRPr="00C73849">
        <w:t>for each dose group was reviewed before proceeding to the next dose level. During the study, safety assessments were performed by an observer who was blinded to the nature (placebo or Pyruvate Injection) of the injection.</w:t>
      </w:r>
    </w:p>
    <w:p w14:paraId="6F182FBE" w14:textId="77777777" w:rsidR="00957F89" w:rsidRPr="00C73849" w:rsidRDefault="00957F89">
      <w:pPr>
        <w:spacing w:before="8"/>
        <w:rPr>
          <w:rFonts w:ascii="Times New Roman" w:eastAsia="Times New Roman" w:hAnsi="Times New Roman" w:cs="Times New Roman"/>
          <w:sz w:val="31"/>
          <w:szCs w:val="31"/>
        </w:rPr>
      </w:pPr>
    </w:p>
    <w:p w14:paraId="0DEC791F" w14:textId="77777777" w:rsidR="00957F89" w:rsidRPr="00C73849" w:rsidRDefault="00D92D87">
      <w:pPr>
        <w:ind w:left="222"/>
        <w:rPr>
          <w:rFonts w:ascii="Times New Roman" w:eastAsia="Times New Roman" w:hAnsi="Times New Roman" w:cs="Times New Roman"/>
          <w:sz w:val="24"/>
          <w:szCs w:val="24"/>
        </w:rPr>
      </w:pPr>
      <w:r w:rsidRPr="00C73849">
        <w:rPr>
          <w:rFonts w:ascii="Times New Roman"/>
          <w:b/>
          <w:sz w:val="24"/>
        </w:rPr>
        <w:t>Dose Groups of Investigational Medicinal Product and Placebo</w:t>
      </w:r>
    </w:p>
    <w:p w14:paraId="43EF5FB8" w14:textId="77777777" w:rsidR="00957F89" w:rsidRPr="00C73849" w:rsidRDefault="00957F89">
      <w:pPr>
        <w:spacing w:before="7"/>
        <w:rPr>
          <w:rFonts w:ascii="Times New Roman" w:eastAsia="Times New Roman" w:hAnsi="Times New Roman" w:cs="Times New Roman"/>
          <w:b/>
          <w:bCs/>
          <w:sz w:val="10"/>
          <w:szCs w:val="10"/>
        </w:rPr>
      </w:pPr>
    </w:p>
    <w:tbl>
      <w:tblPr>
        <w:tblW w:w="0" w:type="auto"/>
        <w:tblInd w:w="99" w:type="dxa"/>
        <w:tblLayout w:type="fixed"/>
        <w:tblCellMar>
          <w:left w:w="0" w:type="dxa"/>
          <w:right w:w="0" w:type="dxa"/>
        </w:tblCellMar>
        <w:tblLook w:val="01E0" w:firstRow="1" w:lastRow="1" w:firstColumn="1" w:lastColumn="1" w:noHBand="0" w:noVBand="0"/>
      </w:tblPr>
      <w:tblGrid>
        <w:gridCol w:w="816"/>
        <w:gridCol w:w="1277"/>
        <w:gridCol w:w="1277"/>
        <w:gridCol w:w="1558"/>
        <w:gridCol w:w="1277"/>
        <w:gridCol w:w="1135"/>
        <w:gridCol w:w="1416"/>
      </w:tblGrid>
      <w:tr w:rsidR="00957F89" w:rsidRPr="00C73849" w14:paraId="32527286" w14:textId="77777777">
        <w:trPr>
          <w:trHeight w:hRule="exact" w:val="385"/>
        </w:trPr>
        <w:tc>
          <w:tcPr>
            <w:tcW w:w="816" w:type="dxa"/>
            <w:vMerge w:val="restart"/>
            <w:tcBorders>
              <w:top w:val="single" w:sz="13" w:space="0" w:color="000000"/>
              <w:left w:val="single" w:sz="12" w:space="0" w:color="000000"/>
              <w:right w:val="single" w:sz="5" w:space="0" w:color="000000"/>
            </w:tcBorders>
          </w:tcPr>
          <w:p w14:paraId="5137FE4B" w14:textId="77777777" w:rsidR="00957F89" w:rsidRPr="00C73849" w:rsidRDefault="00957F89">
            <w:pPr>
              <w:pStyle w:val="TableParagraph"/>
              <w:rPr>
                <w:rFonts w:ascii="Times New Roman" w:eastAsia="Times New Roman" w:hAnsi="Times New Roman" w:cs="Times New Roman"/>
                <w:b/>
                <w:bCs/>
                <w:sz w:val="20"/>
                <w:szCs w:val="20"/>
              </w:rPr>
            </w:pPr>
          </w:p>
          <w:p w14:paraId="6C236506" w14:textId="77777777" w:rsidR="00957F89" w:rsidRPr="00C73849" w:rsidRDefault="00D92D87">
            <w:pPr>
              <w:pStyle w:val="TableParagraph"/>
              <w:spacing w:before="127"/>
              <w:ind w:left="92" w:right="136"/>
              <w:rPr>
                <w:rFonts w:ascii="Times New Roman" w:eastAsia="Times New Roman" w:hAnsi="Times New Roman" w:cs="Times New Roman"/>
                <w:sz w:val="20"/>
                <w:szCs w:val="20"/>
              </w:rPr>
            </w:pPr>
            <w:r w:rsidRPr="00C73849">
              <w:rPr>
                <w:rFonts w:ascii="Times New Roman"/>
                <w:b/>
                <w:sz w:val="20"/>
              </w:rPr>
              <w:t>Dose</w:t>
            </w:r>
            <w:r w:rsidRPr="00C73849">
              <w:rPr>
                <w:rFonts w:ascii="Times New Roman"/>
                <w:b/>
                <w:w w:val="99"/>
                <w:sz w:val="20"/>
              </w:rPr>
              <w:t xml:space="preserve"> </w:t>
            </w:r>
            <w:r w:rsidRPr="00C73849">
              <w:rPr>
                <w:rFonts w:ascii="Times New Roman"/>
                <w:b/>
                <w:sz w:val="20"/>
              </w:rPr>
              <w:t>Group</w:t>
            </w:r>
          </w:p>
        </w:tc>
        <w:tc>
          <w:tcPr>
            <w:tcW w:w="6523" w:type="dxa"/>
            <w:gridSpan w:val="5"/>
            <w:tcBorders>
              <w:top w:val="single" w:sz="13" w:space="0" w:color="000000"/>
              <w:left w:val="single" w:sz="5" w:space="0" w:color="000000"/>
              <w:bottom w:val="single" w:sz="5" w:space="0" w:color="000000"/>
              <w:right w:val="single" w:sz="5" w:space="0" w:color="000000"/>
            </w:tcBorders>
          </w:tcPr>
          <w:p w14:paraId="24E798F5" w14:textId="77777777" w:rsidR="00957F89" w:rsidRPr="00C73849" w:rsidRDefault="00D92D87">
            <w:pPr>
              <w:pStyle w:val="TableParagraph"/>
              <w:spacing w:before="119" w:line="243" w:lineRule="exact"/>
              <w:ind w:left="102"/>
              <w:rPr>
                <w:rFonts w:ascii="Times New Roman" w:eastAsia="Times New Roman" w:hAnsi="Times New Roman" w:cs="Times New Roman"/>
                <w:sz w:val="20"/>
                <w:szCs w:val="20"/>
              </w:rPr>
            </w:pPr>
            <w:r w:rsidRPr="00C73849">
              <w:rPr>
                <w:rFonts w:ascii="Times New Roman" w:eastAsia="Times New Roman" w:hAnsi="Times New Roman" w:cs="Times New Roman"/>
                <w:b/>
                <w:bCs/>
                <w:sz w:val="20"/>
                <w:szCs w:val="20"/>
              </w:rPr>
              <w:t xml:space="preserve">Pyruvate Injection (250 mM Pyruvate + 3 </w:t>
            </w:r>
            <w:r w:rsidRPr="00C73849">
              <w:rPr>
                <w:rFonts w:ascii="Symbol" w:eastAsia="Symbol" w:hAnsi="Symbol" w:cs="Symbol"/>
                <w:sz w:val="20"/>
                <w:szCs w:val="20"/>
              </w:rPr>
              <w:t></w:t>
            </w:r>
            <w:r w:rsidRPr="00C73849">
              <w:rPr>
                <w:rFonts w:ascii="Times New Roman" w:eastAsia="Times New Roman" w:hAnsi="Times New Roman" w:cs="Times New Roman"/>
                <w:b/>
                <w:bCs/>
                <w:sz w:val="20"/>
                <w:szCs w:val="20"/>
              </w:rPr>
              <w:t>M EPA)</w:t>
            </w:r>
          </w:p>
        </w:tc>
        <w:tc>
          <w:tcPr>
            <w:tcW w:w="1416" w:type="dxa"/>
            <w:vMerge w:val="restart"/>
            <w:tcBorders>
              <w:top w:val="single" w:sz="13" w:space="0" w:color="000000"/>
              <w:left w:val="single" w:sz="5" w:space="0" w:color="000000"/>
              <w:right w:val="single" w:sz="12" w:space="0" w:color="000000"/>
            </w:tcBorders>
          </w:tcPr>
          <w:p w14:paraId="63E3B98E" w14:textId="77777777" w:rsidR="00957F89" w:rsidRPr="00C73849" w:rsidRDefault="00D92D87">
            <w:pPr>
              <w:pStyle w:val="TableParagraph"/>
              <w:spacing w:before="104"/>
              <w:ind w:left="102" w:right="558"/>
              <w:rPr>
                <w:rFonts w:ascii="Times New Roman" w:eastAsia="Times New Roman" w:hAnsi="Times New Roman" w:cs="Times New Roman"/>
                <w:sz w:val="20"/>
                <w:szCs w:val="20"/>
              </w:rPr>
            </w:pPr>
            <w:r w:rsidRPr="00C73849">
              <w:rPr>
                <w:rFonts w:ascii="Times New Roman"/>
                <w:b/>
                <w:w w:val="95"/>
                <w:sz w:val="20"/>
              </w:rPr>
              <w:t>Placebo</w:t>
            </w:r>
            <w:r w:rsidRPr="00C73849">
              <w:rPr>
                <w:rFonts w:ascii="Times New Roman"/>
                <w:b/>
                <w:w w:val="95"/>
                <w:position w:val="9"/>
                <w:sz w:val="13"/>
              </w:rPr>
              <w:t>a</w:t>
            </w:r>
            <w:r w:rsidRPr="00C73849">
              <w:rPr>
                <w:rFonts w:ascii="Times New Roman"/>
                <w:b/>
                <w:w w:val="99"/>
                <w:position w:val="9"/>
                <w:sz w:val="13"/>
              </w:rPr>
              <w:t xml:space="preserve"> </w:t>
            </w:r>
            <w:r w:rsidRPr="00C73849">
              <w:rPr>
                <w:rFonts w:ascii="Times New Roman"/>
                <w:b/>
                <w:sz w:val="20"/>
              </w:rPr>
              <w:t>No. of</w:t>
            </w:r>
            <w:r w:rsidRPr="00C73849">
              <w:rPr>
                <w:rFonts w:ascii="Times New Roman"/>
                <w:b/>
                <w:w w:val="99"/>
                <w:sz w:val="20"/>
              </w:rPr>
              <w:t xml:space="preserve"> </w:t>
            </w:r>
            <w:r w:rsidRPr="00C73849">
              <w:rPr>
                <w:rFonts w:ascii="Times New Roman"/>
                <w:b/>
                <w:sz w:val="20"/>
              </w:rPr>
              <w:t>Subjects</w:t>
            </w:r>
          </w:p>
        </w:tc>
      </w:tr>
      <w:tr w:rsidR="00957F89" w:rsidRPr="00C73849" w14:paraId="7BB8B528" w14:textId="77777777">
        <w:trPr>
          <w:trHeight w:hRule="exact" w:val="485"/>
        </w:trPr>
        <w:tc>
          <w:tcPr>
            <w:tcW w:w="816" w:type="dxa"/>
            <w:vMerge/>
            <w:tcBorders>
              <w:left w:val="single" w:sz="12" w:space="0" w:color="000000"/>
              <w:bottom w:val="single" w:sz="5" w:space="0" w:color="000000"/>
              <w:right w:val="single" w:sz="5" w:space="0" w:color="000000"/>
            </w:tcBorders>
          </w:tcPr>
          <w:p w14:paraId="200054C6" w14:textId="77777777" w:rsidR="00957F89" w:rsidRPr="00C73849" w:rsidRDefault="00957F89"/>
        </w:tc>
        <w:tc>
          <w:tcPr>
            <w:tcW w:w="1277" w:type="dxa"/>
            <w:tcBorders>
              <w:top w:val="single" w:sz="5" w:space="0" w:color="000000"/>
              <w:left w:val="single" w:sz="5" w:space="0" w:color="000000"/>
              <w:bottom w:val="single" w:sz="5" w:space="0" w:color="000000"/>
              <w:right w:val="single" w:sz="5" w:space="0" w:color="000000"/>
            </w:tcBorders>
          </w:tcPr>
          <w:p w14:paraId="47C0FE74" w14:textId="77777777" w:rsidR="00957F89" w:rsidRPr="00C73849" w:rsidRDefault="00D92D87">
            <w:pPr>
              <w:pStyle w:val="TableParagraph"/>
              <w:spacing w:before="11"/>
              <w:ind w:left="102" w:right="232"/>
              <w:rPr>
                <w:rFonts w:ascii="Times New Roman" w:eastAsia="Times New Roman" w:hAnsi="Times New Roman" w:cs="Times New Roman"/>
                <w:sz w:val="20"/>
                <w:szCs w:val="20"/>
              </w:rPr>
            </w:pPr>
            <w:r w:rsidRPr="00C73849">
              <w:rPr>
                <w:rFonts w:ascii="Times New Roman"/>
                <w:b/>
                <w:sz w:val="20"/>
              </w:rPr>
              <w:t>Dose</w:t>
            </w:r>
            <w:r w:rsidRPr="00C73849">
              <w:rPr>
                <w:rFonts w:ascii="Times New Roman"/>
                <w:b/>
                <w:w w:val="99"/>
                <w:sz w:val="20"/>
              </w:rPr>
              <w:t xml:space="preserve"> </w:t>
            </w:r>
            <w:r w:rsidRPr="00C73849">
              <w:rPr>
                <w:rFonts w:ascii="Times New Roman"/>
                <w:b/>
                <w:sz w:val="20"/>
              </w:rPr>
              <w:t xml:space="preserve">(ml/kg </w:t>
            </w:r>
            <w:proofErr w:type="spellStart"/>
            <w:r w:rsidRPr="00C73849">
              <w:rPr>
                <w:rFonts w:ascii="Times New Roman"/>
                <w:b/>
                <w:sz w:val="20"/>
              </w:rPr>
              <w:t>bw</w:t>
            </w:r>
            <w:proofErr w:type="spellEnd"/>
            <w:r w:rsidRPr="00C73849">
              <w:rPr>
                <w:rFonts w:ascii="Times New Roman"/>
                <w:b/>
                <w:sz w:val="20"/>
              </w:rPr>
              <w:t>)</w:t>
            </w:r>
          </w:p>
        </w:tc>
        <w:tc>
          <w:tcPr>
            <w:tcW w:w="1277" w:type="dxa"/>
            <w:tcBorders>
              <w:top w:val="single" w:sz="5" w:space="0" w:color="000000"/>
              <w:left w:val="single" w:sz="5" w:space="0" w:color="000000"/>
              <w:bottom w:val="single" w:sz="5" w:space="0" w:color="000000"/>
              <w:right w:val="single" w:sz="5" w:space="0" w:color="000000"/>
            </w:tcBorders>
          </w:tcPr>
          <w:p w14:paraId="51EE8FC4" w14:textId="77777777" w:rsidR="00957F89" w:rsidRPr="00C73849" w:rsidRDefault="00D92D87">
            <w:pPr>
              <w:pStyle w:val="TableParagraph"/>
              <w:spacing w:before="11"/>
              <w:ind w:left="102" w:right="290"/>
              <w:rPr>
                <w:rFonts w:ascii="Times New Roman" w:eastAsia="Times New Roman" w:hAnsi="Times New Roman" w:cs="Times New Roman"/>
                <w:sz w:val="20"/>
                <w:szCs w:val="20"/>
              </w:rPr>
            </w:pPr>
            <w:r w:rsidRPr="00C73849">
              <w:rPr>
                <w:rFonts w:ascii="Times New Roman"/>
                <w:b/>
                <w:sz w:val="20"/>
              </w:rPr>
              <w:t>Dose</w:t>
            </w:r>
            <w:r w:rsidRPr="00C73849">
              <w:rPr>
                <w:rFonts w:ascii="Times New Roman"/>
                <w:b/>
                <w:w w:val="99"/>
                <w:sz w:val="20"/>
              </w:rPr>
              <w:t xml:space="preserve"> </w:t>
            </w:r>
            <w:r w:rsidRPr="00C73849">
              <w:rPr>
                <w:rFonts w:ascii="Times New Roman"/>
                <w:b/>
                <w:sz w:val="20"/>
              </w:rPr>
              <w:t>(ml/70 kg)</w:t>
            </w:r>
          </w:p>
        </w:tc>
        <w:tc>
          <w:tcPr>
            <w:tcW w:w="1558" w:type="dxa"/>
            <w:tcBorders>
              <w:top w:val="single" w:sz="5" w:space="0" w:color="000000"/>
              <w:left w:val="single" w:sz="5" w:space="0" w:color="000000"/>
              <w:bottom w:val="single" w:sz="5" w:space="0" w:color="000000"/>
              <w:right w:val="single" w:sz="5" w:space="0" w:color="000000"/>
            </w:tcBorders>
          </w:tcPr>
          <w:p w14:paraId="480E340F" w14:textId="77777777" w:rsidR="00957F89" w:rsidRPr="00C73849" w:rsidRDefault="00D92D87">
            <w:pPr>
              <w:pStyle w:val="TableParagraph"/>
              <w:spacing w:before="11"/>
              <w:ind w:left="102" w:right="201"/>
              <w:rPr>
                <w:rFonts w:ascii="Times New Roman" w:eastAsia="Times New Roman" w:hAnsi="Times New Roman" w:cs="Times New Roman"/>
                <w:sz w:val="20"/>
                <w:szCs w:val="20"/>
              </w:rPr>
            </w:pPr>
            <w:r w:rsidRPr="00C73849">
              <w:rPr>
                <w:rFonts w:ascii="Times New Roman"/>
                <w:b/>
                <w:sz w:val="20"/>
              </w:rPr>
              <w:t>Pyruvate Dose</w:t>
            </w:r>
            <w:r w:rsidRPr="00C73849">
              <w:rPr>
                <w:rFonts w:ascii="Times New Roman"/>
                <w:b/>
                <w:w w:val="99"/>
                <w:sz w:val="20"/>
              </w:rPr>
              <w:t xml:space="preserve"> </w:t>
            </w:r>
            <w:r w:rsidRPr="00C73849">
              <w:rPr>
                <w:rFonts w:ascii="Times New Roman"/>
                <w:b/>
                <w:sz w:val="20"/>
              </w:rPr>
              <w:t xml:space="preserve">(mg/kg </w:t>
            </w:r>
            <w:proofErr w:type="spellStart"/>
            <w:r w:rsidRPr="00C73849">
              <w:rPr>
                <w:rFonts w:ascii="Times New Roman"/>
                <w:b/>
                <w:sz w:val="20"/>
              </w:rPr>
              <w:t>bw</w:t>
            </w:r>
            <w:proofErr w:type="spellEnd"/>
            <w:r w:rsidRPr="00C73849">
              <w:rPr>
                <w:rFonts w:ascii="Times New Roman"/>
                <w:b/>
                <w:sz w:val="20"/>
              </w:rPr>
              <w:t>)</w:t>
            </w:r>
          </w:p>
        </w:tc>
        <w:tc>
          <w:tcPr>
            <w:tcW w:w="1277" w:type="dxa"/>
            <w:tcBorders>
              <w:top w:val="single" w:sz="5" w:space="0" w:color="000000"/>
              <w:left w:val="single" w:sz="5" w:space="0" w:color="000000"/>
              <w:bottom w:val="single" w:sz="5" w:space="0" w:color="000000"/>
              <w:right w:val="single" w:sz="5" w:space="0" w:color="000000"/>
            </w:tcBorders>
          </w:tcPr>
          <w:p w14:paraId="63F005D4" w14:textId="77777777" w:rsidR="00957F89" w:rsidRPr="00C73849" w:rsidRDefault="00D92D87">
            <w:pPr>
              <w:pStyle w:val="TableParagraph"/>
              <w:spacing w:line="242" w:lineRule="auto"/>
              <w:ind w:left="102" w:right="240"/>
              <w:rPr>
                <w:rFonts w:ascii="Times New Roman" w:eastAsia="Times New Roman" w:hAnsi="Times New Roman" w:cs="Times New Roman"/>
                <w:sz w:val="20"/>
                <w:szCs w:val="20"/>
              </w:rPr>
            </w:pPr>
            <w:r w:rsidRPr="00C73849">
              <w:rPr>
                <w:rFonts w:ascii="Times New Roman" w:eastAsia="Times New Roman" w:hAnsi="Times New Roman" w:cs="Times New Roman"/>
                <w:b/>
                <w:bCs/>
                <w:sz w:val="20"/>
                <w:szCs w:val="20"/>
              </w:rPr>
              <w:t>EPA Dose</w:t>
            </w:r>
            <w:r w:rsidRPr="00C73849">
              <w:rPr>
                <w:rFonts w:ascii="Times New Roman" w:eastAsia="Times New Roman" w:hAnsi="Times New Roman" w:cs="Times New Roman"/>
                <w:b/>
                <w:bCs/>
                <w:w w:val="99"/>
                <w:sz w:val="20"/>
                <w:szCs w:val="20"/>
              </w:rPr>
              <w:t xml:space="preserve"> </w:t>
            </w:r>
            <w:r w:rsidRPr="00C73849">
              <w:rPr>
                <w:rFonts w:ascii="Times New Roman" w:eastAsia="Times New Roman" w:hAnsi="Times New Roman" w:cs="Times New Roman"/>
                <w:b/>
                <w:bCs/>
                <w:sz w:val="20"/>
                <w:szCs w:val="20"/>
              </w:rPr>
              <w:t>(</w:t>
            </w:r>
            <w:r w:rsidRPr="00C73849">
              <w:rPr>
                <w:rFonts w:ascii="Symbol" w:eastAsia="Symbol" w:hAnsi="Symbol" w:cs="Symbol"/>
                <w:sz w:val="20"/>
                <w:szCs w:val="20"/>
              </w:rPr>
              <w:t></w:t>
            </w:r>
            <w:r w:rsidRPr="00C73849">
              <w:rPr>
                <w:rFonts w:ascii="Times New Roman" w:eastAsia="Times New Roman" w:hAnsi="Times New Roman" w:cs="Times New Roman"/>
                <w:b/>
                <w:bCs/>
                <w:sz w:val="20"/>
                <w:szCs w:val="20"/>
              </w:rPr>
              <w:t xml:space="preserve">g/kg </w:t>
            </w:r>
            <w:proofErr w:type="spellStart"/>
            <w:r w:rsidRPr="00C73849">
              <w:rPr>
                <w:rFonts w:ascii="Times New Roman" w:eastAsia="Times New Roman" w:hAnsi="Times New Roman" w:cs="Times New Roman"/>
                <w:b/>
                <w:bCs/>
                <w:sz w:val="20"/>
                <w:szCs w:val="20"/>
              </w:rPr>
              <w:t>bw</w:t>
            </w:r>
            <w:proofErr w:type="spellEnd"/>
            <w:r w:rsidRPr="00C73849">
              <w:rPr>
                <w:rFonts w:ascii="Times New Roman" w:eastAsia="Times New Roman" w:hAnsi="Times New Roman" w:cs="Times New Roman"/>
                <w:b/>
                <w:bCs/>
                <w:sz w:val="20"/>
                <w:szCs w:val="20"/>
              </w:rPr>
              <w:t>)</w:t>
            </w:r>
          </w:p>
        </w:tc>
        <w:tc>
          <w:tcPr>
            <w:tcW w:w="1135" w:type="dxa"/>
            <w:tcBorders>
              <w:top w:val="single" w:sz="5" w:space="0" w:color="000000"/>
              <w:left w:val="single" w:sz="5" w:space="0" w:color="000000"/>
              <w:bottom w:val="single" w:sz="5" w:space="0" w:color="000000"/>
              <w:right w:val="single" w:sz="5" w:space="0" w:color="000000"/>
            </w:tcBorders>
          </w:tcPr>
          <w:p w14:paraId="0A1C82D1" w14:textId="77777777" w:rsidR="00957F89" w:rsidRPr="00C73849" w:rsidRDefault="00D92D87">
            <w:pPr>
              <w:pStyle w:val="TableParagraph"/>
              <w:spacing w:before="11"/>
              <w:ind w:left="102" w:right="299"/>
              <w:rPr>
                <w:rFonts w:ascii="Times New Roman" w:eastAsia="Times New Roman" w:hAnsi="Times New Roman" w:cs="Times New Roman"/>
                <w:sz w:val="20"/>
                <w:szCs w:val="20"/>
              </w:rPr>
            </w:pPr>
            <w:r w:rsidRPr="00C73849">
              <w:rPr>
                <w:rFonts w:ascii="Times New Roman"/>
                <w:b/>
                <w:sz w:val="20"/>
              </w:rPr>
              <w:t>No. of</w:t>
            </w:r>
            <w:r w:rsidRPr="00C73849">
              <w:rPr>
                <w:rFonts w:ascii="Times New Roman"/>
                <w:b/>
                <w:w w:val="99"/>
                <w:sz w:val="20"/>
              </w:rPr>
              <w:t xml:space="preserve"> </w:t>
            </w:r>
            <w:r w:rsidRPr="00C73849">
              <w:rPr>
                <w:rFonts w:ascii="Times New Roman"/>
                <w:b/>
                <w:sz w:val="20"/>
              </w:rPr>
              <w:t>Subjects</w:t>
            </w:r>
          </w:p>
        </w:tc>
        <w:tc>
          <w:tcPr>
            <w:tcW w:w="1416" w:type="dxa"/>
            <w:vMerge/>
            <w:tcBorders>
              <w:left w:val="single" w:sz="5" w:space="0" w:color="000000"/>
              <w:bottom w:val="single" w:sz="5" w:space="0" w:color="000000"/>
              <w:right w:val="single" w:sz="12" w:space="0" w:color="000000"/>
            </w:tcBorders>
          </w:tcPr>
          <w:p w14:paraId="02D33584" w14:textId="77777777" w:rsidR="00957F89" w:rsidRPr="00C73849" w:rsidRDefault="00957F89"/>
        </w:tc>
      </w:tr>
      <w:tr w:rsidR="00957F89" w:rsidRPr="00C73849" w14:paraId="1789B58B" w14:textId="77777777">
        <w:trPr>
          <w:trHeight w:hRule="exact" w:val="240"/>
        </w:trPr>
        <w:tc>
          <w:tcPr>
            <w:tcW w:w="816" w:type="dxa"/>
            <w:tcBorders>
              <w:top w:val="single" w:sz="5" w:space="0" w:color="000000"/>
              <w:left w:val="single" w:sz="12" w:space="0" w:color="000000"/>
              <w:bottom w:val="single" w:sz="5" w:space="0" w:color="000000"/>
              <w:right w:val="single" w:sz="5" w:space="0" w:color="000000"/>
            </w:tcBorders>
          </w:tcPr>
          <w:p w14:paraId="780AC62D" w14:textId="77777777" w:rsidR="00957F89" w:rsidRPr="00C73849" w:rsidRDefault="00D92D87">
            <w:pPr>
              <w:pStyle w:val="TableParagraph"/>
              <w:spacing w:line="222" w:lineRule="exact"/>
              <w:ind w:right="8"/>
              <w:jc w:val="center"/>
              <w:rPr>
                <w:rFonts w:ascii="Times New Roman" w:eastAsia="Times New Roman" w:hAnsi="Times New Roman" w:cs="Times New Roman"/>
                <w:sz w:val="20"/>
                <w:szCs w:val="20"/>
              </w:rPr>
            </w:pPr>
            <w:r w:rsidRPr="00C73849">
              <w:rPr>
                <w:rFonts w:ascii="Times New Roman"/>
                <w:sz w:val="20"/>
              </w:rPr>
              <w:t>1</w:t>
            </w:r>
          </w:p>
        </w:tc>
        <w:tc>
          <w:tcPr>
            <w:tcW w:w="1277" w:type="dxa"/>
            <w:tcBorders>
              <w:top w:val="single" w:sz="5" w:space="0" w:color="000000"/>
              <w:left w:val="single" w:sz="5" w:space="0" w:color="000000"/>
              <w:bottom w:val="single" w:sz="5" w:space="0" w:color="000000"/>
              <w:right w:val="single" w:sz="5" w:space="0" w:color="000000"/>
            </w:tcBorders>
          </w:tcPr>
          <w:p w14:paraId="5061ACD9"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0.14</w:t>
            </w:r>
          </w:p>
        </w:tc>
        <w:tc>
          <w:tcPr>
            <w:tcW w:w="1277" w:type="dxa"/>
            <w:tcBorders>
              <w:top w:val="single" w:sz="5" w:space="0" w:color="000000"/>
              <w:left w:val="single" w:sz="5" w:space="0" w:color="000000"/>
              <w:bottom w:val="single" w:sz="5" w:space="0" w:color="000000"/>
              <w:right w:val="single" w:sz="5" w:space="0" w:color="000000"/>
            </w:tcBorders>
          </w:tcPr>
          <w:p w14:paraId="4E30EE74"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10</w:t>
            </w:r>
          </w:p>
        </w:tc>
        <w:tc>
          <w:tcPr>
            <w:tcW w:w="1558" w:type="dxa"/>
            <w:tcBorders>
              <w:top w:val="single" w:sz="5" w:space="0" w:color="000000"/>
              <w:left w:val="single" w:sz="5" w:space="0" w:color="000000"/>
              <w:bottom w:val="single" w:sz="5" w:space="0" w:color="000000"/>
              <w:right w:val="single" w:sz="5" w:space="0" w:color="000000"/>
            </w:tcBorders>
          </w:tcPr>
          <w:p w14:paraId="4638A804"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3.1</w:t>
            </w:r>
          </w:p>
        </w:tc>
        <w:tc>
          <w:tcPr>
            <w:tcW w:w="1277" w:type="dxa"/>
            <w:tcBorders>
              <w:top w:val="single" w:sz="5" w:space="0" w:color="000000"/>
              <w:left w:val="single" w:sz="5" w:space="0" w:color="000000"/>
              <w:bottom w:val="single" w:sz="5" w:space="0" w:color="000000"/>
              <w:right w:val="single" w:sz="5" w:space="0" w:color="000000"/>
            </w:tcBorders>
          </w:tcPr>
          <w:p w14:paraId="06926D0F" w14:textId="77777777" w:rsidR="00957F89" w:rsidRPr="00C73849" w:rsidRDefault="00D92D87">
            <w:pPr>
              <w:pStyle w:val="TableParagraph"/>
              <w:spacing w:line="222" w:lineRule="exact"/>
              <w:ind w:right="1"/>
              <w:jc w:val="center"/>
              <w:rPr>
                <w:rFonts w:ascii="Times New Roman" w:eastAsia="Times New Roman" w:hAnsi="Times New Roman" w:cs="Times New Roman"/>
                <w:sz w:val="20"/>
                <w:szCs w:val="20"/>
              </w:rPr>
            </w:pPr>
            <w:r w:rsidRPr="00C73849">
              <w:rPr>
                <w:rFonts w:ascii="Times New Roman"/>
                <w:sz w:val="20"/>
              </w:rPr>
              <w:t>0.7</w:t>
            </w:r>
          </w:p>
        </w:tc>
        <w:tc>
          <w:tcPr>
            <w:tcW w:w="1135" w:type="dxa"/>
            <w:tcBorders>
              <w:top w:val="single" w:sz="5" w:space="0" w:color="000000"/>
              <w:left w:val="single" w:sz="5" w:space="0" w:color="000000"/>
              <w:bottom w:val="single" w:sz="5" w:space="0" w:color="000000"/>
              <w:right w:val="single" w:sz="5" w:space="0" w:color="000000"/>
            </w:tcBorders>
          </w:tcPr>
          <w:p w14:paraId="3A6E967E"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4</w:t>
            </w:r>
          </w:p>
        </w:tc>
        <w:tc>
          <w:tcPr>
            <w:tcW w:w="1416" w:type="dxa"/>
            <w:tcBorders>
              <w:top w:val="single" w:sz="5" w:space="0" w:color="000000"/>
              <w:left w:val="single" w:sz="5" w:space="0" w:color="000000"/>
              <w:bottom w:val="single" w:sz="5" w:space="0" w:color="000000"/>
              <w:right w:val="single" w:sz="12" w:space="0" w:color="000000"/>
            </w:tcBorders>
          </w:tcPr>
          <w:p w14:paraId="3F902289" w14:textId="77777777" w:rsidR="00957F89" w:rsidRPr="00C73849" w:rsidRDefault="00D92D87">
            <w:pPr>
              <w:pStyle w:val="TableParagraph"/>
              <w:spacing w:line="222" w:lineRule="exact"/>
              <w:ind w:left="9"/>
              <w:jc w:val="center"/>
              <w:rPr>
                <w:rFonts w:ascii="Times New Roman" w:eastAsia="Times New Roman" w:hAnsi="Times New Roman" w:cs="Times New Roman"/>
                <w:sz w:val="20"/>
                <w:szCs w:val="20"/>
              </w:rPr>
            </w:pPr>
            <w:r w:rsidRPr="00C73849">
              <w:rPr>
                <w:rFonts w:ascii="Times New Roman"/>
                <w:sz w:val="20"/>
              </w:rPr>
              <w:t>2</w:t>
            </w:r>
          </w:p>
        </w:tc>
      </w:tr>
      <w:tr w:rsidR="00957F89" w:rsidRPr="00C73849" w14:paraId="59CCABE9" w14:textId="77777777">
        <w:trPr>
          <w:trHeight w:hRule="exact" w:val="240"/>
        </w:trPr>
        <w:tc>
          <w:tcPr>
            <w:tcW w:w="816" w:type="dxa"/>
            <w:tcBorders>
              <w:top w:val="single" w:sz="5" w:space="0" w:color="000000"/>
              <w:left w:val="single" w:sz="12" w:space="0" w:color="000000"/>
              <w:bottom w:val="single" w:sz="5" w:space="0" w:color="000000"/>
              <w:right w:val="single" w:sz="5" w:space="0" w:color="000000"/>
            </w:tcBorders>
          </w:tcPr>
          <w:p w14:paraId="19064BD2" w14:textId="77777777" w:rsidR="00957F89" w:rsidRPr="00C73849" w:rsidRDefault="00D92D87">
            <w:pPr>
              <w:pStyle w:val="TableParagraph"/>
              <w:spacing w:line="222" w:lineRule="exact"/>
              <w:ind w:right="8"/>
              <w:jc w:val="center"/>
              <w:rPr>
                <w:rFonts w:ascii="Times New Roman" w:eastAsia="Times New Roman" w:hAnsi="Times New Roman" w:cs="Times New Roman"/>
                <w:sz w:val="20"/>
                <w:szCs w:val="20"/>
              </w:rPr>
            </w:pPr>
            <w:r w:rsidRPr="00C73849">
              <w:rPr>
                <w:rFonts w:ascii="Times New Roman"/>
                <w:sz w:val="20"/>
              </w:rPr>
              <w:t>2</w:t>
            </w:r>
          </w:p>
        </w:tc>
        <w:tc>
          <w:tcPr>
            <w:tcW w:w="1277" w:type="dxa"/>
            <w:tcBorders>
              <w:top w:val="single" w:sz="5" w:space="0" w:color="000000"/>
              <w:left w:val="single" w:sz="5" w:space="0" w:color="000000"/>
              <w:bottom w:val="single" w:sz="5" w:space="0" w:color="000000"/>
              <w:right w:val="single" w:sz="5" w:space="0" w:color="000000"/>
            </w:tcBorders>
          </w:tcPr>
          <w:p w14:paraId="21978537"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0.21</w:t>
            </w:r>
          </w:p>
        </w:tc>
        <w:tc>
          <w:tcPr>
            <w:tcW w:w="1277" w:type="dxa"/>
            <w:tcBorders>
              <w:top w:val="single" w:sz="5" w:space="0" w:color="000000"/>
              <w:left w:val="single" w:sz="5" w:space="0" w:color="000000"/>
              <w:bottom w:val="single" w:sz="5" w:space="0" w:color="000000"/>
              <w:right w:val="single" w:sz="5" w:space="0" w:color="000000"/>
            </w:tcBorders>
          </w:tcPr>
          <w:p w14:paraId="4CDE6539"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15</w:t>
            </w:r>
          </w:p>
        </w:tc>
        <w:tc>
          <w:tcPr>
            <w:tcW w:w="1558" w:type="dxa"/>
            <w:tcBorders>
              <w:top w:val="single" w:sz="5" w:space="0" w:color="000000"/>
              <w:left w:val="single" w:sz="5" w:space="0" w:color="000000"/>
              <w:bottom w:val="single" w:sz="5" w:space="0" w:color="000000"/>
              <w:right w:val="single" w:sz="5" w:space="0" w:color="000000"/>
            </w:tcBorders>
          </w:tcPr>
          <w:p w14:paraId="0ADE182C"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4.6</w:t>
            </w:r>
          </w:p>
        </w:tc>
        <w:tc>
          <w:tcPr>
            <w:tcW w:w="1277" w:type="dxa"/>
            <w:tcBorders>
              <w:top w:val="single" w:sz="5" w:space="0" w:color="000000"/>
              <w:left w:val="single" w:sz="5" w:space="0" w:color="000000"/>
              <w:bottom w:val="single" w:sz="5" w:space="0" w:color="000000"/>
              <w:right w:val="single" w:sz="5" w:space="0" w:color="000000"/>
            </w:tcBorders>
          </w:tcPr>
          <w:p w14:paraId="05520902" w14:textId="77777777" w:rsidR="00957F89" w:rsidRPr="00C73849" w:rsidRDefault="00D92D87">
            <w:pPr>
              <w:pStyle w:val="TableParagraph"/>
              <w:spacing w:line="222" w:lineRule="exact"/>
              <w:ind w:right="1"/>
              <w:jc w:val="center"/>
              <w:rPr>
                <w:rFonts w:ascii="Times New Roman" w:eastAsia="Times New Roman" w:hAnsi="Times New Roman" w:cs="Times New Roman"/>
                <w:sz w:val="20"/>
                <w:szCs w:val="20"/>
              </w:rPr>
            </w:pPr>
            <w:r w:rsidRPr="00C73849">
              <w:rPr>
                <w:rFonts w:ascii="Times New Roman"/>
                <w:sz w:val="20"/>
              </w:rPr>
              <w:t>1.0</w:t>
            </w:r>
          </w:p>
        </w:tc>
        <w:tc>
          <w:tcPr>
            <w:tcW w:w="1135" w:type="dxa"/>
            <w:tcBorders>
              <w:top w:val="single" w:sz="5" w:space="0" w:color="000000"/>
              <w:left w:val="single" w:sz="5" w:space="0" w:color="000000"/>
              <w:bottom w:val="single" w:sz="5" w:space="0" w:color="000000"/>
              <w:right w:val="single" w:sz="5" w:space="0" w:color="000000"/>
            </w:tcBorders>
          </w:tcPr>
          <w:p w14:paraId="37304DF8"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4</w:t>
            </w:r>
          </w:p>
        </w:tc>
        <w:tc>
          <w:tcPr>
            <w:tcW w:w="1416" w:type="dxa"/>
            <w:tcBorders>
              <w:top w:val="single" w:sz="5" w:space="0" w:color="000000"/>
              <w:left w:val="single" w:sz="5" w:space="0" w:color="000000"/>
              <w:bottom w:val="single" w:sz="5" w:space="0" w:color="000000"/>
              <w:right w:val="single" w:sz="12" w:space="0" w:color="000000"/>
            </w:tcBorders>
          </w:tcPr>
          <w:p w14:paraId="532BFE6E" w14:textId="77777777" w:rsidR="00957F89" w:rsidRPr="00C73849" w:rsidRDefault="00D92D87">
            <w:pPr>
              <w:pStyle w:val="TableParagraph"/>
              <w:spacing w:line="222" w:lineRule="exact"/>
              <w:ind w:left="9"/>
              <w:jc w:val="center"/>
              <w:rPr>
                <w:rFonts w:ascii="Times New Roman" w:eastAsia="Times New Roman" w:hAnsi="Times New Roman" w:cs="Times New Roman"/>
                <w:sz w:val="20"/>
                <w:szCs w:val="20"/>
              </w:rPr>
            </w:pPr>
            <w:r w:rsidRPr="00C73849">
              <w:rPr>
                <w:rFonts w:ascii="Times New Roman"/>
                <w:sz w:val="20"/>
              </w:rPr>
              <w:t>2</w:t>
            </w:r>
          </w:p>
        </w:tc>
      </w:tr>
      <w:tr w:rsidR="00957F89" w:rsidRPr="00C73849" w14:paraId="6CBE37C6" w14:textId="77777777">
        <w:trPr>
          <w:trHeight w:hRule="exact" w:val="240"/>
        </w:trPr>
        <w:tc>
          <w:tcPr>
            <w:tcW w:w="816" w:type="dxa"/>
            <w:tcBorders>
              <w:top w:val="single" w:sz="5" w:space="0" w:color="000000"/>
              <w:left w:val="single" w:sz="12" w:space="0" w:color="000000"/>
              <w:bottom w:val="single" w:sz="5" w:space="0" w:color="000000"/>
              <w:right w:val="single" w:sz="5" w:space="0" w:color="000000"/>
            </w:tcBorders>
          </w:tcPr>
          <w:p w14:paraId="1BEBDD58" w14:textId="77777777" w:rsidR="00957F89" w:rsidRPr="00C73849" w:rsidRDefault="00D92D87">
            <w:pPr>
              <w:pStyle w:val="TableParagraph"/>
              <w:spacing w:line="222" w:lineRule="exact"/>
              <w:ind w:right="8"/>
              <w:jc w:val="center"/>
              <w:rPr>
                <w:rFonts w:ascii="Times New Roman" w:eastAsia="Times New Roman" w:hAnsi="Times New Roman" w:cs="Times New Roman"/>
                <w:sz w:val="20"/>
                <w:szCs w:val="20"/>
              </w:rPr>
            </w:pPr>
            <w:r w:rsidRPr="00C73849">
              <w:rPr>
                <w:rFonts w:ascii="Times New Roman"/>
                <w:sz w:val="20"/>
              </w:rPr>
              <w:t>3</w:t>
            </w:r>
          </w:p>
        </w:tc>
        <w:tc>
          <w:tcPr>
            <w:tcW w:w="1277" w:type="dxa"/>
            <w:tcBorders>
              <w:top w:val="single" w:sz="5" w:space="0" w:color="000000"/>
              <w:left w:val="single" w:sz="5" w:space="0" w:color="000000"/>
              <w:bottom w:val="single" w:sz="5" w:space="0" w:color="000000"/>
              <w:right w:val="single" w:sz="5" w:space="0" w:color="000000"/>
            </w:tcBorders>
          </w:tcPr>
          <w:p w14:paraId="42972853"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0.28</w:t>
            </w:r>
          </w:p>
        </w:tc>
        <w:tc>
          <w:tcPr>
            <w:tcW w:w="1277" w:type="dxa"/>
            <w:tcBorders>
              <w:top w:val="single" w:sz="5" w:space="0" w:color="000000"/>
              <w:left w:val="single" w:sz="5" w:space="0" w:color="000000"/>
              <w:bottom w:val="single" w:sz="5" w:space="0" w:color="000000"/>
              <w:right w:val="single" w:sz="5" w:space="0" w:color="000000"/>
            </w:tcBorders>
          </w:tcPr>
          <w:p w14:paraId="3BF2CA33"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20</w:t>
            </w:r>
          </w:p>
        </w:tc>
        <w:tc>
          <w:tcPr>
            <w:tcW w:w="1558" w:type="dxa"/>
            <w:tcBorders>
              <w:top w:val="single" w:sz="5" w:space="0" w:color="000000"/>
              <w:left w:val="single" w:sz="5" w:space="0" w:color="000000"/>
              <w:bottom w:val="single" w:sz="5" w:space="0" w:color="000000"/>
              <w:right w:val="single" w:sz="5" w:space="0" w:color="000000"/>
            </w:tcBorders>
          </w:tcPr>
          <w:p w14:paraId="6C43DC65"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6.3</w:t>
            </w:r>
          </w:p>
        </w:tc>
        <w:tc>
          <w:tcPr>
            <w:tcW w:w="1277" w:type="dxa"/>
            <w:tcBorders>
              <w:top w:val="single" w:sz="5" w:space="0" w:color="000000"/>
              <w:left w:val="single" w:sz="5" w:space="0" w:color="000000"/>
              <w:bottom w:val="single" w:sz="5" w:space="0" w:color="000000"/>
              <w:right w:val="single" w:sz="5" w:space="0" w:color="000000"/>
            </w:tcBorders>
          </w:tcPr>
          <w:p w14:paraId="026AEEAE" w14:textId="77777777" w:rsidR="00957F89" w:rsidRPr="00C73849" w:rsidRDefault="00D92D87">
            <w:pPr>
              <w:pStyle w:val="TableParagraph"/>
              <w:spacing w:line="222" w:lineRule="exact"/>
              <w:ind w:right="1"/>
              <w:jc w:val="center"/>
              <w:rPr>
                <w:rFonts w:ascii="Times New Roman" w:eastAsia="Times New Roman" w:hAnsi="Times New Roman" w:cs="Times New Roman"/>
                <w:sz w:val="20"/>
                <w:szCs w:val="20"/>
              </w:rPr>
            </w:pPr>
            <w:r w:rsidRPr="00C73849">
              <w:rPr>
                <w:rFonts w:ascii="Times New Roman"/>
                <w:sz w:val="20"/>
              </w:rPr>
              <w:t>1.3</w:t>
            </w:r>
          </w:p>
        </w:tc>
        <w:tc>
          <w:tcPr>
            <w:tcW w:w="1135" w:type="dxa"/>
            <w:tcBorders>
              <w:top w:val="single" w:sz="5" w:space="0" w:color="000000"/>
              <w:left w:val="single" w:sz="5" w:space="0" w:color="000000"/>
              <w:bottom w:val="single" w:sz="5" w:space="0" w:color="000000"/>
              <w:right w:val="single" w:sz="5" w:space="0" w:color="000000"/>
            </w:tcBorders>
          </w:tcPr>
          <w:p w14:paraId="5B53308C"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4</w:t>
            </w:r>
          </w:p>
        </w:tc>
        <w:tc>
          <w:tcPr>
            <w:tcW w:w="1416" w:type="dxa"/>
            <w:tcBorders>
              <w:top w:val="single" w:sz="5" w:space="0" w:color="000000"/>
              <w:left w:val="single" w:sz="5" w:space="0" w:color="000000"/>
              <w:bottom w:val="single" w:sz="5" w:space="0" w:color="000000"/>
              <w:right w:val="single" w:sz="12" w:space="0" w:color="000000"/>
            </w:tcBorders>
          </w:tcPr>
          <w:p w14:paraId="217A5291" w14:textId="77777777" w:rsidR="00957F89" w:rsidRPr="00C73849" w:rsidRDefault="00D92D87">
            <w:pPr>
              <w:pStyle w:val="TableParagraph"/>
              <w:spacing w:line="222" w:lineRule="exact"/>
              <w:ind w:left="9"/>
              <w:jc w:val="center"/>
              <w:rPr>
                <w:rFonts w:ascii="Times New Roman" w:eastAsia="Times New Roman" w:hAnsi="Times New Roman" w:cs="Times New Roman"/>
                <w:sz w:val="20"/>
                <w:szCs w:val="20"/>
              </w:rPr>
            </w:pPr>
            <w:r w:rsidRPr="00C73849">
              <w:rPr>
                <w:rFonts w:ascii="Times New Roman"/>
                <w:sz w:val="20"/>
              </w:rPr>
              <w:t>2</w:t>
            </w:r>
          </w:p>
        </w:tc>
      </w:tr>
      <w:tr w:rsidR="00957F89" w:rsidRPr="00C73849" w14:paraId="6D6D13E5" w14:textId="77777777">
        <w:trPr>
          <w:trHeight w:hRule="exact" w:val="240"/>
        </w:trPr>
        <w:tc>
          <w:tcPr>
            <w:tcW w:w="816" w:type="dxa"/>
            <w:tcBorders>
              <w:top w:val="single" w:sz="5" w:space="0" w:color="000000"/>
              <w:left w:val="single" w:sz="12" w:space="0" w:color="000000"/>
              <w:bottom w:val="single" w:sz="5" w:space="0" w:color="000000"/>
              <w:right w:val="single" w:sz="5" w:space="0" w:color="000000"/>
            </w:tcBorders>
          </w:tcPr>
          <w:p w14:paraId="586EA27C" w14:textId="77777777" w:rsidR="00957F89" w:rsidRPr="00C73849" w:rsidRDefault="00D92D87">
            <w:pPr>
              <w:pStyle w:val="TableParagraph"/>
              <w:spacing w:line="222" w:lineRule="exact"/>
              <w:ind w:right="8"/>
              <w:jc w:val="center"/>
              <w:rPr>
                <w:rFonts w:ascii="Times New Roman" w:eastAsia="Times New Roman" w:hAnsi="Times New Roman" w:cs="Times New Roman"/>
                <w:sz w:val="20"/>
                <w:szCs w:val="20"/>
              </w:rPr>
            </w:pPr>
            <w:r w:rsidRPr="00C73849">
              <w:rPr>
                <w:rFonts w:ascii="Times New Roman"/>
                <w:sz w:val="20"/>
              </w:rPr>
              <w:t>4</w:t>
            </w:r>
          </w:p>
        </w:tc>
        <w:tc>
          <w:tcPr>
            <w:tcW w:w="1277" w:type="dxa"/>
            <w:tcBorders>
              <w:top w:val="single" w:sz="5" w:space="0" w:color="000000"/>
              <w:left w:val="single" w:sz="5" w:space="0" w:color="000000"/>
              <w:bottom w:val="single" w:sz="5" w:space="0" w:color="000000"/>
              <w:right w:val="single" w:sz="5" w:space="0" w:color="000000"/>
            </w:tcBorders>
          </w:tcPr>
          <w:p w14:paraId="275C5D1E"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0.36</w:t>
            </w:r>
          </w:p>
        </w:tc>
        <w:tc>
          <w:tcPr>
            <w:tcW w:w="1277" w:type="dxa"/>
            <w:tcBorders>
              <w:top w:val="single" w:sz="5" w:space="0" w:color="000000"/>
              <w:left w:val="single" w:sz="5" w:space="0" w:color="000000"/>
              <w:bottom w:val="single" w:sz="5" w:space="0" w:color="000000"/>
              <w:right w:val="single" w:sz="5" w:space="0" w:color="000000"/>
            </w:tcBorders>
          </w:tcPr>
          <w:p w14:paraId="1D6D1B39"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25</w:t>
            </w:r>
          </w:p>
        </w:tc>
        <w:tc>
          <w:tcPr>
            <w:tcW w:w="1558" w:type="dxa"/>
            <w:tcBorders>
              <w:top w:val="single" w:sz="5" w:space="0" w:color="000000"/>
              <w:left w:val="single" w:sz="5" w:space="0" w:color="000000"/>
              <w:bottom w:val="single" w:sz="5" w:space="0" w:color="000000"/>
              <w:right w:val="single" w:sz="5" w:space="0" w:color="000000"/>
            </w:tcBorders>
          </w:tcPr>
          <w:p w14:paraId="7DBA0C94"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7.9</w:t>
            </w:r>
          </w:p>
        </w:tc>
        <w:tc>
          <w:tcPr>
            <w:tcW w:w="1277" w:type="dxa"/>
            <w:tcBorders>
              <w:top w:val="single" w:sz="5" w:space="0" w:color="000000"/>
              <w:left w:val="single" w:sz="5" w:space="0" w:color="000000"/>
              <w:bottom w:val="single" w:sz="5" w:space="0" w:color="000000"/>
              <w:right w:val="single" w:sz="5" w:space="0" w:color="000000"/>
            </w:tcBorders>
          </w:tcPr>
          <w:p w14:paraId="658196C7" w14:textId="77777777" w:rsidR="00957F89" w:rsidRPr="00C73849" w:rsidRDefault="00D92D87">
            <w:pPr>
              <w:pStyle w:val="TableParagraph"/>
              <w:spacing w:line="222" w:lineRule="exact"/>
              <w:ind w:right="1"/>
              <w:jc w:val="center"/>
              <w:rPr>
                <w:rFonts w:ascii="Times New Roman" w:eastAsia="Times New Roman" w:hAnsi="Times New Roman" w:cs="Times New Roman"/>
                <w:sz w:val="20"/>
                <w:szCs w:val="20"/>
              </w:rPr>
            </w:pPr>
            <w:r w:rsidRPr="00C73849">
              <w:rPr>
                <w:rFonts w:ascii="Times New Roman"/>
                <w:sz w:val="20"/>
              </w:rPr>
              <w:t>1.7</w:t>
            </w:r>
          </w:p>
        </w:tc>
        <w:tc>
          <w:tcPr>
            <w:tcW w:w="1135" w:type="dxa"/>
            <w:tcBorders>
              <w:top w:val="single" w:sz="5" w:space="0" w:color="000000"/>
              <w:left w:val="single" w:sz="5" w:space="0" w:color="000000"/>
              <w:bottom w:val="single" w:sz="5" w:space="0" w:color="000000"/>
              <w:right w:val="single" w:sz="5" w:space="0" w:color="000000"/>
            </w:tcBorders>
          </w:tcPr>
          <w:p w14:paraId="37824ACD"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4</w:t>
            </w:r>
          </w:p>
        </w:tc>
        <w:tc>
          <w:tcPr>
            <w:tcW w:w="1416" w:type="dxa"/>
            <w:tcBorders>
              <w:top w:val="single" w:sz="5" w:space="0" w:color="000000"/>
              <w:left w:val="single" w:sz="5" w:space="0" w:color="000000"/>
              <w:bottom w:val="single" w:sz="5" w:space="0" w:color="000000"/>
              <w:right w:val="single" w:sz="12" w:space="0" w:color="000000"/>
            </w:tcBorders>
          </w:tcPr>
          <w:p w14:paraId="1C7C73A4" w14:textId="77777777" w:rsidR="00957F89" w:rsidRPr="00C73849" w:rsidRDefault="00D92D87">
            <w:pPr>
              <w:pStyle w:val="TableParagraph"/>
              <w:spacing w:line="222" w:lineRule="exact"/>
              <w:ind w:left="9"/>
              <w:jc w:val="center"/>
              <w:rPr>
                <w:rFonts w:ascii="Times New Roman" w:eastAsia="Times New Roman" w:hAnsi="Times New Roman" w:cs="Times New Roman"/>
                <w:sz w:val="20"/>
                <w:szCs w:val="20"/>
              </w:rPr>
            </w:pPr>
            <w:r w:rsidRPr="00C73849">
              <w:rPr>
                <w:rFonts w:ascii="Times New Roman"/>
                <w:sz w:val="20"/>
              </w:rPr>
              <w:t>2</w:t>
            </w:r>
          </w:p>
        </w:tc>
      </w:tr>
      <w:tr w:rsidR="00957F89" w:rsidRPr="00C73849" w14:paraId="363E0980" w14:textId="77777777">
        <w:trPr>
          <w:trHeight w:hRule="exact" w:val="250"/>
        </w:trPr>
        <w:tc>
          <w:tcPr>
            <w:tcW w:w="816" w:type="dxa"/>
            <w:tcBorders>
              <w:top w:val="single" w:sz="5" w:space="0" w:color="000000"/>
              <w:left w:val="single" w:sz="12" w:space="0" w:color="000000"/>
              <w:bottom w:val="single" w:sz="12" w:space="0" w:color="000000"/>
              <w:right w:val="single" w:sz="5" w:space="0" w:color="000000"/>
            </w:tcBorders>
          </w:tcPr>
          <w:p w14:paraId="0CA136AC" w14:textId="77777777" w:rsidR="00957F89" w:rsidRPr="00C73849" w:rsidRDefault="00D92D87">
            <w:pPr>
              <w:pStyle w:val="TableParagraph"/>
              <w:spacing w:line="222" w:lineRule="exact"/>
              <w:ind w:right="8"/>
              <w:jc w:val="center"/>
              <w:rPr>
                <w:rFonts w:ascii="Times New Roman" w:eastAsia="Times New Roman" w:hAnsi="Times New Roman" w:cs="Times New Roman"/>
                <w:sz w:val="20"/>
                <w:szCs w:val="20"/>
              </w:rPr>
            </w:pPr>
            <w:r w:rsidRPr="00C73849">
              <w:rPr>
                <w:rFonts w:ascii="Times New Roman"/>
                <w:sz w:val="20"/>
              </w:rPr>
              <w:t>5</w:t>
            </w:r>
          </w:p>
        </w:tc>
        <w:tc>
          <w:tcPr>
            <w:tcW w:w="1277" w:type="dxa"/>
            <w:tcBorders>
              <w:top w:val="single" w:sz="5" w:space="0" w:color="000000"/>
              <w:left w:val="single" w:sz="5" w:space="0" w:color="000000"/>
              <w:bottom w:val="single" w:sz="12" w:space="0" w:color="000000"/>
              <w:right w:val="single" w:sz="5" w:space="0" w:color="000000"/>
            </w:tcBorders>
          </w:tcPr>
          <w:p w14:paraId="1FBB2F57"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0.43</w:t>
            </w:r>
          </w:p>
        </w:tc>
        <w:tc>
          <w:tcPr>
            <w:tcW w:w="1277" w:type="dxa"/>
            <w:tcBorders>
              <w:top w:val="single" w:sz="5" w:space="0" w:color="000000"/>
              <w:left w:val="single" w:sz="5" w:space="0" w:color="000000"/>
              <w:bottom w:val="single" w:sz="12" w:space="0" w:color="000000"/>
              <w:right w:val="single" w:sz="5" w:space="0" w:color="000000"/>
            </w:tcBorders>
          </w:tcPr>
          <w:p w14:paraId="6B13E1B0"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30</w:t>
            </w:r>
          </w:p>
        </w:tc>
        <w:tc>
          <w:tcPr>
            <w:tcW w:w="1558" w:type="dxa"/>
            <w:tcBorders>
              <w:top w:val="single" w:sz="5" w:space="0" w:color="000000"/>
              <w:left w:val="single" w:sz="5" w:space="0" w:color="000000"/>
              <w:bottom w:val="single" w:sz="12" w:space="0" w:color="000000"/>
              <w:right w:val="single" w:sz="5" w:space="0" w:color="000000"/>
            </w:tcBorders>
          </w:tcPr>
          <w:p w14:paraId="74C608E8"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9.4</w:t>
            </w:r>
          </w:p>
        </w:tc>
        <w:tc>
          <w:tcPr>
            <w:tcW w:w="1277" w:type="dxa"/>
            <w:tcBorders>
              <w:top w:val="single" w:sz="5" w:space="0" w:color="000000"/>
              <w:left w:val="single" w:sz="5" w:space="0" w:color="000000"/>
              <w:bottom w:val="single" w:sz="12" w:space="0" w:color="000000"/>
              <w:right w:val="single" w:sz="5" w:space="0" w:color="000000"/>
            </w:tcBorders>
          </w:tcPr>
          <w:p w14:paraId="6C50A2BE" w14:textId="77777777" w:rsidR="00957F89" w:rsidRPr="00C73849" w:rsidRDefault="00D92D87">
            <w:pPr>
              <w:pStyle w:val="TableParagraph"/>
              <w:spacing w:line="222" w:lineRule="exact"/>
              <w:ind w:right="1"/>
              <w:jc w:val="center"/>
              <w:rPr>
                <w:rFonts w:ascii="Times New Roman" w:eastAsia="Times New Roman" w:hAnsi="Times New Roman" w:cs="Times New Roman"/>
                <w:sz w:val="20"/>
                <w:szCs w:val="20"/>
              </w:rPr>
            </w:pPr>
            <w:r w:rsidRPr="00C73849">
              <w:rPr>
                <w:rFonts w:ascii="Times New Roman"/>
                <w:sz w:val="20"/>
              </w:rPr>
              <w:t>2.0</w:t>
            </w:r>
          </w:p>
        </w:tc>
        <w:tc>
          <w:tcPr>
            <w:tcW w:w="1135" w:type="dxa"/>
            <w:tcBorders>
              <w:top w:val="single" w:sz="5" w:space="0" w:color="000000"/>
              <w:left w:val="single" w:sz="5" w:space="0" w:color="000000"/>
              <w:bottom w:val="single" w:sz="12" w:space="0" w:color="000000"/>
              <w:right w:val="single" w:sz="5" w:space="0" w:color="000000"/>
            </w:tcBorders>
          </w:tcPr>
          <w:p w14:paraId="6C80339B"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4</w:t>
            </w:r>
          </w:p>
        </w:tc>
        <w:tc>
          <w:tcPr>
            <w:tcW w:w="1416" w:type="dxa"/>
            <w:tcBorders>
              <w:top w:val="single" w:sz="5" w:space="0" w:color="000000"/>
              <w:left w:val="single" w:sz="5" w:space="0" w:color="000000"/>
              <w:bottom w:val="single" w:sz="12" w:space="0" w:color="000000"/>
              <w:right w:val="single" w:sz="12" w:space="0" w:color="000000"/>
            </w:tcBorders>
          </w:tcPr>
          <w:p w14:paraId="0D48A065" w14:textId="77777777" w:rsidR="00957F89" w:rsidRPr="00C73849" w:rsidRDefault="00D92D87">
            <w:pPr>
              <w:pStyle w:val="TableParagraph"/>
              <w:spacing w:line="222" w:lineRule="exact"/>
              <w:ind w:left="9"/>
              <w:jc w:val="center"/>
              <w:rPr>
                <w:rFonts w:ascii="Times New Roman" w:eastAsia="Times New Roman" w:hAnsi="Times New Roman" w:cs="Times New Roman"/>
                <w:sz w:val="20"/>
                <w:szCs w:val="20"/>
              </w:rPr>
            </w:pPr>
            <w:r w:rsidRPr="00C73849">
              <w:rPr>
                <w:rFonts w:ascii="Times New Roman"/>
                <w:sz w:val="20"/>
              </w:rPr>
              <w:t>2</w:t>
            </w:r>
          </w:p>
        </w:tc>
      </w:tr>
    </w:tbl>
    <w:p w14:paraId="04FF3FEE" w14:textId="77777777" w:rsidR="00957F89" w:rsidRPr="00C73849" w:rsidRDefault="00D92D87">
      <w:pPr>
        <w:spacing w:line="213" w:lineRule="exact"/>
        <w:ind w:left="222"/>
        <w:rPr>
          <w:rFonts w:ascii="Times New Roman" w:eastAsia="Times New Roman" w:hAnsi="Times New Roman" w:cs="Times New Roman"/>
          <w:sz w:val="20"/>
          <w:szCs w:val="20"/>
        </w:rPr>
      </w:pPr>
      <w:proofErr w:type="spellStart"/>
      <w:r w:rsidRPr="00C73849">
        <w:rPr>
          <w:rFonts w:ascii="Times New Roman"/>
          <w:sz w:val="20"/>
        </w:rPr>
        <w:t>bw</w:t>
      </w:r>
      <w:proofErr w:type="spellEnd"/>
      <w:r w:rsidRPr="00C73849">
        <w:rPr>
          <w:rFonts w:ascii="Times New Roman"/>
          <w:sz w:val="20"/>
        </w:rPr>
        <w:t xml:space="preserve"> = body weight; w/v = weight in volume; EPA = electron paramagnetic agent.</w:t>
      </w:r>
    </w:p>
    <w:p w14:paraId="4F444B6D" w14:textId="4BD671BF" w:rsidR="00957F89" w:rsidRPr="00C73849" w:rsidRDefault="00D92D87">
      <w:pPr>
        <w:tabs>
          <w:tab w:val="left" w:pos="649"/>
        </w:tabs>
        <w:spacing w:line="243" w:lineRule="exact"/>
        <w:ind w:left="222"/>
        <w:rPr>
          <w:rFonts w:ascii="Times New Roman" w:eastAsia="Times New Roman" w:hAnsi="Times New Roman" w:cs="Times New Roman"/>
          <w:sz w:val="20"/>
          <w:szCs w:val="20"/>
        </w:rPr>
      </w:pPr>
      <w:r w:rsidRPr="00C73849">
        <w:rPr>
          <w:rFonts w:ascii="Times New Roman"/>
          <w:b/>
          <w:w w:val="95"/>
          <w:position w:val="9"/>
          <w:sz w:val="13"/>
        </w:rPr>
        <w:t>a</w:t>
      </w:r>
      <w:r w:rsidR="00373523">
        <w:rPr>
          <w:rFonts w:ascii="Times New Roman"/>
          <w:b/>
          <w:w w:val="95"/>
          <w:position w:val="9"/>
          <w:sz w:val="13"/>
        </w:rPr>
        <w:t xml:space="preserve"> </w:t>
      </w:r>
      <w:r w:rsidR="00373523">
        <w:rPr>
          <w:rFonts w:ascii="Times New Roman"/>
          <w:sz w:val="20"/>
        </w:rPr>
        <w:t>= e</w:t>
      </w:r>
      <w:r w:rsidRPr="00C73849">
        <w:rPr>
          <w:rFonts w:ascii="Times New Roman"/>
          <w:sz w:val="20"/>
        </w:rPr>
        <w:t>quivalent volume of saline: Sodium Chloride Solution for Infusion (0.9% w/v).</w:t>
      </w:r>
    </w:p>
    <w:p w14:paraId="0A0E76C2" w14:textId="77777777" w:rsidR="00957F89" w:rsidRPr="00C73849" w:rsidRDefault="00957F89">
      <w:pPr>
        <w:rPr>
          <w:rFonts w:ascii="Times New Roman" w:eastAsia="Times New Roman" w:hAnsi="Times New Roman" w:cs="Times New Roman"/>
          <w:sz w:val="20"/>
          <w:szCs w:val="20"/>
        </w:rPr>
      </w:pPr>
    </w:p>
    <w:p w14:paraId="48C9DCAD" w14:textId="77777777" w:rsidR="00957F89" w:rsidRPr="00C73849" w:rsidRDefault="00D92D87" w:rsidP="00B90474">
      <w:pPr>
        <w:keepNext/>
        <w:spacing w:before="69"/>
        <w:ind w:left="222"/>
        <w:rPr>
          <w:rFonts w:ascii="Times New Roman" w:eastAsia="Times New Roman" w:hAnsi="Times New Roman" w:cs="Times New Roman"/>
          <w:sz w:val="24"/>
          <w:szCs w:val="24"/>
        </w:rPr>
      </w:pPr>
      <w:r w:rsidRPr="00C73849">
        <w:rPr>
          <w:rFonts w:ascii="Times New Roman"/>
          <w:b/>
          <w:sz w:val="24"/>
        </w:rPr>
        <w:lastRenderedPageBreak/>
        <w:t>Demographics</w:t>
      </w:r>
    </w:p>
    <w:p w14:paraId="0323AA4C" w14:textId="77777777" w:rsidR="00957F89" w:rsidRPr="00C73849" w:rsidRDefault="00957F89" w:rsidP="00B90474">
      <w:pPr>
        <w:keepNext/>
        <w:spacing w:before="4"/>
        <w:rPr>
          <w:rFonts w:ascii="Times New Roman" w:eastAsia="Times New Roman" w:hAnsi="Times New Roman" w:cs="Times New Roman"/>
          <w:b/>
          <w:bCs/>
          <w:sz w:val="31"/>
          <w:szCs w:val="31"/>
        </w:rPr>
      </w:pPr>
    </w:p>
    <w:p w14:paraId="0A48EA19" w14:textId="77777777" w:rsidR="00957F89" w:rsidRPr="00C73849" w:rsidRDefault="00D92D87" w:rsidP="00B90474">
      <w:pPr>
        <w:keepNext/>
        <w:ind w:left="222"/>
        <w:rPr>
          <w:rFonts w:ascii="Times New Roman" w:eastAsia="Times New Roman" w:hAnsi="Times New Roman" w:cs="Times New Roman"/>
          <w:sz w:val="24"/>
          <w:szCs w:val="24"/>
        </w:rPr>
      </w:pPr>
      <w:r w:rsidRPr="00C73849">
        <w:rPr>
          <w:rFonts w:ascii="Times New Roman"/>
          <w:b/>
          <w:sz w:val="24"/>
        </w:rPr>
        <w:t>Summary Statistics for Baseline Demographic Characteristics by Treatment Group</w:t>
      </w:r>
    </w:p>
    <w:p w14:paraId="2A497550" w14:textId="77777777" w:rsidR="00957F89" w:rsidRPr="00C73849" w:rsidRDefault="00957F89" w:rsidP="00B90474">
      <w:pPr>
        <w:keepNext/>
        <w:spacing w:before="7"/>
        <w:rPr>
          <w:rFonts w:ascii="Times New Roman" w:eastAsia="Times New Roman" w:hAnsi="Times New Roman" w:cs="Times New Roman"/>
          <w:b/>
          <w:bCs/>
          <w:sz w:val="10"/>
          <w:szCs w:val="10"/>
        </w:rPr>
      </w:pPr>
    </w:p>
    <w:tbl>
      <w:tblPr>
        <w:tblW w:w="0" w:type="auto"/>
        <w:tblInd w:w="99" w:type="dxa"/>
        <w:tblLayout w:type="fixed"/>
        <w:tblCellMar>
          <w:left w:w="0" w:type="dxa"/>
          <w:right w:w="0" w:type="dxa"/>
        </w:tblCellMar>
        <w:tblLook w:val="01E0" w:firstRow="1" w:lastRow="1" w:firstColumn="1" w:lastColumn="1" w:noHBand="0" w:noVBand="0"/>
      </w:tblPr>
      <w:tblGrid>
        <w:gridCol w:w="960"/>
        <w:gridCol w:w="1843"/>
        <w:gridCol w:w="991"/>
        <w:gridCol w:w="991"/>
        <w:gridCol w:w="1022"/>
        <w:gridCol w:w="1049"/>
        <w:gridCol w:w="1049"/>
        <w:gridCol w:w="1133"/>
      </w:tblGrid>
      <w:tr w:rsidR="00957F89" w:rsidRPr="00C73849" w14:paraId="10E8AAD1" w14:textId="77777777">
        <w:trPr>
          <w:trHeight w:hRule="exact" w:val="240"/>
        </w:trPr>
        <w:tc>
          <w:tcPr>
            <w:tcW w:w="2803" w:type="dxa"/>
            <w:gridSpan w:val="2"/>
            <w:vMerge w:val="restart"/>
            <w:tcBorders>
              <w:top w:val="single" w:sz="5" w:space="0" w:color="000000"/>
              <w:left w:val="single" w:sz="12" w:space="0" w:color="000000"/>
              <w:right w:val="single" w:sz="5" w:space="0" w:color="000000"/>
            </w:tcBorders>
          </w:tcPr>
          <w:p w14:paraId="5F263952" w14:textId="77777777" w:rsidR="00957F89" w:rsidRPr="00C73849" w:rsidRDefault="00957F89" w:rsidP="00B90474">
            <w:pPr>
              <w:pStyle w:val="TableParagraph"/>
              <w:keepNext/>
              <w:rPr>
                <w:rFonts w:ascii="Times New Roman" w:eastAsia="Times New Roman" w:hAnsi="Times New Roman" w:cs="Times New Roman"/>
                <w:b/>
                <w:bCs/>
                <w:sz w:val="20"/>
                <w:szCs w:val="20"/>
              </w:rPr>
            </w:pPr>
          </w:p>
          <w:p w14:paraId="5871E361" w14:textId="77777777" w:rsidR="00957F89" w:rsidRPr="00C73849" w:rsidRDefault="00957F89" w:rsidP="00B90474">
            <w:pPr>
              <w:pStyle w:val="TableParagraph"/>
              <w:keepNext/>
              <w:rPr>
                <w:rFonts w:ascii="Times New Roman" w:eastAsia="Times New Roman" w:hAnsi="Times New Roman" w:cs="Times New Roman"/>
                <w:b/>
                <w:bCs/>
                <w:sz w:val="20"/>
                <w:szCs w:val="20"/>
              </w:rPr>
            </w:pPr>
          </w:p>
          <w:p w14:paraId="242CE7A4" w14:textId="77777777" w:rsidR="00957F89" w:rsidRPr="00C73849" w:rsidRDefault="00957F89" w:rsidP="00B90474">
            <w:pPr>
              <w:pStyle w:val="TableParagraph"/>
              <w:keepNext/>
              <w:rPr>
                <w:rFonts w:ascii="Times New Roman" w:eastAsia="Times New Roman" w:hAnsi="Times New Roman" w:cs="Times New Roman"/>
                <w:b/>
                <w:bCs/>
                <w:sz w:val="20"/>
                <w:szCs w:val="20"/>
              </w:rPr>
            </w:pPr>
          </w:p>
          <w:p w14:paraId="69BF4B87" w14:textId="77777777" w:rsidR="00957F89" w:rsidRPr="00C73849" w:rsidRDefault="00957F89" w:rsidP="00B90474">
            <w:pPr>
              <w:pStyle w:val="TableParagraph"/>
              <w:keepNext/>
              <w:spacing w:before="8"/>
              <w:rPr>
                <w:rFonts w:ascii="Times New Roman" w:eastAsia="Times New Roman" w:hAnsi="Times New Roman" w:cs="Times New Roman"/>
                <w:b/>
                <w:bCs/>
                <w:sz w:val="20"/>
                <w:szCs w:val="20"/>
              </w:rPr>
            </w:pPr>
          </w:p>
          <w:p w14:paraId="6AC168C9" w14:textId="77777777" w:rsidR="00957F89" w:rsidRPr="00C73849" w:rsidRDefault="00D92D87" w:rsidP="00B90474">
            <w:pPr>
              <w:pStyle w:val="TableParagraph"/>
              <w:keepNext/>
              <w:ind w:right="7"/>
              <w:jc w:val="center"/>
              <w:rPr>
                <w:rFonts w:ascii="Times New Roman" w:eastAsia="Times New Roman" w:hAnsi="Times New Roman" w:cs="Times New Roman"/>
                <w:sz w:val="20"/>
                <w:szCs w:val="20"/>
              </w:rPr>
            </w:pPr>
            <w:r w:rsidRPr="00C73849">
              <w:rPr>
                <w:rFonts w:ascii="Times New Roman"/>
                <w:b/>
                <w:sz w:val="20"/>
              </w:rPr>
              <w:t>Variable</w:t>
            </w:r>
          </w:p>
        </w:tc>
        <w:tc>
          <w:tcPr>
            <w:tcW w:w="6235" w:type="dxa"/>
            <w:gridSpan w:val="6"/>
            <w:tcBorders>
              <w:top w:val="single" w:sz="5" w:space="0" w:color="000000"/>
              <w:left w:val="single" w:sz="5" w:space="0" w:color="000000"/>
              <w:bottom w:val="single" w:sz="5" w:space="0" w:color="000000"/>
              <w:right w:val="single" w:sz="12" w:space="0" w:color="000000"/>
            </w:tcBorders>
          </w:tcPr>
          <w:p w14:paraId="18DDD2B2" w14:textId="77777777" w:rsidR="00957F89" w:rsidRPr="00C73849" w:rsidRDefault="00D92D87" w:rsidP="00B90474">
            <w:pPr>
              <w:pStyle w:val="TableParagraph"/>
              <w:keepNext/>
              <w:spacing w:line="227" w:lineRule="exact"/>
              <w:ind w:left="12"/>
              <w:jc w:val="center"/>
              <w:rPr>
                <w:rFonts w:ascii="Times New Roman" w:eastAsia="Times New Roman" w:hAnsi="Times New Roman" w:cs="Times New Roman"/>
                <w:sz w:val="20"/>
                <w:szCs w:val="20"/>
              </w:rPr>
            </w:pPr>
            <w:r w:rsidRPr="00C73849">
              <w:rPr>
                <w:rFonts w:ascii="Times New Roman"/>
                <w:b/>
                <w:sz w:val="20"/>
              </w:rPr>
              <w:t>Dose Group</w:t>
            </w:r>
          </w:p>
        </w:tc>
      </w:tr>
      <w:tr w:rsidR="00957F89" w:rsidRPr="00C73849" w14:paraId="4537A73A" w14:textId="77777777">
        <w:trPr>
          <w:trHeight w:hRule="exact" w:val="240"/>
        </w:trPr>
        <w:tc>
          <w:tcPr>
            <w:tcW w:w="2803" w:type="dxa"/>
            <w:gridSpan w:val="2"/>
            <w:vMerge/>
            <w:tcBorders>
              <w:left w:val="single" w:sz="12" w:space="0" w:color="000000"/>
              <w:right w:val="single" w:sz="5" w:space="0" w:color="000000"/>
            </w:tcBorders>
          </w:tcPr>
          <w:p w14:paraId="48EDD796" w14:textId="77777777" w:rsidR="00957F89" w:rsidRPr="00C73849" w:rsidRDefault="00957F89" w:rsidP="00B90474">
            <w:pPr>
              <w:keepNext/>
            </w:pPr>
          </w:p>
        </w:tc>
        <w:tc>
          <w:tcPr>
            <w:tcW w:w="5102" w:type="dxa"/>
            <w:gridSpan w:val="5"/>
            <w:tcBorders>
              <w:top w:val="single" w:sz="5" w:space="0" w:color="000000"/>
              <w:left w:val="single" w:sz="5" w:space="0" w:color="000000"/>
              <w:bottom w:val="single" w:sz="5" w:space="0" w:color="000000"/>
              <w:right w:val="single" w:sz="5" w:space="0" w:color="000000"/>
            </w:tcBorders>
          </w:tcPr>
          <w:p w14:paraId="67747027" w14:textId="77777777" w:rsidR="00957F89" w:rsidRPr="00C73849" w:rsidRDefault="00D92D87" w:rsidP="00B90474">
            <w:pPr>
              <w:pStyle w:val="TableParagraph"/>
              <w:keepNext/>
              <w:spacing w:line="227" w:lineRule="exact"/>
              <w:ind w:right="1"/>
              <w:jc w:val="center"/>
              <w:rPr>
                <w:rFonts w:ascii="Times New Roman" w:eastAsia="Times New Roman" w:hAnsi="Times New Roman" w:cs="Times New Roman"/>
                <w:sz w:val="20"/>
                <w:szCs w:val="20"/>
              </w:rPr>
            </w:pPr>
            <w:r w:rsidRPr="00C73849">
              <w:rPr>
                <w:rFonts w:ascii="Times New Roman"/>
                <w:b/>
                <w:sz w:val="20"/>
              </w:rPr>
              <w:t>Pyruvate Injection</w:t>
            </w:r>
          </w:p>
        </w:tc>
        <w:tc>
          <w:tcPr>
            <w:tcW w:w="1133" w:type="dxa"/>
            <w:vMerge w:val="restart"/>
            <w:tcBorders>
              <w:top w:val="single" w:sz="5" w:space="0" w:color="000000"/>
              <w:left w:val="single" w:sz="5" w:space="0" w:color="000000"/>
              <w:right w:val="single" w:sz="12" w:space="0" w:color="000000"/>
            </w:tcBorders>
          </w:tcPr>
          <w:p w14:paraId="78FF8020" w14:textId="77777777" w:rsidR="00957F89" w:rsidRPr="00C73849" w:rsidRDefault="00957F89" w:rsidP="00B90474">
            <w:pPr>
              <w:pStyle w:val="TableParagraph"/>
              <w:keepNext/>
              <w:rPr>
                <w:rFonts w:ascii="Times New Roman" w:eastAsia="Times New Roman" w:hAnsi="Times New Roman" w:cs="Times New Roman"/>
                <w:b/>
                <w:bCs/>
                <w:sz w:val="20"/>
                <w:szCs w:val="20"/>
              </w:rPr>
            </w:pPr>
          </w:p>
          <w:p w14:paraId="7CE34468" w14:textId="77777777" w:rsidR="00957F89" w:rsidRPr="00C73849" w:rsidRDefault="00957F89" w:rsidP="00B90474">
            <w:pPr>
              <w:pStyle w:val="TableParagraph"/>
              <w:keepNext/>
              <w:spacing w:before="10"/>
              <w:rPr>
                <w:rFonts w:ascii="Times New Roman" w:eastAsia="Times New Roman" w:hAnsi="Times New Roman" w:cs="Times New Roman"/>
                <w:b/>
                <w:bCs/>
                <w:sz w:val="19"/>
                <w:szCs w:val="19"/>
              </w:rPr>
            </w:pPr>
          </w:p>
          <w:p w14:paraId="35C4427E" w14:textId="77777777" w:rsidR="00957F89" w:rsidRPr="00C73849" w:rsidRDefault="00D92D87" w:rsidP="00B90474">
            <w:pPr>
              <w:pStyle w:val="TableParagraph"/>
              <w:keepNext/>
              <w:ind w:left="330" w:right="214" w:hanging="104"/>
              <w:rPr>
                <w:rFonts w:ascii="Times New Roman" w:eastAsia="Times New Roman" w:hAnsi="Times New Roman" w:cs="Times New Roman"/>
                <w:sz w:val="20"/>
                <w:szCs w:val="20"/>
              </w:rPr>
            </w:pPr>
            <w:r w:rsidRPr="00C73849">
              <w:rPr>
                <w:rFonts w:ascii="Times New Roman"/>
                <w:b/>
                <w:sz w:val="20"/>
              </w:rPr>
              <w:t>Placebo</w:t>
            </w:r>
            <w:r w:rsidRPr="00C73849">
              <w:rPr>
                <w:rFonts w:ascii="Times New Roman"/>
                <w:b/>
                <w:w w:val="99"/>
                <w:sz w:val="20"/>
              </w:rPr>
              <w:t xml:space="preserve"> </w:t>
            </w:r>
            <w:r w:rsidRPr="00C73849">
              <w:rPr>
                <w:rFonts w:ascii="Times New Roman"/>
                <w:b/>
                <w:sz w:val="20"/>
              </w:rPr>
              <w:t>N=10</w:t>
            </w:r>
          </w:p>
        </w:tc>
      </w:tr>
      <w:tr w:rsidR="00957F89" w:rsidRPr="00C73849" w14:paraId="6D264878" w14:textId="77777777">
        <w:trPr>
          <w:trHeight w:hRule="exact" w:val="701"/>
        </w:trPr>
        <w:tc>
          <w:tcPr>
            <w:tcW w:w="2803" w:type="dxa"/>
            <w:gridSpan w:val="2"/>
            <w:vMerge/>
            <w:tcBorders>
              <w:left w:val="single" w:sz="12" w:space="0" w:color="000000"/>
              <w:bottom w:val="single" w:sz="5" w:space="0" w:color="000000"/>
              <w:right w:val="single" w:sz="5" w:space="0" w:color="000000"/>
            </w:tcBorders>
          </w:tcPr>
          <w:p w14:paraId="0317328B" w14:textId="77777777" w:rsidR="00957F89" w:rsidRPr="00C73849" w:rsidRDefault="00957F89" w:rsidP="00B90474">
            <w:pPr>
              <w:keepNext/>
            </w:pPr>
          </w:p>
        </w:tc>
        <w:tc>
          <w:tcPr>
            <w:tcW w:w="991" w:type="dxa"/>
            <w:tcBorders>
              <w:top w:val="single" w:sz="5" w:space="0" w:color="000000"/>
              <w:left w:val="single" w:sz="5" w:space="0" w:color="000000"/>
              <w:bottom w:val="single" w:sz="5" w:space="0" w:color="000000"/>
              <w:right w:val="single" w:sz="5" w:space="0" w:color="000000"/>
            </w:tcBorders>
          </w:tcPr>
          <w:p w14:paraId="2BFAA323" w14:textId="77777777" w:rsidR="00957F89" w:rsidRPr="00C73849" w:rsidRDefault="00D92D87" w:rsidP="00B90474">
            <w:pPr>
              <w:pStyle w:val="TableParagraph"/>
              <w:keepNext/>
              <w:spacing w:line="227" w:lineRule="exact"/>
              <w:ind w:left="313"/>
              <w:rPr>
                <w:rFonts w:ascii="Times New Roman" w:eastAsia="Times New Roman" w:hAnsi="Times New Roman" w:cs="Times New Roman"/>
                <w:sz w:val="20"/>
                <w:szCs w:val="20"/>
              </w:rPr>
            </w:pPr>
            <w:r w:rsidRPr="00C73849">
              <w:rPr>
                <w:rFonts w:ascii="Times New Roman"/>
                <w:b/>
                <w:sz w:val="20"/>
              </w:rPr>
              <w:t>0.14</w:t>
            </w:r>
          </w:p>
          <w:p w14:paraId="495148BD" w14:textId="77777777" w:rsidR="00957F89" w:rsidRPr="00C73849" w:rsidRDefault="00D92D87" w:rsidP="00B90474">
            <w:pPr>
              <w:pStyle w:val="TableParagraph"/>
              <w:keepNext/>
              <w:ind w:left="310" w:right="245" w:hanging="65"/>
              <w:rPr>
                <w:rFonts w:ascii="Times New Roman" w:eastAsia="Times New Roman" w:hAnsi="Times New Roman" w:cs="Times New Roman"/>
                <w:sz w:val="20"/>
                <w:szCs w:val="20"/>
              </w:rPr>
            </w:pPr>
            <w:r w:rsidRPr="00C73849">
              <w:rPr>
                <w:rFonts w:ascii="Times New Roman"/>
                <w:b/>
                <w:sz w:val="20"/>
              </w:rPr>
              <w:t>ml/kg</w:t>
            </w:r>
            <w:r w:rsidRPr="00C73849">
              <w:rPr>
                <w:rFonts w:ascii="Times New Roman"/>
                <w:b/>
                <w:w w:val="99"/>
                <w:sz w:val="20"/>
              </w:rPr>
              <w:t xml:space="preserve"> </w:t>
            </w:r>
            <w:r w:rsidRPr="00C73849">
              <w:rPr>
                <w:rFonts w:ascii="Times New Roman"/>
                <w:b/>
                <w:sz w:val="20"/>
              </w:rPr>
              <w:t>N=4</w:t>
            </w:r>
          </w:p>
        </w:tc>
        <w:tc>
          <w:tcPr>
            <w:tcW w:w="991" w:type="dxa"/>
            <w:tcBorders>
              <w:top w:val="single" w:sz="5" w:space="0" w:color="000000"/>
              <w:left w:val="single" w:sz="5" w:space="0" w:color="000000"/>
              <w:bottom w:val="single" w:sz="5" w:space="0" w:color="000000"/>
              <w:right w:val="single" w:sz="5" w:space="0" w:color="000000"/>
            </w:tcBorders>
          </w:tcPr>
          <w:p w14:paraId="4E604F07" w14:textId="77777777" w:rsidR="00957F89" w:rsidRPr="00C73849" w:rsidRDefault="00D92D87" w:rsidP="00B90474">
            <w:pPr>
              <w:pStyle w:val="TableParagraph"/>
              <w:keepNext/>
              <w:spacing w:line="227" w:lineRule="exact"/>
              <w:ind w:left="313"/>
              <w:rPr>
                <w:rFonts w:ascii="Times New Roman" w:eastAsia="Times New Roman" w:hAnsi="Times New Roman" w:cs="Times New Roman"/>
                <w:sz w:val="20"/>
                <w:szCs w:val="20"/>
              </w:rPr>
            </w:pPr>
            <w:r w:rsidRPr="00C73849">
              <w:rPr>
                <w:rFonts w:ascii="Times New Roman"/>
                <w:b/>
                <w:sz w:val="20"/>
              </w:rPr>
              <w:t>0.21</w:t>
            </w:r>
          </w:p>
          <w:p w14:paraId="5FC4AD9C" w14:textId="77777777" w:rsidR="00957F89" w:rsidRPr="00C73849" w:rsidRDefault="00D92D87" w:rsidP="00B90474">
            <w:pPr>
              <w:pStyle w:val="TableParagraph"/>
              <w:keepNext/>
              <w:ind w:left="311" w:right="245" w:hanging="65"/>
              <w:rPr>
                <w:rFonts w:ascii="Times New Roman" w:eastAsia="Times New Roman" w:hAnsi="Times New Roman" w:cs="Times New Roman"/>
                <w:sz w:val="20"/>
                <w:szCs w:val="20"/>
              </w:rPr>
            </w:pPr>
            <w:r w:rsidRPr="00C73849">
              <w:rPr>
                <w:rFonts w:ascii="Times New Roman"/>
                <w:b/>
                <w:sz w:val="20"/>
              </w:rPr>
              <w:t>ml/kg</w:t>
            </w:r>
            <w:r w:rsidRPr="00C73849">
              <w:rPr>
                <w:rFonts w:ascii="Times New Roman"/>
                <w:b/>
                <w:w w:val="99"/>
                <w:sz w:val="20"/>
              </w:rPr>
              <w:t xml:space="preserve"> </w:t>
            </w:r>
            <w:r w:rsidRPr="00C73849">
              <w:rPr>
                <w:rFonts w:ascii="Times New Roman"/>
                <w:b/>
                <w:sz w:val="20"/>
              </w:rPr>
              <w:t>N=4</w:t>
            </w:r>
          </w:p>
        </w:tc>
        <w:tc>
          <w:tcPr>
            <w:tcW w:w="1022" w:type="dxa"/>
            <w:tcBorders>
              <w:top w:val="single" w:sz="5" w:space="0" w:color="000000"/>
              <w:left w:val="single" w:sz="5" w:space="0" w:color="000000"/>
              <w:bottom w:val="single" w:sz="5" w:space="0" w:color="000000"/>
              <w:right w:val="single" w:sz="5" w:space="0" w:color="000000"/>
            </w:tcBorders>
          </w:tcPr>
          <w:p w14:paraId="1745335C" w14:textId="77777777" w:rsidR="00957F89" w:rsidRPr="00C73849" w:rsidRDefault="00D92D87" w:rsidP="00B90474">
            <w:pPr>
              <w:pStyle w:val="TableParagraph"/>
              <w:keepNext/>
              <w:spacing w:line="227" w:lineRule="exact"/>
              <w:ind w:left="327"/>
              <w:rPr>
                <w:rFonts w:ascii="Times New Roman" w:eastAsia="Times New Roman" w:hAnsi="Times New Roman" w:cs="Times New Roman"/>
                <w:sz w:val="20"/>
                <w:szCs w:val="20"/>
              </w:rPr>
            </w:pPr>
            <w:r w:rsidRPr="00C73849">
              <w:rPr>
                <w:rFonts w:ascii="Times New Roman"/>
                <w:b/>
                <w:sz w:val="20"/>
              </w:rPr>
              <w:t>0.28</w:t>
            </w:r>
          </w:p>
          <w:p w14:paraId="54D0034C" w14:textId="77777777" w:rsidR="00957F89" w:rsidRPr="00C73849" w:rsidRDefault="00D92D87" w:rsidP="00B90474">
            <w:pPr>
              <w:pStyle w:val="TableParagraph"/>
              <w:keepNext/>
              <w:ind w:left="325" w:right="262" w:hanging="65"/>
              <w:rPr>
                <w:rFonts w:ascii="Times New Roman" w:eastAsia="Times New Roman" w:hAnsi="Times New Roman" w:cs="Times New Roman"/>
                <w:sz w:val="20"/>
                <w:szCs w:val="20"/>
              </w:rPr>
            </w:pPr>
            <w:r w:rsidRPr="00C73849">
              <w:rPr>
                <w:rFonts w:ascii="Times New Roman"/>
                <w:b/>
                <w:sz w:val="20"/>
              </w:rPr>
              <w:t>ml/kg</w:t>
            </w:r>
            <w:r w:rsidRPr="00C73849">
              <w:rPr>
                <w:rFonts w:ascii="Times New Roman"/>
                <w:b/>
                <w:w w:val="99"/>
                <w:sz w:val="20"/>
              </w:rPr>
              <w:t xml:space="preserve"> </w:t>
            </w:r>
            <w:r w:rsidRPr="00C73849">
              <w:rPr>
                <w:rFonts w:ascii="Times New Roman"/>
                <w:b/>
                <w:sz w:val="20"/>
              </w:rPr>
              <w:t>N=4</w:t>
            </w:r>
          </w:p>
        </w:tc>
        <w:tc>
          <w:tcPr>
            <w:tcW w:w="1049" w:type="dxa"/>
            <w:tcBorders>
              <w:top w:val="single" w:sz="5" w:space="0" w:color="000000"/>
              <w:left w:val="single" w:sz="5" w:space="0" w:color="000000"/>
              <w:bottom w:val="single" w:sz="5" w:space="0" w:color="000000"/>
              <w:right w:val="single" w:sz="5" w:space="0" w:color="000000"/>
            </w:tcBorders>
          </w:tcPr>
          <w:p w14:paraId="4B1B6143" w14:textId="77777777" w:rsidR="00957F89" w:rsidRPr="00C73849" w:rsidRDefault="00D92D87" w:rsidP="00B90474">
            <w:pPr>
              <w:pStyle w:val="TableParagraph"/>
              <w:keepNext/>
              <w:spacing w:line="228" w:lineRule="exact"/>
              <w:ind w:left="342"/>
              <w:rPr>
                <w:rFonts w:ascii="Times New Roman" w:eastAsia="Times New Roman" w:hAnsi="Times New Roman" w:cs="Times New Roman"/>
                <w:sz w:val="20"/>
                <w:szCs w:val="20"/>
              </w:rPr>
            </w:pPr>
            <w:r w:rsidRPr="00C73849">
              <w:rPr>
                <w:rFonts w:ascii="Times New Roman"/>
                <w:b/>
                <w:sz w:val="20"/>
              </w:rPr>
              <w:t>0.36</w:t>
            </w:r>
          </w:p>
          <w:p w14:paraId="746F1B55" w14:textId="77777777" w:rsidR="00957F89" w:rsidRPr="00C73849" w:rsidRDefault="00D92D87" w:rsidP="00B90474">
            <w:pPr>
              <w:pStyle w:val="TableParagraph"/>
              <w:keepNext/>
              <w:ind w:left="339" w:right="274" w:hanging="65"/>
              <w:rPr>
                <w:rFonts w:ascii="Times New Roman" w:eastAsia="Times New Roman" w:hAnsi="Times New Roman" w:cs="Times New Roman"/>
                <w:sz w:val="20"/>
                <w:szCs w:val="20"/>
              </w:rPr>
            </w:pPr>
            <w:r w:rsidRPr="00C73849">
              <w:rPr>
                <w:rFonts w:ascii="Times New Roman"/>
                <w:b/>
                <w:sz w:val="20"/>
              </w:rPr>
              <w:t>ml/kg</w:t>
            </w:r>
            <w:r w:rsidRPr="00C73849">
              <w:rPr>
                <w:rFonts w:ascii="Times New Roman"/>
                <w:b/>
                <w:w w:val="99"/>
                <w:sz w:val="20"/>
              </w:rPr>
              <w:t xml:space="preserve"> </w:t>
            </w:r>
            <w:r w:rsidRPr="00C73849">
              <w:rPr>
                <w:rFonts w:ascii="Times New Roman"/>
                <w:b/>
                <w:sz w:val="20"/>
              </w:rPr>
              <w:t>N=4</w:t>
            </w:r>
          </w:p>
        </w:tc>
        <w:tc>
          <w:tcPr>
            <w:tcW w:w="1049" w:type="dxa"/>
            <w:tcBorders>
              <w:top w:val="single" w:sz="5" w:space="0" w:color="000000"/>
              <w:left w:val="single" w:sz="5" w:space="0" w:color="000000"/>
              <w:bottom w:val="single" w:sz="5" w:space="0" w:color="000000"/>
              <w:right w:val="single" w:sz="5" w:space="0" w:color="000000"/>
            </w:tcBorders>
          </w:tcPr>
          <w:p w14:paraId="65787D78" w14:textId="77777777" w:rsidR="00957F89" w:rsidRPr="00C73849" w:rsidRDefault="00D92D87" w:rsidP="00B90474">
            <w:pPr>
              <w:pStyle w:val="TableParagraph"/>
              <w:keepNext/>
              <w:spacing w:line="228" w:lineRule="exact"/>
              <w:ind w:left="342"/>
              <w:rPr>
                <w:rFonts w:ascii="Times New Roman" w:eastAsia="Times New Roman" w:hAnsi="Times New Roman" w:cs="Times New Roman"/>
                <w:sz w:val="20"/>
                <w:szCs w:val="20"/>
              </w:rPr>
            </w:pPr>
            <w:r w:rsidRPr="00C73849">
              <w:rPr>
                <w:rFonts w:ascii="Times New Roman"/>
                <w:b/>
                <w:sz w:val="20"/>
              </w:rPr>
              <w:t>0.43</w:t>
            </w:r>
          </w:p>
          <w:p w14:paraId="5A724C85" w14:textId="77777777" w:rsidR="00957F89" w:rsidRPr="00C73849" w:rsidRDefault="00D92D87" w:rsidP="00B90474">
            <w:pPr>
              <w:pStyle w:val="TableParagraph"/>
              <w:keepNext/>
              <w:ind w:left="339" w:right="274" w:hanging="65"/>
              <w:rPr>
                <w:rFonts w:ascii="Times New Roman" w:eastAsia="Times New Roman" w:hAnsi="Times New Roman" w:cs="Times New Roman"/>
                <w:sz w:val="20"/>
                <w:szCs w:val="20"/>
              </w:rPr>
            </w:pPr>
            <w:r w:rsidRPr="00C73849">
              <w:rPr>
                <w:rFonts w:ascii="Times New Roman"/>
                <w:b/>
                <w:sz w:val="20"/>
              </w:rPr>
              <w:t>ml/kg</w:t>
            </w:r>
            <w:r w:rsidRPr="00C73849">
              <w:rPr>
                <w:rFonts w:ascii="Times New Roman"/>
                <w:b/>
                <w:w w:val="99"/>
                <w:sz w:val="20"/>
              </w:rPr>
              <w:t xml:space="preserve"> </w:t>
            </w:r>
            <w:r w:rsidRPr="00C73849">
              <w:rPr>
                <w:rFonts w:ascii="Times New Roman"/>
                <w:b/>
                <w:sz w:val="20"/>
              </w:rPr>
              <w:t>N=4</w:t>
            </w:r>
          </w:p>
        </w:tc>
        <w:tc>
          <w:tcPr>
            <w:tcW w:w="1133" w:type="dxa"/>
            <w:vMerge/>
            <w:tcBorders>
              <w:left w:val="single" w:sz="5" w:space="0" w:color="000000"/>
              <w:bottom w:val="single" w:sz="5" w:space="0" w:color="000000"/>
              <w:right w:val="single" w:sz="12" w:space="0" w:color="000000"/>
            </w:tcBorders>
          </w:tcPr>
          <w:p w14:paraId="6DEE61AE" w14:textId="77777777" w:rsidR="00957F89" w:rsidRPr="00C73849" w:rsidRDefault="00957F89" w:rsidP="00B90474">
            <w:pPr>
              <w:keepNext/>
            </w:pPr>
          </w:p>
        </w:tc>
      </w:tr>
      <w:tr w:rsidR="00957F89" w:rsidRPr="00C73849" w14:paraId="1D1F30EB" w14:textId="77777777">
        <w:trPr>
          <w:trHeight w:hRule="exact" w:val="240"/>
        </w:trPr>
        <w:tc>
          <w:tcPr>
            <w:tcW w:w="960" w:type="dxa"/>
            <w:vMerge w:val="restart"/>
            <w:tcBorders>
              <w:top w:val="single" w:sz="5" w:space="0" w:color="000000"/>
              <w:left w:val="single" w:sz="12" w:space="0" w:color="000000"/>
              <w:right w:val="single" w:sz="5" w:space="0" w:color="000000"/>
            </w:tcBorders>
          </w:tcPr>
          <w:p w14:paraId="70B711F6" w14:textId="77777777" w:rsidR="00957F89" w:rsidRPr="00C73849" w:rsidRDefault="00D92D87" w:rsidP="00B90474">
            <w:pPr>
              <w:pStyle w:val="TableParagraph"/>
              <w:keepNext/>
              <w:spacing w:line="222" w:lineRule="exact"/>
              <w:ind w:left="92"/>
              <w:rPr>
                <w:rFonts w:ascii="Times New Roman" w:eastAsia="Times New Roman" w:hAnsi="Times New Roman" w:cs="Times New Roman"/>
                <w:sz w:val="20"/>
                <w:szCs w:val="20"/>
              </w:rPr>
            </w:pPr>
            <w:r w:rsidRPr="00C73849">
              <w:rPr>
                <w:rFonts w:ascii="Times New Roman"/>
                <w:sz w:val="20"/>
              </w:rPr>
              <w:t>Gender</w:t>
            </w:r>
          </w:p>
        </w:tc>
        <w:tc>
          <w:tcPr>
            <w:tcW w:w="1843" w:type="dxa"/>
            <w:tcBorders>
              <w:top w:val="single" w:sz="5" w:space="0" w:color="000000"/>
              <w:left w:val="single" w:sz="5" w:space="0" w:color="000000"/>
              <w:bottom w:val="single" w:sz="5" w:space="0" w:color="000000"/>
              <w:right w:val="single" w:sz="5" w:space="0" w:color="000000"/>
            </w:tcBorders>
          </w:tcPr>
          <w:p w14:paraId="3A38F9A3" w14:textId="77777777" w:rsidR="00957F89" w:rsidRPr="00C73849" w:rsidRDefault="00D92D87" w:rsidP="00B90474">
            <w:pPr>
              <w:pStyle w:val="TableParagraph"/>
              <w:keepNext/>
              <w:spacing w:line="222" w:lineRule="exact"/>
              <w:ind w:left="102"/>
              <w:rPr>
                <w:rFonts w:ascii="Times New Roman" w:eastAsia="Times New Roman" w:hAnsi="Times New Roman" w:cs="Times New Roman"/>
                <w:sz w:val="20"/>
                <w:szCs w:val="20"/>
              </w:rPr>
            </w:pPr>
            <w:r w:rsidRPr="00C73849">
              <w:rPr>
                <w:rFonts w:ascii="Times New Roman"/>
                <w:sz w:val="20"/>
              </w:rPr>
              <w:t>Male</w:t>
            </w:r>
          </w:p>
        </w:tc>
        <w:tc>
          <w:tcPr>
            <w:tcW w:w="991" w:type="dxa"/>
            <w:tcBorders>
              <w:top w:val="single" w:sz="5" w:space="0" w:color="000000"/>
              <w:left w:val="single" w:sz="5" w:space="0" w:color="000000"/>
              <w:bottom w:val="single" w:sz="5" w:space="0" w:color="000000"/>
              <w:right w:val="single" w:sz="5" w:space="0" w:color="000000"/>
            </w:tcBorders>
          </w:tcPr>
          <w:p w14:paraId="36CDB204" w14:textId="77777777" w:rsidR="00957F89" w:rsidRPr="00C73849" w:rsidRDefault="00D92D87" w:rsidP="00B90474">
            <w:pPr>
              <w:pStyle w:val="TableParagraph"/>
              <w:keepNext/>
              <w:spacing w:line="222" w:lineRule="exact"/>
              <w:ind w:left="163"/>
              <w:rPr>
                <w:rFonts w:ascii="Times New Roman" w:eastAsia="Times New Roman" w:hAnsi="Times New Roman" w:cs="Times New Roman"/>
                <w:sz w:val="20"/>
                <w:szCs w:val="20"/>
              </w:rPr>
            </w:pPr>
            <w:r w:rsidRPr="00C73849">
              <w:rPr>
                <w:rFonts w:ascii="Times New Roman"/>
                <w:sz w:val="20"/>
              </w:rPr>
              <w:t>2 (50%)</w:t>
            </w:r>
          </w:p>
        </w:tc>
        <w:tc>
          <w:tcPr>
            <w:tcW w:w="991" w:type="dxa"/>
            <w:tcBorders>
              <w:top w:val="single" w:sz="5" w:space="0" w:color="000000"/>
              <w:left w:val="single" w:sz="5" w:space="0" w:color="000000"/>
              <w:bottom w:val="single" w:sz="5" w:space="0" w:color="000000"/>
              <w:right w:val="single" w:sz="5" w:space="0" w:color="000000"/>
            </w:tcBorders>
          </w:tcPr>
          <w:p w14:paraId="0C330817" w14:textId="77777777" w:rsidR="00957F89" w:rsidRPr="00C73849" w:rsidRDefault="00D92D87" w:rsidP="00B90474">
            <w:pPr>
              <w:pStyle w:val="TableParagraph"/>
              <w:keepNext/>
              <w:spacing w:line="222" w:lineRule="exact"/>
              <w:ind w:left="163"/>
              <w:rPr>
                <w:rFonts w:ascii="Times New Roman" w:eastAsia="Times New Roman" w:hAnsi="Times New Roman" w:cs="Times New Roman"/>
                <w:sz w:val="20"/>
                <w:szCs w:val="20"/>
              </w:rPr>
            </w:pPr>
            <w:r w:rsidRPr="00C73849">
              <w:rPr>
                <w:rFonts w:ascii="Times New Roman"/>
                <w:sz w:val="20"/>
              </w:rPr>
              <w:t>2 (50%)</w:t>
            </w:r>
          </w:p>
        </w:tc>
        <w:tc>
          <w:tcPr>
            <w:tcW w:w="1022" w:type="dxa"/>
            <w:tcBorders>
              <w:top w:val="single" w:sz="5" w:space="0" w:color="000000"/>
              <w:left w:val="single" w:sz="5" w:space="0" w:color="000000"/>
              <w:bottom w:val="single" w:sz="5" w:space="0" w:color="000000"/>
              <w:right w:val="single" w:sz="5" w:space="0" w:color="000000"/>
            </w:tcBorders>
          </w:tcPr>
          <w:p w14:paraId="1CCA1C85" w14:textId="77777777" w:rsidR="00957F89" w:rsidRPr="00C73849" w:rsidRDefault="00D92D87" w:rsidP="00B90474">
            <w:pPr>
              <w:pStyle w:val="TableParagraph"/>
              <w:keepNext/>
              <w:spacing w:line="222" w:lineRule="exact"/>
              <w:ind w:left="177"/>
              <w:rPr>
                <w:rFonts w:ascii="Times New Roman" w:eastAsia="Times New Roman" w:hAnsi="Times New Roman" w:cs="Times New Roman"/>
                <w:sz w:val="20"/>
                <w:szCs w:val="20"/>
              </w:rPr>
            </w:pPr>
            <w:r w:rsidRPr="00C73849">
              <w:rPr>
                <w:rFonts w:ascii="Times New Roman"/>
                <w:sz w:val="20"/>
              </w:rPr>
              <w:t>3 (75%)</w:t>
            </w:r>
          </w:p>
        </w:tc>
        <w:tc>
          <w:tcPr>
            <w:tcW w:w="1049" w:type="dxa"/>
            <w:tcBorders>
              <w:top w:val="single" w:sz="5" w:space="0" w:color="000000"/>
              <w:left w:val="single" w:sz="5" w:space="0" w:color="000000"/>
              <w:bottom w:val="single" w:sz="5" w:space="0" w:color="000000"/>
              <w:right w:val="single" w:sz="5" w:space="0" w:color="000000"/>
            </w:tcBorders>
          </w:tcPr>
          <w:p w14:paraId="10B4DCB5" w14:textId="77777777" w:rsidR="00957F89" w:rsidRPr="00C73849" w:rsidRDefault="00D92D87" w:rsidP="00B90474">
            <w:pPr>
              <w:pStyle w:val="TableParagraph"/>
              <w:keepNext/>
              <w:spacing w:line="222" w:lineRule="exact"/>
              <w:ind w:left="191"/>
              <w:rPr>
                <w:rFonts w:ascii="Times New Roman" w:eastAsia="Times New Roman" w:hAnsi="Times New Roman" w:cs="Times New Roman"/>
                <w:sz w:val="20"/>
                <w:szCs w:val="20"/>
              </w:rPr>
            </w:pPr>
            <w:r w:rsidRPr="00C73849">
              <w:rPr>
                <w:rFonts w:ascii="Times New Roman"/>
                <w:sz w:val="20"/>
              </w:rPr>
              <w:t>2 (50%)</w:t>
            </w:r>
          </w:p>
        </w:tc>
        <w:tc>
          <w:tcPr>
            <w:tcW w:w="1049" w:type="dxa"/>
            <w:tcBorders>
              <w:top w:val="single" w:sz="5" w:space="0" w:color="000000"/>
              <w:left w:val="single" w:sz="5" w:space="0" w:color="000000"/>
              <w:bottom w:val="single" w:sz="5" w:space="0" w:color="000000"/>
              <w:right w:val="single" w:sz="5" w:space="0" w:color="000000"/>
            </w:tcBorders>
          </w:tcPr>
          <w:p w14:paraId="0583BCB0" w14:textId="77777777" w:rsidR="00957F89" w:rsidRPr="00C73849" w:rsidRDefault="00D92D87" w:rsidP="00B90474">
            <w:pPr>
              <w:pStyle w:val="TableParagraph"/>
              <w:keepNext/>
              <w:spacing w:line="222" w:lineRule="exact"/>
              <w:ind w:left="191"/>
              <w:rPr>
                <w:rFonts w:ascii="Times New Roman" w:eastAsia="Times New Roman" w:hAnsi="Times New Roman" w:cs="Times New Roman"/>
                <w:sz w:val="20"/>
                <w:szCs w:val="20"/>
              </w:rPr>
            </w:pPr>
            <w:r w:rsidRPr="00C73849">
              <w:rPr>
                <w:rFonts w:ascii="Times New Roman"/>
                <w:sz w:val="20"/>
              </w:rPr>
              <w:t>3 (75%)</w:t>
            </w:r>
          </w:p>
        </w:tc>
        <w:tc>
          <w:tcPr>
            <w:tcW w:w="1133" w:type="dxa"/>
            <w:tcBorders>
              <w:top w:val="single" w:sz="5" w:space="0" w:color="000000"/>
              <w:left w:val="single" w:sz="5" w:space="0" w:color="000000"/>
              <w:bottom w:val="single" w:sz="5" w:space="0" w:color="000000"/>
              <w:right w:val="single" w:sz="12" w:space="0" w:color="000000"/>
            </w:tcBorders>
          </w:tcPr>
          <w:p w14:paraId="29EA5081" w14:textId="77777777" w:rsidR="00957F89" w:rsidRPr="00C73849" w:rsidRDefault="00D92D87" w:rsidP="00B90474">
            <w:pPr>
              <w:pStyle w:val="TableParagraph"/>
              <w:keepNext/>
              <w:spacing w:line="222" w:lineRule="exact"/>
              <w:ind w:left="234"/>
              <w:rPr>
                <w:rFonts w:ascii="Times New Roman" w:eastAsia="Times New Roman" w:hAnsi="Times New Roman" w:cs="Times New Roman"/>
                <w:sz w:val="20"/>
                <w:szCs w:val="20"/>
              </w:rPr>
            </w:pPr>
            <w:r w:rsidRPr="00C73849">
              <w:rPr>
                <w:rFonts w:ascii="Times New Roman"/>
                <w:sz w:val="20"/>
              </w:rPr>
              <w:t>3 (30%)</w:t>
            </w:r>
          </w:p>
        </w:tc>
      </w:tr>
      <w:tr w:rsidR="00957F89" w:rsidRPr="00C73849" w14:paraId="7A5BDB16" w14:textId="77777777">
        <w:trPr>
          <w:trHeight w:hRule="exact" w:val="240"/>
        </w:trPr>
        <w:tc>
          <w:tcPr>
            <w:tcW w:w="960" w:type="dxa"/>
            <w:vMerge/>
            <w:tcBorders>
              <w:left w:val="single" w:sz="12" w:space="0" w:color="000000"/>
              <w:bottom w:val="single" w:sz="5" w:space="0" w:color="000000"/>
              <w:right w:val="single" w:sz="5" w:space="0" w:color="000000"/>
            </w:tcBorders>
          </w:tcPr>
          <w:p w14:paraId="50A468DC" w14:textId="77777777" w:rsidR="00957F89" w:rsidRPr="00C73849" w:rsidRDefault="00957F89" w:rsidP="00B90474">
            <w:pPr>
              <w:keepNext/>
            </w:pPr>
          </w:p>
        </w:tc>
        <w:tc>
          <w:tcPr>
            <w:tcW w:w="1843" w:type="dxa"/>
            <w:tcBorders>
              <w:top w:val="single" w:sz="5" w:space="0" w:color="000000"/>
              <w:left w:val="single" w:sz="5" w:space="0" w:color="000000"/>
              <w:bottom w:val="single" w:sz="5" w:space="0" w:color="000000"/>
              <w:right w:val="single" w:sz="5" w:space="0" w:color="000000"/>
            </w:tcBorders>
          </w:tcPr>
          <w:p w14:paraId="4E579052" w14:textId="77777777" w:rsidR="00957F89" w:rsidRPr="00C73849" w:rsidRDefault="00D92D87" w:rsidP="00B90474">
            <w:pPr>
              <w:pStyle w:val="TableParagraph"/>
              <w:keepNext/>
              <w:spacing w:line="222" w:lineRule="exact"/>
              <w:ind w:left="102"/>
              <w:rPr>
                <w:rFonts w:ascii="Times New Roman" w:eastAsia="Times New Roman" w:hAnsi="Times New Roman" w:cs="Times New Roman"/>
                <w:sz w:val="20"/>
                <w:szCs w:val="20"/>
              </w:rPr>
            </w:pPr>
            <w:r w:rsidRPr="00C73849">
              <w:rPr>
                <w:rFonts w:ascii="Times New Roman"/>
                <w:sz w:val="20"/>
              </w:rPr>
              <w:t>Female</w:t>
            </w:r>
          </w:p>
        </w:tc>
        <w:tc>
          <w:tcPr>
            <w:tcW w:w="991" w:type="dxa"/>
            <w:tcBorders>
              <w:top w:val="single" w:sz="5" w:space="0" w:color="000000"/>
              <w:left w:val="single" w:sz="5" w:space="0" w:color="000000"/>
              <w:bottom w:val="single" w:sz="5" w:space="0" w:color="000000"/>
              <w:right w:val="single" w:sz="5" w:space="0" w:color="000000"/>
            </w:tcBorders>
          </w:tcPr>
          <w:p w14:paraId="10486FCF" w14:textId="77777777" w:rsidR="00957F89" w:rsidRPr="00C73849" w:rsidRDefault="00D92D87" w:rsidP="00B90474">
            <w:pPr>
              <w:pStyle w:val="TableParagraph"/>
              <w:keepNext/>
              <w:spacing w:line="222" w:lineRule="exact"/>
              <w:ind w:left="162"/>
              <w:rPr>
                <w:rFonts w:ascii="Times New Roman" w:eastAsia="Times New Roman" w:hAnsi="Times New Roman" w:cs="Times New Roman"/>
                <w:sz w:val="20"/>
                <w:szCs w:val="20"/>
              </w:rPr>
            </w:pPr>
            <w:r w:rsidRPr="00C73849">
              <w:rPr>
                <w:rFonts w:ascii="Times New Roman"/>
                <w:sz w:val="20"/>
              </w:rPr>
              <w:t>2 (50%)</w:t>
            </w:r>
          </w:p>
        </w:tc>
        <w:tc>
          <w:tcPr>
            <w:tcW w:w="991" w:type="dxa"/>
            <w:tcBorders>
              <w:top w:val="single" w:sz="5" w:space="0" w:color="000000"/>
              <w:left w:val="single" w:sz="5" w:space="0" w:color="000000"/>
              <w:bottom w:val="single" w:sz="5" w:space="0" w:color="000000"/>
              <w:right w:val="single" w:sz="5" w:space="0" w:color="000000"/>
            </w:tcBorders>
          </w:tcPr>
          <w:p w14:paraId="45F61FC1" w14:textId="77777777" w:rsidR="00957F89" w:rsidRPr="00C73849" w:rsidRDefault="00D92D87" w:rsidP="00B90474">
            <w:pPr>
              <w:pStyle w:val="TableParagraph"/>
              <w:keepNext/>
              <w:spacing w:line="222" w:lineRule="exact"/>
              <w:ind w:left="162"/>
              <w:rPr>
                <w:rFonts w:ascii="Times New Roman" w:eastAsia="Times New Roman" w:hAnsi="Times New Roman" w:cs="Times New Roman"/>
                <w:sz w:val="20"/>
                <w:szCs w:val="20"/>
              </w:rPr>
            </w:pPr>
            <w:r w:rsidRPr="00C73849">
              <w:rPr>
                <w:rFonts w:ascii="Times New Roman"/>
                <w:sz w:val="20"/>
              </w:rPr>
              <w:t>2 (50%)</w:t>
            </w:r>
          </w:p>
        </w:tc>
        <w:tc>
          <w:tcPr>
            <w:tcW w:w="1022" w:type="dxa"/>
            <w:tcBorders>
              <w:top w:val="single" w:sz="5" w:space="0" w:color="000000"/>
              <w:left w:val="single" w:sz="5" w:space="0" w:color="000000"/>
              <w:bottom w:val="single" w:sz="5" w:space="0" w:color="000000"/>
              <w:right w:val="single" w:sz="5" w:space="0" w:color="000000"/>
            </w:tcBorders>
          </w:tcPr>
          <w:p w14:paraId="0E2D1ADD" w14:textId="77777777" w:rsidR="00957F89" w:rsidRPr="00C73849" w:rsidRDefault="00D92D87" w:rsidP="00B90474">
            <w:pPr>
              <w:pStyle w:val="TableParagraph"/>
              <w:keepNext/>
              <w:spacing w:line="222" w:lineRule="exact"/>
              <w:ind w:left="176"/>
              <w:rPr>
                <w:rFonts w:ascii="Times New Roman" w:eastAsia="Times New Roman" w:hAnsi="Times New Roman" w:cs="Times New Roman"/>
                <w:sz w:val="20"/>
                <w:szCs w:val="20"/>
              </w:rPr>
            </w:pPr>
            <w:r w:rsidRPr="00C73849">
              <w:rPr>
                <w:rFonts w:ascii="Times New Roman"/>
                <w:sz w:val="20"/>
              </w:rPr>
              <w:t>1 (25%)</w:t>
            </w:r>
          </w:p>
        </w:tc>
        <w:tc>
          <w:tcPr>
            <w:tcW w:w="1049" w:type="dxa"/>
            <w:tcBorders>
              <w:top w:val="single" w:sz="5" w:space="0" w:color="000000"/>
              <w:left w:val="single" w:sz="5" w:space="0" w:color="000000"/>
              <w:bottom w:val="single" w:sz="5" w:space="0" w:color="000000"/>
              <w:right w:val="single" w:sz="5" w:space="0" w:color="000000"/>
            </w:tcBorders>
          </w:tcPr>
          <w:p w14:paraId="736C4B67" w14:textId="77777777" w:rsidR="00957F89" w:rsidRPr="00C73849" w:rsidRDefault="00D92D87" w:rsidP="00B90474">
            <w:pPr>
              <w:pStyle w:val="TableParagraph"/>
              <w:keepNext/>
              <w:spacing w:line="222" w:lineRule="exact"/>
              <w:ind w:left="191"/>
              <w:rPr>
                <w:rFonts w:ascii="Times New Roman" w:eastAsia="Times New Roman" w:hAnsi="Times New Roman" w:cs="Times New Roman"/>
                <w:sz w:val="20"/>
                <w:szCs w:val="20"/>
              </w:rPr>
            </w:pPr>
            <w:r w:rsidRPr="00C73849">
              <w:rPr>
                <w:rFonts w:ascii="Times New Roman"/>
                <w:sz w:val="20"/>
              </w:rPr>
              <w:t>2 (50%)</w:t>
            </w:r>
          </w:p>
        </w:tc>
        <w:tc>
          <w:tcPr>
            <w:tcW w:w="1049" w:type="dxa"/>
            <w:tcBorders>
              <w:top w:val="single" w:sz="5" w:space="0" w:color="000000"/>
              <w:left w:val="single" w:sz="5" w:space="0" w:color="000000"/>
              <w:bottom w:val="single" w:sz="5" w:space="0" w:color="000000"/>
              <w:right w:val="single" w:sz="5" w:space="0" w:color="000000"/>
            </w:tcBorders>
          </w:tcPr>
          <w:p w14:paraId="1C959453" w14:textId="77777777" w:rsidR="00957F89" w:rsidRPr="00C73849" w:rsidRDefault="00D92D87" w:rsidP="00B90474">
            <w:pPr>
              <w:pStyle w:val="TableParagraph"/>
              <w:keepNext/>
              <w:spacing w:line="222" w:lineRule="exact"/>
              <w:ind w:left="191"/>
              <w:rPr>
                <w:rFonts w:ascii="Times New Roman" w:eastAsia="Times New Roman" w:hAnsi="Times New Roman" w:cs="Times New Roman"/>
                <w:sz w:val="20"/>
                <w:szCs w:val="20"/>
              </w:rPr>
            </w:pPr>
            <w:r w:rsidRPr="00C73849">
              <w:rPr>
                <w:rFonts w:ascii="Times New Roman"/>
                <w:sz w:val="20"/>
              </w:rPr>
              <w:t>1 (25%)</w:t>
            </w:r>
          </w:p>
        </w:tc>
        <w:tc>
          <w:tcPr>
            <w:tcW w:w="1133" w:type="dxa"/>
            <w:tcBorders>
              <w:top w:val="single" w:sz="5" w:space="0" w:color="000000"/>
              <w:left w:val="single" w:sz="5" w:space="0" w:color="000000"/>
              <w:bottom w:val="single" w:sz="5" w:space="0" w:color="000000"/>
              <w:right w:val="single" w:sz="12" w:space="0" w:color="000000"/>
            </w:tcBorders>
          </w:tcPr>
          <w:p w14:paraId="3167E8D4" w14:textId="77777777" w:rsidR="00957F89" w:rsidRPr="00C73849" w:rsidRDefault="00D92D87" w:rsidP="00B90474">
            <w:pPr>
              <w:pStyle w:val="TableParagraph"/>
              <w:keepNext/>
              <w:spacing w:line="222" w:lineRule="exact"/>
              <w:ind w:left="234"/>
              <w:rPr>
                <w:rFonts w:ascii="Times New Roman" w:eastAsia="Times New Roman" w:hAnsi="Times New Roman" w:cs="Times New Roman"/>
                <w:sz w:val="20"/>
                <w:szCs w:val="20"/>
              </w:rPr>
            </w:pPr>
            <w:r w:rsidRPr="00C73849">
              <w:rPr>
                <w:rFonts w:ascii="Times New Roman"/>
                <w:sz w:val="20"/>
              </w:rPr>
              <w:t>7 (70%)</w:t>
            </w:r>
          </w:p>
        </w:tc>
      </w:tr>
      <w:tr w:rsidR="00957F89" w:rsidRPr="00C73849" w14:paraId="1DFC5BE6" w14:textId="77777777">
        <w:trPr>
          <w:trHeight w:hRule="exact" w:val="470"/>
        </w:trPr>
        <w:tc>
          <w:tcPr>
            <w:tcW w:w="960" w:type="dxa"/>
            <w:tcBorders>
              <w:top w:val="single" w:sz="5" w:space="0" w:color="000000"/>
              <w:left w:val="single" w:sz="12" w:space="0" w:color="000000"/>
              <w:bottom w:val="single" w:sz="5" w:space="0" w:color="000000"/>
              <w:right w:val="single" w:sz="5" w:space="0" w:color="000000"/>
            </w:tcBorders>
          </w:tcPr>
          <w:p w14:paraId="30F0E589" w14:textId="77777777" w:rsidR="00957F89" w:rsidRPr="00C73849" w:rsidRDefault="00D92D87" w:rsidP="00B90474">
            <w:pPr>
              <w:pStyle w:val="TableParagraph"/>
              <w:keepNext/>
              <w:spacing w:line="222" w:lineRule="exact"/>
              <w:ind w:left="92"/>
              <w:rPr>
                <w:rFonts w:ascii="Times New Roman" w:eastAsia="Times New Roman" w:hAnsi="Times New Roman" w:cs="Times New Roman"/>
                <w:sz w:val="20"/>
                <w:szCs w:val="20"/>
              </w:rPr>
            </w:pPr>
            <w:r w:rsidRPr="00C73849">
              <w:rPr>
                <w:rFonts w:ascii="Times New Roman"/>
                <w:sz w:val="20"/>
              </w:rPr>
              <w:t>Race</w:t>
            </w:r>
          </w:p>
        </w:tc>
        <w:tc>
          <w:tcPr>
            <w:tcW w:w="1843" w:type="dxa"/>
            <w:tcBorders>
              <w:top w:val="single" w:sz="5" w:space="0" w:color="000000"/>
              <w:left w:val="single" w:sz="5" w:space="0" w:color="000000"/>
              <w:bottom w:val="single" w:sz="5" w:space="0" w:color="000000"/>
              <w:right w:val="single" w:sz="5" w:space="0" w:color="000000"/>
            </w:tcBorders>
          </w:tcPr>
          <w:p w14:paraId="24A28D11" w14:textId="77777777" w:rsidR="00957F89" w:rsidRPr="00C73849" w:rsidRDefault="00D92D87" w:rsidP="00B90474">
            <w:pPr>
              <w:pStyle w:val="TableParagraph"/>
              <w:keepNext/>
              <w:ind w:left="102" w:right="230"/>
              <w:rPr>
                <w:rFonts w:ascii="Times New Roman" w:eastAsia="Times New Roman" w:hAnsi="Times New Roman" w:cs="Times New Roman"/>
                <w:sz w:val="20"/>
                <w:szCs w:val="20"/>
              </w:rPr>
            </w:pPr>
            <w:r w:rsidRPr="00C73849">
              <w:rPr>
                <w:rFonts w:ascii="Times New Roman" w:eastAsia="Times New Roman" w:hAnsi="Times New Roman" w:cs="Times New Roman"/>
                <w:sz w:val="20"/>
                <w:szCs w:val="20"/>
              </w:rPr>
              <w:t>Caucasian – Not</w:t>
            </w:r>
            <w:r w:rsidRPr="00C73849">
              <w:rPr>
                <w:rFonts w:ascii="Times New Roman" w:eastAsia="Times New Roman" w:hAnsi="Times New Roman" w:cs="Times New Roman"/>
                <w:w w:val="99"/>
                <w:sz w:val="20"/>
                <w:szCs w:val="20"/>
              </w:rPr>
              <w:t xml:space="preserve"> </w:t>
            </w:r>
            <w:r w:rsidRPr="00C73849">
              <w:rPr>
                <w:rFonts w:ascii="Times New Roman" w:eastAsia="Times New Roman" w:hAnsi="Times New Roman" w:cs="Times New Roman"/>
                <w:sz w:val="20"/>
                <w:szCs w:val="20"/>
              </w:rPr>
              <w:t>Hispanic or Latino</w:t>
            </w:r>
          </w:p>
        </w:tc>
        <w:tc>
          <w:tcPr>
            <w:tcW w:w="991" w:type="dxa"/>
            <w:tcBorders>
              <w:top w:val="single" w:sz="5" w:space="0" w:color="000000"/>
              <w:left w:val="single" w:sz="5" w:space="0" w:color="000000"/>
              <w:bottom w:val="single" w:sz="5" w:space="0" w:color="000000"/>
              <w:right w:val="single" w:sz="5" w:space="0" w:color="000000"/>
            </w:tcBorders>
          </w:tcPr>
          <w:p w14:paraId="0B0A85EB" w14:textId="77777777" w:rsidR="00957F89" w:rsidRPr="00C73849" w:rsidRDefault="00D92D87" w:rsidP="00B90474">
            <w:pPr>
              <w:pStyle w:val="TableParagraph"/>
              <w:keepNext/>
              <w:spacing w:line="222" w:lineRule="exact"/>
              <w:ind w:left="114"/>
              <w:rPr>
                <w:rFonts w:ascii="Times New Roman" w:eastAsia="Times New Roman" w:hAnsi="Times New Roman" w:cs="Times New Roman"/>
                <w:sz w:val="20"/>
                <w:szCs w:val="20"/>
              </w:rPr>
            </w:pPr>
            <w:r w:rsidRPr="00C73849">
              <w:rPr>
                <w:rFonts w:ascii="Times New Roman"/>
                <w:sz w:val="20"/>
              </w:rPr>
              <w:t>4 (100%)</w:t>
            </w:r>
          </w:p>
        </w:tc>
        <w:tc>
          <w:tcPr>
            <w:tcW w:w="991" w:type="dxa"/>
            <w:tcBorders>
              <w:top w:val="single" w:sz="5" w:space="0" w:color="000000"/>
              <w:left w:val="single" w:sz="5" w:space="0" w:color="000000"/>
              <w:bottom w:val="single" w:sz="5" w:space="0" w:color="000000"/>
              <w:right w:val="single" w:sz="5" w:space="0" w:color="000000"/>
            </w:tcBorders>
          </w:tcPr>
          <w:p w14:paraId="2DC03973" w14:textId="77777777" w:rsidR="00957F89" w:rsidRPr="00C73849" w:rsidRDefault="00D92D87" w:rsidP="00B90474">
            <w:pPr>
              <w:pStyle w:val="TableParagraph"/>
              <w:keepNext/>
              <w:spacing w:line="222" w:lineRule="exact"/>
              <w:ind w:left="114"/>
              <w:rPr>
                <w:rFonts w:ascii="Times New Roman" w:eastAsia="Times New Roman" w:hAnsi="Times New Roman" w:cs="Times New Roman"/>
                <w:sz w:val="20"/>
                <w:szCs w:val="20"/>
              </w:rPr>
            </w:pPr>
            <w:r w:rsidRPr="00C73849">
              <w:rPr>
                <w:rFonts w:ascii="Times New Roman"/>
                <w:sz w:val="20"/>
              </w:rPr>
              <w:t>4 (100%)</w:t>
            </w:r>
          </w:p>
        </w:tc>
        <w:tc>
          <w:tcPr>
            <w:tcW w:w="1022" w:type="dxa"/>
            <w:tcBorders>
              <w:top w:val="single" w:sz="5" w:space="0" w:color="000000"/>
              <w:left w:val="single" w:sz="5" w:space="0" w:color="000000"/>
              <w:bottom w:val="single" w:sz="5" w:space="0" w:color="000000"/>
              <w:right w:val="single" w:sz="5" w:space="0" w:color="000000"/>
            </w:tcBorders>
          </w:tcPr>
          <w:p w14:paraId="4268C9A4" w14:textId="77777777" w:rsidR="00957F89" w:rsidRPr="00C73849" w:rsidRDefault="00D92D87" w:rsidP="00B90474">
            <w:pPr>
              <w:pStyle w:val="TableParagraph"/>
              <w:keepNext/>
              <w:spacing w:line="222" w:lineRule="exact"/>
              <w:ind w:left="128"/>
              <w:rPr>
                <w:rFonts w:ascii="Times New Roman" w:eastAsia="Times New Roman" w:hAnsi="Times New Roman" w:cs="Times New Roman"/>
                <w:sz w:val="20"/>
                <w:szCs w:val="20"/>
              </w:rPr>
            </w:pPr>
            <w:r w:rsidRPr="00C73849">
              <w:rPr>
                <w:rFonts w:ascii="Times New Roman"/>
                <w:sz w:val="20"/>
              </w:rPr>
              <w:t>4 (100%)</w:t>
            </w:r>
          </w:p>
        </w:tc>
        <w:tc>
          <w:tcPr>
            <w:tcW w:w="1049" w:type="dxa"/>
            <w:tcBorders>
              <w:top w:val="single" w:sz="5" w:space="0" w:color="000000"/>
              <w:left w:val="single" w:sz="5" w:space="0" w:color="000000"/>
              <w:bottom w:val="single" w:sz="5" w:space="0" w:color="000000"/>
              <w:right w:val="single" w:sz="5" w:space="0" w:color="000000"/>
            </w:tcBorders>
          </w:tcPr>
          <w:p w14:paraId="490C82C0" w14:textId="77777777" w:rsidR="00957F89" w:rsidRPr="00C73849" w:rsidRDefault="00D92D87" w:rsidP="00B90474">
            <w:pPr>
              <w:pStyle w:val="TableParagraph"/>
              <w:keepNext/>
              <w:spacing w:line="222" w:lineRule="exact"/>
              <w:ind w:left="142"/>
              <w:rPr>
                <w:rFonts w:ascii="Times New Roman" w:eastAsia="Times New Roman" w:hAnsi="Times New Roman" w:cs="Times New Roman"/>
                <w:sz w:val="20"/>
                <w:szCs w:val="20"/>
              </w:rPr>
            </w:pPr>
            <w:r w:rsidRPr="00C73849">
              <w:rPr>
                <w:rFonts w:ascii="Times New Roman"/>
                <w:sz w:val="20"/>
              </w:rPr>
              <w:t>4 (100%)</w:t>
            </w:r>
          </w:p>
        </w:tc>
        <w:tc>
          <w:tcPr>
            <w:tcW w:w="1049" w:type="dxa"/>
            <w:tcBorders>
              <w:top w:val="single" w:sz="5" w:space="0" w:color="000000"/>
              <w:left w:val="single" w:sz="5" w:space="0" w:color="000000"/>
              <w:bottom w:val="single" w:sz="5" w:space="0" w:color="000000"/>
              <w:right w:val="single" w:sz="5" w:space="0" w:color="000000"/>
            </w:tcBorders>
          </w:tcPr>
          <w:p w14:paraId="0000E85B" w14:textId="77777777" w:rsidR="00957F89" w:rsidRPr="00C73849" w:rsidRDefault="00D92D87" w:rsidP="00B90474">
            <w:pPr>
              <w:pStyle w:val="TableParagraph"/>
              <w:keepNext/>
              <w:spacing w:line="222" w:lineRule="exact"/>
              <w:ind w:left="142"/>
              <w:rPr>
                <w:rFonts w:ascii="Times New Roman" w:eastAsia="Times New Roman" w:hAnsi="Times New Roman" w:cs="Times New Roman"/>
                <w:sz w:val="20"/>
                <w:szCs w:val="20"/>
              </w:rPr>
            </w:pPr>
            <w:r w:rsidRPr="00C73849">
              <w:rPr>
                <w:rFonts w:ascii="Times New Roman"/>
                <w:sz w:val="20"/>
              </w:rPr>
              <w:t>4 (100%)</w:t>
            </w:r>
          </w:p>
        </w:tc>
        <w:tc>
          <w:tcPr>
            <w:tcW w:w="1133" w:type="dxa"/>
            <w:tcBorders>
              <w:top w:val="single" w:sz="5" w:space="0" w:color="000000"/>
              <w:left w:val="single" w:sz="5" w:space="0" w:color="000000"/>
              <w:bottom w:val="single" w:sz="5" w:space="0" w:color="000000"/>
              <w:right w:val="single" w:sz="12" w:space="0" w:color="000000"/>
            </w:tcBorders>
          </w:tcPr>
          <w:p w14:paraId="3DDE8E0D" w14:textId="77777777" w:rsidR="00957F89" w:rsidRPr="00C73849" w:rsidRDefault="00D92D87" w:rsidP="00B90474">
            <w:pPr>
              <w:pStyle w:val="TableParagraph"/>
              <w:keepNext/>
              <w:spacing w:line="222" w:lineRule="exact"/>
              <w:ind w:left="132"/>
              <w:rPr>
                <w:rFonts w:ascii="Times New Roman" w:eastAsia="Times New Roman" w:hAnsi="Times New Roman" w:cs="Times New Roman"/>
                <w:sz w:val="20"/>
                <w:szCs w:val="20"/>
              </w:rPr>
            </w:pPr>
            <w:r w:rsidRPr="00C73849">
              <w:rPr>
                <w:rFonts w:ascii="Times New Roman"/>
                <w:sz w:val="20"/>
              </w:rPr>
              <w:t>10 (100%)</w:t>
            </w:r>
          </w:p>
        </w:tc>
      </w:tr>
      <w:tr w:rsidR="00957F89" w:rsidRPr="00C73849" w14:paraId="706B097A" w14:textId="77777777">
        <w:trPr>
          <w:trHeight w:hRule="exact" w:val="240"/>
        </w:trPr>
        <w:tc>
          <w:tcPr>
            <w:tcW w:w="960" w:type="dxa"/>
            <w:vMerge w:val="restart"/>
            <w:tcBorders>
              <w:top w:val="single" w:sz="5" w:space="0" w:color="000000"/>
              <w:left w:val="single" w:sz="12" w:space="0" w:color="000000"/>
              <w:right w:val="single" w:sz="5" w:space="0" w:color="000000"/>
            </w:tcBorders>
          </w:tcPr>
          <w:p w14:paraId="755E3947" w14:textId="77777777" w:rsidR="00957F89" w:rsidRPr="00C73849" w:rsidRDefault="00D92D87" w:rsidP="00B90474">
            <w:pPr>
              <w:pStyle w:val="TableParagraph"/>
              <w:keepNext/>
              <w:ind w:left="92" w:right="245"/>
              <w:rPr>
                <w:rFonts w:ascii="Times New Roman" w:eastAsia="Times New Roman" w:hAnsi="Times New Roman" w:cs="Times New Roman"/>
                <w:sz w:val="20"/>
                <w:szCs w:val="20"/>
              </w:rPr>
            </w:pPr>
            <w:r w:rsidRPr="00C73849">
              <w:rPr>
                <w:rFonts w:ascii="Times New Roman"/>
                <w:sz w:val="20"/>
              </w:rPr>
              <w:t>Age</w:t>
            </w:r>
            <w:r w:rsidRPr="00C73849">
              <w:rPr>
                <w:rFonts w:ascii="Times New Roman"/>
                <w:w w:val="99"/>
                <w:sz w:val="20"/>
              </w:rPr>
              <w:t xml:space="preserve"> </w:t>
            </w:r>
            <w:r w:rsidRPr="00C73849">
              <w:rPr>
                <w:rFonts w:ascii="Times New Roman"/>
                <w:sz w:val="20"/>
              </w:rPr>
              <w:t>(Years)</w:t>
            </w:r>
          </w:p>
        </w:tc>
        <w:tc>
          <w:tcPr>
            <w:tcW w:w="1843" w:type="dxa"/>
            <w:tcBorders>
              <w:top w:val="single" w:sz="5" w:space="0" w:color="000000"/>
              <w:left w:val="single" w:sz="5" w:space="0" w:color="000000"/>
              <w:bottom w:val="single" w:sz="5" w:space="0" w:color="000000"/>
              <w:right w:val="single" w:sz="5" w:space="0" w:color="000000"/>
            </w:tcBorders>
          </w:tcPr>
          <w:p w14:paraId="3AC857DF" w14:textId="77777777" w:rsidR="00957F89" w:rsidRPr="00C73849" w:rsidRDefault="00D92D87" w:rsidP="00B90474">
            <w:pPr>
              <w:pStyle w:val="TableParagraph"/>
              <w:keepNext/>
              <w:spacing w:line="222" w:lineRule="exact"/>
              <w:ind w:left="102"/>
              <w:rPr>
                <w:rFonts w:ascii="Times New Roman" w:eastAsia="Times New Roman" w:hAnsi="Times New Roman" w:cs="Times New Roman"/>
                <w:sz w:val="20"/>
                <w:szCs w:val="20"/>
              </w:rPr>
            </w:pPr>
            <w:r w:rsidRPr="00C73849">
              <w:rPr>
                <w:rFonts w:ascii="Times New Roman"/>
                <w:sz w:val="20"/>
              </w:rPr>
              <w:t>Mean</w:t>
            </w:r>
          </w:p>
        </w:tc>
        <w:tc>
          <w:tcPr>
            <w:tcW w:w="991" w:type="dxa"/>
            <w:tcBorders>
              <w:top w:val="single" w:sz="5" w:space="0" w:color="000000"/>
              <w:left w:val="single" w:sz="5" w:space="0" w:color="000000"/>
              <w:bottom w:val="single" w:sz="5" w:space="0" w:color="000000"/>
              <w:right w:val="single" w:sz="5" w:space="0" w:color="000000"/>
            </w:tcBorders>
          </w:tcPr>
          <w:p w14:paraId="32DFE240" w14:textId="77777777" w:rsidR="00957F89" w:rsidRPr="00C73849" w:rsidRDefault="00D92D87" w:rsidP="00B90474">
            <w:pPr>
              <w:pStyle w:val="TableParagraph"/>
              <w:keepNext/>
              <w:spacing w:line="222" w:lineRule="exact"/>
              <w:ind w:left="315"/>
              <w:rPr>
                <w:rFonts w:ascii="Times New Roman" w:eastAsia="Times New Roman" w:hAnsi="Times New Roman" w:cs="Times New Roman"/>
                <w:sz w:val="20"/>
                <w:szCs w:val="20"/>
              </w:rPr>
            </w:pPr>
            <w:r w:rsidRPr="00C73849">
              <w:rPr>
                <w:rFonts w:ascii="Times New Roman"/>
                <w:sz w:val="20"/>
              </w:rPr>
              <w:t>62.0</w:t>
            </w:r>
          </w:p>
        </w:tc>
        <w:tc>
          <w:tcPr>
            <w:tcW w:w="991" w:type="dxa"/>
            <w:tcBorders>
              <w:top w:val="single" w:sz="5" w:space="0" w:color="000000"/>
              <w:left w:val="single" w:sz="5" w:space="0" w:color="000000"/>
              <w:bottom w:val="single" w:sz="5" w:space="0" w:color="000000"/>
              <w:right w:val="single" w:sz="5" w:space="0" w:color="000000"/>
            </w:tcBorders>
          </w:tcPr>
          <w:p w14:paraId="51F77BBA" w14:textId="77777777" w:rsidR="00957F89" w:rsidRPr="00C73849" w:rsidRDefault="00D92D87" w:rsidP="00B90474">
            <w:pPr>
              <w:pStyle w:val="TableParagraph"/>
              <w:keepNext/>
              <w:spacing w:line="222" w:lineRule="exact"/>
              <w:ind w:left="314"/>
              <w:rPr>
                <w:rFonts w:ascii="Times New Roman" w:eastAsia="Times New Roman" w:hAnsi="Times New Roman" w:cs="Times New Roman"/>
                <w:sz w:val="20"/>
                <w:szCs w:val="20"/>
              </w:rPr>
            </w:pPr>
            <w:r w:rsidRPr="00C73849">
              <w:rPr>
                <w:rFonts w:ascii="Times New Roman"/>
                <w:sz w:val="20"/>
              </w:rPr>
              <w:t>65.5</w:t>
            </w:r>
          </w:p>
        </w:tc>
        <w:tc>
          <w:tcPr>
            <w:tcW w:w="1022" w:type="dxa"/>
            <w:tcBorders>
              <w:top w:val="single" w:sz="5" w:space="0" w:color="000000"/>
              <w:left w:val="single" w:sz="5" w:space="0" w:color="000000"/>
              <w:bottom w:val="single" w:sz="5" w:space="0" w:color="000000"/>
              <w:right w:val="single" w:sz="5" w:space="0" w:color="000000"/>
            </w:tcBorders>
          </w:tcPr>
          <w:p w14:paraId="1E527D8B" w14:textId="77777777" w:rsidR="00957F89" w:rsidRPr="00C73849" w:rsidRDefault="00D92D87" w:rsidP="00B90474">
            <w:pPr>
              <w:pStyle w:val="TableParagraph"/>
              <w:keepNext/>
              <w:spacing w:line="222" w:lineRule="exact"/>
              <w:ind w:left="329"/>
              <w:rPr>
                <w:rFonts w:ascii="Times New Roman" w:eastAsia="Times New Roman" w:hAnsi="Times New Roman" w:cs="Times New Roman"/>
                <w:sz w:val="20"/>
                <w:szCs w:val="20"/>
              </w:rPr>
            </w:pPr>
            <w:r w:rsidRPr="00C73849">
              <w:rPr>
                <w:rFonts w:ascii="Times New Roman"/>
                <w:sz w:val="20"/>
              </w:rPr>
              <w:t>62.0</w:t>
            </w:r>
          </w:p>
        </w:tc>
        <w:tc>
          <w:tcPr>
            <w:tcW w:w="1049" w:type="dxa"/>
            <w:tcBorders>
              <w:top w:val="single" w:sz="5" w:space="0" w:color="000000"/>
              <w:left w:val="single" w:sz="5" w:space="0" w:color="000000"/>
              <w:bottom w:val="single" w:sz="5" w:space="0" w:color="000000"/>
              <w:right w:val="single" w:sz="5" w:space="0" w:color="000000"/>
            </w:tcBorders>
          </w:tcPr>
          <w:p w14:paraId="5DA6F158" w14:textId="77777777" w:rsidR="00957F89" w:rsidRPr="00C73849" w:rsidRDefault="00D92D87" w:rsidP="00B90474">
            <w:pPr>
              <w:pStyle w:val="TableParagraph"/>
              <w:keepNext/>
              <w:spacing w:line="222" w:lineRule="exact"/>
              <w:ind w:left="343"/>
              <w:rPr>
                <w:rFonts w:ascii="Times New Roman" w:eastAsia="Times New Roman" w:hAnsi="Times New Roman" w:cs="Times New Roman"/>
                <w:sz w:val="20"/>
                <w:szCs w:val="20"/>
              </w:rPr>
            </w:pPr>
            <w:r w:rsidRPr="00C73849">
              <w:rPr>
                <w:rFonts w:ascii="Times New Roman"/>
                <w:sz w:val="20"/>
              </w:rPr>
              <w:t>68.3</w:t>
            </w:r>
          </w:p>
        </w:tc>
        <w:tc>
          <w:tcPr>
            <w:tcW w:w="1049" w:type="dxa"/>
            <w:tcBorders>
              <w:top w:val="single" w:sz="5" w:space="0" w:color="000000"/>
              <w:left w:val="single" w:sz="5" w:space="0" w:color="000000"/>
              <w:bottom w:val="single" w:sz="5" w:space="0" w:color="000000"/>
              <w:right w:val="single" w:sz="5" w:space="0" w:color="000000"/>
            </w:tcBorders>
          </w:tcPr>
          <w:p w14:paraId="6885B17B" w14:textId="77777777" w:rsidR="00957F89" w:rsidRPr="00C73849" w:rsidRDefault="00D92D87" w:rsidP="00B90474">
            <w:pPr>
              <w:pStyle w:val="TableParagraph"/>
              <w:keepNext/>
              <w:spacing w:line="222" w:lineRule="exact"/>
              <w:ind w:left="343"/>
              <w:rPr>
                <w:rFonts w:ascii="Times New Roman" w:eastAsia="Times New Roman" w:hAnsi="Times New Roman" w:cs="Times New Roman"/>
                <w:sz w:val="20"/>
                <w:szCs w:val="20"/>
              </w:rPr>
            </w:pPr>
            <w:r w:rsidRPr="00C73849">
              <w:rPr>
                <w:rFonts w:ascii="Times New Roman"/>
                <w:sz w:val="20"/>
              </w:rPr>
              <w:t>67.5</w:t>
            </w:r>
          </w:p>
        </w:tc>
        <w:tc>
          <w:tcPr>
            <w:tcW w:w="1133" w:type="dxa"/>
            <w:tcBorders>
              <w:top w:val="single" w:sz="5" w:space="0" w:color="000000"/>
              <w:left w:val="single" w:sz="5" w:space="0" w:color="000000"/>
              <w:bottom w:val="single" w:sz="5" w:space="0" w:color="000000"/>
              <w:right w:val="single" w:sz="12" w:space="0" w:color="000000"/>
            </w:tcBorders>
          </w:tcPr>
          <w:p w14:paraId="6BF6A6D4" w14:textId="77777777" w:rsidR="00957F89" w:rsidRPr="00C73849" w:rsidRDefault="00D92D87" w:rsidP="00B90474">
            <w:pPr>
              <w:pStyle w:val="TableParagraph"/>
              <w:keepNext/>
              <w:spacing w:line="222" w:lineRule="exact"/>
              <w:ind w:left="8"/>
              <w:jc w:val="center"/>
              <w:rPr>
                <w:rFonts w:ascii="Times New Roman" w:eastAsia="Times New Roman" w:hAnsi="Times New Roman" w:cs="Times New Roman"/>
                <w:sz w:val="20"/>
                <w:szCs w:val="20"/>
              </w:rPr>
            </w:pPr>
            <w:r w:rsidRPr="00C73849">
              <w:rPr>
                <w:rFonts w:ascii="Times New Roman"/>
                <w:sz w:val="20"/>
              </w:rPr>
              <w:t>64.7</w:t>
            </w:r>
          </w:p>
        </w:tc>
      </w:tr>
      <w:tr w:rsidR="00957F89" w:rsidRPr="00C73849" w14:paraId="0906B3F1" w14:textId="77777777">
        <w:trPr>
          <w:trHeight w:hRule="exact" w:val="240"/>
        </w:trPr>
        <w:tc>
          <w:tcPr>
            <w:tcW w:w="960" w:type="dxa"/>
            <w:vMerge/>
            <w:tcBorders>
              <w:left w:val="single" w:sz="12" w:space="0" w:color="000000"/>
              <w:right w:val="single" w:sz="5" w:space="0" w:color="000000"/>
            </w:tcBorders>
          </w:tcPr>
          <w:p w14:paraId="55576DE7" w14:textId="77777777" w:rsidR="00957F89" w:rsidRPr="00C73849" w:rsidRDefault="00957F89" w:rsidP="00B90474">
            <w:pPr>
              <w:keepNext/>
            </w:pPr>
          </w:p>
        </w:tc>
        <w:tc>
          <w:tcPr>
            <w:tcW w:w="1843" w:type="dxa"/>
            <w:tcBorders>
              <w:top w:val="single" w:sz="5" w:space="0" w:color="000000"/>
              <w:left w:val="single" w:sz="5" w:space="0" w:color="000000"/>
              <w:bottom w:val="single" w:sz="5" w:space="0" w:color="000000"/>
              <w:right w:val="single" w:sz="5" w:space="0" w:color="000000"/>
            </w:tcBorders>
          </w:tcPr>
          <w:p w14:paraId="16201601" w14:textId="77777777" w:rsidR="00957F89" w:rsidRPr="00C73849" w:rsidRDefault="00D92D87" w:rsidP="00B90474">
            <w:pPr>
              <w:pStyle w:val="TableParagraph"/>
              <w:keepNext/>
              <w:spacing w:line="222" w:lineRule="exact"/>
              <w:ind w:left="102"/>
              <w:rPr>
                <w:rFonts w:ascii="Times New Roman" w:eastAsia="Times New Roman" w:hAnsi="Times New Roman" w:cs="Times New Roman"/>
                <w:sz w:val="20"/>
                <w:szCs w:val="20"/>
              </w:rPr>
            </w:pPr>
            <w:r w:rsidRPr="00C73849">
              <w:rPr>
                <w:rFonts w:ascii="Times New Roman"/>
                <w:sz w:val="20"/>
              </w:rPr>
              <w:t>SD</w:t>
            </w:r>
          </w:p>
        </w:tc>
        <w:tc>
          <w:tcPr>
            <w:tcW w:w="991" w:type="dxa"/>
            <w:tcBorders>
              <w:top w:val="single" w:sz="5" w:space="0" w:color="000000"/>
              <w:left w:val="single" w:sz="5" w:space="0" w:color="000000"/>
              <w:bottom w:val="single" w:sz="5" w:space="0" w:color="000000"/>
              <w:right w:val="single" w:sz="5" w:space="0" w:color="000000"/>
            </w:tcBorders>
          </w:tcPr>
          <w:p w14:paraId="67F8EB18" w14:textId="77777777" w:rsidR="00957F89" w:rsidRPr="00C73849" w:rsidRDefault="00D92D87" w:rsidP="00B90474">
            <w:pPr>
              <w:pStyle w:val="TableParagraph"/>
              <w:keepNext/>
              <w:spacing w:line="222" w:lineRule="exact"/>
              <w:ind w:left="313"/>
              <w:rPr>
                <w:rFonts w:ascii="Times New Roman" w:eastAsia="Times New Roman" w:hAnsi="Times New Roman" w:cs="Times New Roman"/>
                <w:sz w:val="20"/>
                <w:szCs w:val="20"/>
              </w:rPr>
            </w:pPr>
            <w:r w:rsidRPr="00C73849">
              <w:rPr>
                <w:rFonts w:ascii="Times New Roman"/>
                <w:sz w:val="20"/>
              </w:rPr>
              <w:t>3.37</w:t>
            </w:r>
          </w:p>
        </w:tc>
        <w:tc>
          <w:tcPr>
            <w:tcW w:w="991" w:type="dxa"/>
            <w:tcBorders>
              <w:top w:val="single" w:sz="5" w:space="0" w:color="000000"/>
              <w:left w:val="single" w:sz="5" w:space="0" w:color="000000"/>
              <w:bottom w:val="single" w:sz="5" w:space="0" w:color="000000"/>
              <w:right w:val="single" w:sz="5" w:space="0" w:color="000000"/>
            </w:tcBorders>
          </w:tcPr>
          <w:p w14:paraId="535FE38A" w14:textId="77777777" w:rsidR="00957F89" w:rsidRPr="00C73849" w:rsidRDefault="00D92D87" w:rsidP="00B90474">
            <w:pPr>
              <w:pStyle w:val="TableParagraph"/>
              <w:keepNext/>
              <w:spacing w:line="222" w:lineRule="exact"/>
              <w:ind w:left="313"/>
              <w:rPr>
                <w:rFonts w:ascii="Times New Roman" w:eastAsia="Times New Roman" w:hAnsi="Times New Roman" w:cs="Times New Roman"/>
                <w:sz w:val="20"/>
                <w:szCs w:val="20"/>
              </w:rPr>
            </w:pPr>
            <w:r w:rsidRPr="00C73849">
              <w:rPr>
                <w:rFonts w:ascii="Times New Roman"/>
                <w:sz w:val="20"/>
              </w:rPr>
              <w:t>3.11</w:t>
            </w:r>
          </w:p>
        </w:tc>
        <w:tc>
          <w:tcPr>
            <w:tcW w:w="1022" w:type="dxa"/>
            <w:tcBorders>
              <w:top w:val="single" w:sz="5" w:space="0" w:color="000000"/>
              <w:left w:val="single" w:sz="5" w:space="0" w:color="000000"/>
              <w:bottom w:val="single" w:sz="5" w:space="0" w:color="000000"/>
              <w:right w:val="single" w:sz="5" w:space="0" w:color="000000"/>
            </w:tcBorders>
          </w:tcPr>
          <w:p w14:paraId="20A90D96" w14:textId="77777777" w:rsidR="00957F89" w:rsidRPr="00C73849" w:rsidRDefault="00D92D87" w:rsidP="00B90474">
            <w:pPr>
              <w:pStyle w:val="TableParagraph"/>
              <w:keepNext/>
              <w:spacing w:line="222" w:lineRule="exact"/>
              <w:ind w:left="327"/>
              <w:rPr>
                <w:rFonts w:ascii="Times New Roman" w:eastAsia="Times New Roman" w:hAnsi="Times New Roman" w:cs="Times New Roman"/>
                <w:sz w:val="20"/>
                <w:szCs w:val="20"/>
              </w:rPr>
            </w:pPr>
            <w:r w:rsidRPr="00C73849">
              <w:rPr>
                <w:rFonts w:ascii="Times New Roman"/>
                <w:sz w:val="20"/>
              </w:rPr>
              <w:t>1.83</w:t>
            </w:r>
          </w:p>
        </w:tc>
        <w:tc>
          <w:tcPr>
            <w:tcW w:w="1049" w:type="dxa"/>
            <w:tcBorders>
              <w:top w:val="single" w:sz="5" w:space="0" w:color="000000"/>
              <w:left w:val="single" w:sz="5" w:space="0" w:color="000000"/>
              <w:bottom w:val="single" w:sz="5" w:space="0" w:color="000000"/>
              <w:right w:val="single" w:sz="5" w:space="0" w:color="000000"/>
            </w:tcBorders>
          </w:tcPr>
          <w:p w14:paraId="107AEEEA" w14:textId="77777777" w:rsidR="00957F89" w:rsidRPr="00C73849" w:rsidRDefault="00D92D87" w:rsidP="00B90474">
            <w:pPr>
              <w:pStyle w:val="TableParagraph"/>
              <w:keepNext/>
              <w:spacing w:line="222" w:lineRule="exact"/>
              <w:ind w:left="342"/>
              <w:rPr>
                <w:rFonts w:ascii="Times New Roman" w:eastAsia="Times New Roman" w:hAnsi="Times New Roman" w:cs="Times New Roman"/>
                <w:sz w:val="20"/>
                <w:szCs w:val="20"/>
              </w:rPr>
            </w:pPr>
            <w:r w:rsidRPr="00C73849">
              <w:rPr>
                <w:rFonts w:ascii="Times New Roman"/>
                <w:sz w:val="20"/>
              </w:rPr>
              <w:t>5.68</w:t>
            </w:r>
          </w:p>
        </w:tc>
        <w:tc>
          <w:tcPr>
            <w:tcW w:w="1049" w:type="dxa"/>
            <w:tcBorders>
              <w:top w:val="single" w:sz="5" w:space="0" w:color="000000"/>
              <w:left w:val="single" w:sz="5" w:space="0" w:color="000000"/>
              <w:bottom w:val="single" w:sz="5" w:space="0" w:color="000000"/>
              <w:right w:val="single" w:sz="5" w:space="0" w:color="000000"/>
            </w:tcBorders>
          </w:tcPr>
          <w:p w14:paraId="572C3C0E" w14:textId="77777777" w:rsidR="00957F89" w:rsidRPr="00C73849" w:rsidRDefault="00D92D87" w:rsidP="00B90474">
            <w:pPr>
              <w:pStyle w:val="TableParagraph"/>
              <w:keepNext/>
              <w:spacing w:line="222" w:lineRule="exact"/>
              <w:ind w:left="342"/>
              <w:rPr>
                <w:rFonts w:ascii="Times New Roman" w:eastAsia="Times New Roman" w:hAnsi="Times New Roman" w:cs="Times New Roman"/>
                <w:sz w:val="20"/>
                <w:szCs w:val="20"/>
              </w:rPr>
            </w:pPr>
            <w:r w:rsidRPr="00C73849">
              <w:rPr>
                <w:rFonts w:ascii="Times New Roman"/>
                <w:sz w:val="20"/>
              </w:rPr>
              <w:t>4.12</w:t>
            </w:r>
          </w:p>
        </w:tc>
        <w:tc>
          <w:tcPr>
            <w:tcW w:w="1133" w:type="dxa"/>
            <w:tcBorders>
              <w:top w:val="single" w:sz="5" w:space="0" w:color="000000"/>
              <w:left w:val="single" w:sz="5" w:space="0" w:color="000000"/>
              <w:bottom w:val="single" w:sz="5" w:space="0" w:color="000000"/>
              <w:right w:val="single" w:sz="12" w:space="0" w:color="000000"/>
            </w:tcBorders>
          </w:tcPr>
          <w:p w14:paraId="5708D600" w14:textId="77777777" w:rsidR="00957F89" w:rsidRPr="00C73849" w:rsidRDefault="00D92D87" w:rsidP="00B90474">
            <w:pPr>
              <w:pStyle w:val="TableParagraph"/>
              <w:keepNext/>
              <w:spacing w:line="222" w:lineRule="exact"/>
              <w:ind w:left="8"/>
              <w:jc w:val="center"/>
              <w:rPr>
                <w:rFonts w:ascii="Times New Roman" w:eastAsia="Times New Roman" w:hAnsi="Times New Roman" w:cs="Times New Roman"/>
                <w:sz w:val="20"/>
                <w:szCs w:val="20"/>
              </w:rPr>
            </w:pPr>
            <w:r w:rsidRPr="00C73849">
              <w:rPr>
                <w:rFonts w:ascii="Times New Roman"/>
                <w:sz w:val="20"/>
              </w:rPr>
              <w:t>7.76</w:t>
            </w:r>
          </w:p>
        </w:tc>
      </w:tr>
      <w:tr w:rsidR="00957F89" w:rsidRPr="00C73849" w14:paraId="4DF686E1" w14:textId="77777777">
        <w:trPr>
          <w:trHeight w:hRule="exact" w:val="240"/>
        </w:trPr>
        <w:tc>
          <w:tcPr>
            <w:tcW w:w="960" w:type="dxa"/>
            <w:vMerge/>
            <w:tcBorders>
              <w:left w:val="single" w:sz="12" w:space="0" w:color="000000"/>
              <w:bottom w:val="single" w:sz="5" w:space="0" w:color="000000"/>
              <w:right w:val="single" w:sz="5" w:space="0" w:color="000000"/>
            </w:tcBorders>
          </w:tcPr>
          <w:p w14:paraId="6131D447" w14:textId="77777777" w:rsidR="00957F89" w:rsidRPr="00C73849" w:rsidRDefault="00957F89" w:rsidP="00B90474">
            <w:pPr>
              <w:keepNext/>
            </w:pPr>
          </w:p>
        </w:tc>
        <w:tc>
          <w:tcPr>
            <w:tcW w:w="1843" w:type="dxa"/>
            <w:tcBorders>
              <w:top w:val="single" w:sz="5" w:space="0" w:color="000000"/>
              <w:left w:val="single" w:sz="5" w:space="0" w:color="000000"/>
              <w:bottom w:val="single" w:sz="5" w:space="0" w:color="000000"/>
              <w:right w:val="single" w:sz="5" w:space="0" w:color="000000"/>
            </w:tcBorders>
          </w:tcPr>
          <w:p w14:paraId="4FA99CAE" w14:textId="77777777" w:rsidR="00957F89" w:rsidRPr="00C73849" w:rsidRDefault="00D92D87" w:rsidP="00B90474">
            <w:pPr>
              <w:pStyle w:val="TableParagraph"/>
              <w:keepNext/>
              <w:spacing w:line="222" w:lineRule="exact"/>
              <w:ind w:left="102"/>
              <w:rPr>
                <w:rFonts w:ascii="Times New Roman" w:eastAsia="Times New Roman" w:hAnsi="Times New Roman" w:cs="Times New Roman"/>
                <w:sz w:val="20"/>
                <w:szCs w:val="20"/>
              </w:rPr>
            </w:pPr>
            <w:r w:rsidRPr="00C73849">
              <w:rPr>
                <w:rFonts w:ascii="Times New Roman"/>
                <w:sz w:val="20"/>
              </w:rPr>
              <w:t>Range (min-max)</w:t>
            </w:r>
          </w:p>
        </w:tc>
        <w:tc>
          <w:tcPr>
            <w:tcW w:w="991" w:type="dxa"/>
            <w:tcBorders>
              <w:top w:val="single" w:sz="5" w:space="0" w:color="000000"/>
              <w:left w:val="single" w:sz="5" w:space="0" w:color="000000"/>
              <w:bottom w:val="single" w:sz="5" w:space="0" w:color="000000"/>
              <w:right w:val="single" w:sz="5" w:space="0" w:color="000000"/>
            </w:tcBorders>
          </w:tcPr>
          <w:p w14:paraId="38ECA6D6" w14:textId="77777777" w:rsidR="00957F89" w:rsidRPr="00C73849" w:rsidRDefault="00D92D87" w:rsidP="00B90474">
            <w:pPr>
              <w:pStyle w:val="TableParagraph"/>
              <w:keepNext/>
              <w:spacing w:line="222" w:lineRule="exact"/>
              <w:ind w:left="257"/>
              <w:rPr>
                <w:rFonts w:ascii="Times New Roman" w:eastAsia="Times New Roman" w:hAnsi="Times New Roman" w:cs="Times New Roman"/>
                <w:sz w:val="20"/>
                <w:szCs w:val="20"/>
              </w:rPr>
            </w:pPr>
            <w:r w:rsidRPr="00C73849">
              <w:rPr>
                <w:rFonts w:ascii="Times New Roman"/>
                <w:sz w:val="20"/>
              </w:rPr>
              <w:t>60-67</w:t>
            </w:r>
          </w:p>
        </w:tc>
        <w:tc>
          <w:tcPr>
            <w:tcW w:w="991" w:type="dxa"/>
            <w:tcBorders>
              <w:top w:val="single" w:sz="5" w:space="0" w:color="000000"/>
              <w:left w:val="single" w:sz="5" w:space="0" w:color="000000"/>
              <w:bottom w:val="single" w:sz="5" w:space="0" w:color="000000"/>
              <w:right w:val="single" w:sz="5" w:space="0" w:color="000000"/>
            </w:tcBorders>
          </w:tcPr>
          <w:p w14:paraId="69C94199" w14:textId="77777777" w:rsidR="00957F89" w:rsidRPr="00C73849" w:rsidRDefault="00D92D87" w:rsidP="00B90474">
            <w:pPr>
              <w:pStyle w:val="TableParagraph"/>
              <w:keepNext/>
              <w:spacing w:line="222" w:lineRule="exact"/>
              <w:ind w:left="257"/>
              <w:rPr>
                <w:rFonts w:ascii="Times New Roman" w:eastAsia="Times New Roman" w:hAnsi="Times New Roman" w:cs="Times New Roman"/>
                <w:sz w:val="20"/>
                <w:szCs w:val="20"/>
              </w:rPr>
            </w:pPr>
            <w:r w:rsidRPr="00C73849">
              <w:rPr>
                <w:rFonts w:ascii="Times New Roman"/>
                <w:sz w:val="20"/>
              </w:rPr>
              <w:t>61-68</w:t>
            </w:r>
          </w:p>
        </w:tc>
        <w:tc>
          <w:tcPr>
            <w:tcW w:w="1022" w:type="dxa"/>
            <w:tcBorders>
              <w:top w:val="single" w:sz="5" w:space="0" w:color="000000"/>
              <w:left w:val="single" w:sz="5" w:space="0" w:color="000000"/>
              <w:bottom w:val="single" w:sz="5" w:space="0" w:color="000000"/>
              <w:right w:val="single" w:sz="5" w:space="0" w:color="000000"/>
            </w:tcBorders>
          </w:tcPr>
          <w:p w14:paraId="68E66CF6" w14:textId="77777777" w:rsidR="00957F89" w:rsidRPr="00C73849" w:rsidRDefault="00D92D87" w:rsidP="00B90474">
            <w:pPr>
              <w:pStyle w:val="TableParagraph"/>
              <w:keepNext/>
              <w:spacing w:line="222" w:lineRule="exact"/>
              <w:ind w:left="271"/>
              <w:rPr>
                <w:rFonts w:ascii="Times New Roman" w:eastAsia="Times New Roman" w:hAnsi="Times New Roman" w:cs="Times New Roman"/>
                <w:sz w:val="20"/>
                <w:szCs w:val="20"/>
              </w:rPr>
            </w:pPr>
            <w:r w:rsidRPr="00C73849">
              <w:rPr>
                <w:rFonts w:ascii="Times New Roman"/>
                <w:sz w:val="20"/>
              </w:rPr>
              <w:t>60-64</w:t>
            </w:r>
          </w:p>
        </w:tc>
        <w:tc>
          <w:tcPr>
            <w:tcW w:w="1049" w:type="dxa"/>
            <w:tcBorders>
              <w:top w:val="single" w:sz="5" w:space="0" w:color="000000"/>
              <w:left w:val="single" w:sz="5" w:space="0" w:color="000000"/>
              <w:bottom w:val="single" w:sz="5" w:space="0" w:color="000000"/>
              <w:right w:val="single" w:sz="5" w:space="0" w:color="000000"/>
            </w:tcBorders>
          </w:tcPr>
          <w:p w14:paraId="6AEF0629" w14:textId="77777777" w:rsidR="00957F89" w:rsidRPr="00C73849" w:rsidRDefault="00D92D87" w:rsidP="00B90474">
            <w:pPr>
              <w:pStyle w:val="TableParagraph"/>
              <w:keepNext/>
              <w:spacing w:line="222" w:lineRule="exact"/>
              <w:ind w:left="285"/>
              <w:rPr>
                <w:rFonts w:ascii="Times New Roman" w:eastAsia="Times New Roman" w:hAnsi="Times New Roman" w:cs="Times New Roman"/>
                <w:sz w:val="20"/>
                <w:szCs w:val="20"/>
              </w:rPr>
            </w:pPr>
            <w:r w:rsidRPr="00C73849">
              <w:rPr>
                <w:rFonts w:ascii="Times New Roman"/>
                <w:sz w:val="20"/>
              </w:rPr>
              <w:t>62-74</w:t>
            </w:r>
          </w:p>
        </w:tc>
        <w:tc>
          <w:tcPr>
            <w:tcW w:w="1049" w:type="dxa"/>
            <w:tcBorders>
              <w:top w:val="single" w:sz="5" w:space="0" w:color="000000"/>
              <w:left w:val="single" w:sz="5" w:space="0" w:color="000000"/>
              <w:bottom w:val="single" w:sz="5" w:space="0" w:color="000000"/>
              <w:right w:val="single" w:sz="5" w:space="0" w:color="000000"/>
            </w:tcBorders>
          </w:tcPr>
          <w:p w14:paraId="6ECC4934" w14:textId="77777777" w:rsidR="00957F89" w:rsidRPr="00C73849" w:rsidRDefault="00D92D87" w:rsidP="00B90474">
            <w:pPr>
              <w:pStyle w:val="TableParagraph"/>
              <w:keepNext/>
              <w:spacing w:line="222" w:lineRule="exact"/>
              <w:ind w:left="284"/>
              <w:rPr>
                <w:rFonts w:ascii="Times New Roman" w:eastAsia="Times New Roman" w:hAnsi="Times New Roman" w:cs="Times New Roman"/>
                <w:sz w:val="20"/>
                <w:szCs w:val="20"/>
              </w:rPr>
            </w:pPr>
            <w:r w:rsidRPr="00C73849">
              <w:rPr>
                <w:rFonts w:ascii="Times New Roman"/>
                <w:sz w:val="20"/>
              </w:rPr>
              <w:t>64-72</w:t>
            </w:r>
          </w:p>
        </w:tc>
        <w:tc>
          <w:tcPr>
            <w:tcW w:w="1133" w:type="dxa"/>
            <w:tcBorders>
              <w:top w:val="single" w:sz="5" w:space="0" w:color="000000"/>
              <w:left w:val="single" w:sz="5" w:space="0" w:color="000000"/>
              <w:bottom w:val="single" w:sz="5" w:space="0" w:color="000000"/>
              <w:right w:val="single" w:sz="12" w:space="0" w:color="000000"/>
            </w:tcBorders>
          </w:tcPr>
          <w:p w14:paraId="2E2148E7" w14:textId="77777777" w:rsidR="00957F89" w:rsidRPr="00C73849" w:rsidRDefault="00D92D87" w:rsidP="00B90474">
            <w:pPr>
              <w:pStyle w:val="TableParagraph"/>
              <w:keepNext/>
              <w:spacing w:line="222" w:lineRule="exact"/>
              <w:ind w:left="325"/>
              <w:rPr>
                <w:rFonts w:ascii="Times New Roman" w:eastAsia="Times New Roman" w:hAnsi="Times New Roman" w:cs="Times New Roman"/>
                <w:sz w:val="20"/>
                <w:szCs w:val="20"/>
              </w:rPr>
            </w:pPr>
            <w:r w:rsidRPr="00C73849">
              <w:rPr>
                <w:rFonts w:ascii="Times New Roman"/>
                <w:sz w:val="20"/>
              </w:rPr>
              <w:t>60-86</w:t>
            </w:r>
          </w:p>
        </w:tc>
      </w:tr>
      <w:tr w:rsidR="00957F89" w:rsidRPr="00C73849" w14:paraId="14C6F90D" w14:textId="77777777">
        <w:trPr>
          <w:trHeight w:hRule="exact" w:val="240"/>
        </w:trPr>
        <w:tc>
          <w:tcPr>
            <w:tcW w:w="960" w:type="dxa"/>
            <w:vMerge w:val="restart"/>
            <w:tcBorders>
              <w:top w:val="single" w:sz="5" w:space="0" w:color="000000"/>
              <w:left w:val="single" w:sz="12" w:space="0" w:color="000000"/>
              <w:right w:val="single" w:sz="5" w:space="0" w:color="000000"/>
            </w:tcBorders>
          </w:tcPr>
          <w:p w14:paraId="05A15217" w14:textId="77777777" w:rsidR="00957F89" w:rsidRPr="00C73849" w:rsidRDefault="00D92D87" w:rsidP="00B90474">
            <w:pPr>
              <w:pStyle w:val="TableParagraph"/>
              <w:keepNext/>
              <w:ind w:left="92" w:right="259"/>
              <w:rPr>
                <w:rFonts w:ascii="Times New Roman" w:eastAsia="Times New Roman" w:hAnsi="Times New Roman" w:cs="Times New Roman"/>
                <w:sz w:val="20"/>
                <w:szCs w:val="20"/>
              </w:rPr>
            </w:pPr>
            <w:r w:rsidRPr="00C73849">
              <w:rPr>
                <w:rFonts w:ascii="Times New Roman"/>
                <w:sz w:val="20"/>
              </w:rPr>
              <w:t>Weight</w:t>
            </w:r>
            <w:r w:rsidRPr="00C73849">
              <w:rPr>
                <w:rFonts w:ascii="Times New Roman"/>
                <w:w w:val="99"/>
                <w:sz w:val="20"/>
              </w:rPr>
              <w:t xml:space="preserve"> </w:t>
            </w:r>
            <w:r w:rsidRPr="00C73849">
              <w:rPr>
                <w:rFonts w:ascii="Times New Roman"/>
                <w:sz w:val="20"/>
              </w:rPr>
              <w:t>(kg)</w:t>
            </w:r>
          </w:p>
        </w:tc>
        <w:tc>
          <w:tcPr>
            <w:tcW w:w="1843" w:type="dxa"/>
            <w:tcBorders>
              <w:top w:val="single" w:sz="5" w:space="0" w:color="000000"/>
              <w:left w:val="single" w:sz="5" w:space="0" w:color="000000"/>
              <w:bottom w:val="single" w:sz="5" w:space="0" w:color="000000"/>
              <w:right w:val="single" w:sz="5" w:space="0" w:color="000000"/>
            </w:tcBorders>
          </w:tcPr>
          <w:p w14:paraId="18D6E27F" w14:textId="77777777" w:rsidR="00957F89" w:rsidRPr="00C73849" w:rsidRDefault="00D92D87" w:rsidP="00B90474">
            <w:pPr>
              <w:pStyle w:val="TableParagraph"/>
              <w:keepNext/>
              <w:spacing w:line="222" w:lineRule="exact"/>
              <w:ind w:left="102"/>
              <w:rPr>
                <w:rFonts w:ascii="Times New Roman" w:eastAsia="Times New Roman" w:hAnsi="Times New Roman" w:cs="Times New Roman"/>
                <w:sz w:val="20"/>
                <w:szCs w:val="20"/>
              </w:rPr>
            </w:pPr>
            <w:r w:rsidRPr="00C73849">
              <w:rPr>
                <w:rFonts w:ascii="Times New Roman"/>
                <w:sz w:val="20"/>
              </w:rPr>
              <w:t>Mean</w:t>
            </w:r>
          </w:p>
        </w:tc>
        <w:tc>
          <w:tcPr>
            <w:tcW w:w="991" w:type="dxa"/>
            <w:tcBorders>
              <w:top w:val="single" w:sz="5" w:space="0" w:color="000000"/>
              <w:left w:val="single" w:sz="5" w:space="0" w:color="000000"/>
              <w:bottom w:val="single" w:sz="5" w:space="0" w:color="000000"/>
              <w:right w:val="single" w:sz="5" w:space="0" w:color="000000"/>
            </w:tcBorders>
          </w:tcPr>
          <w:p w14:paraId="06BBE713" w14:textId="77777777" w:rsidR="00957F89" w:rsidRPr="00C73849" w:rsidRDefault="00D92D87" w:rsidP="00B90474">
            <w:pPr>
              <w:pStyle w:val="TableParagraph"/>
              <w:keepNext/>
              <w:spacing w:line="222" w:lineRule="exact"/>
              <w:ind w:left="315"/>
              <w:rPr>
                <w:rFonts w:ascii="Times New Roman" w:eastAsia="Times New Roman" w:hAnsi="Times New Roman" w:cs="Times New Roman"/>
                <w:sz w:val="20"/>
                <w:szCs w:val="20"/>
              </w:rPr>
            </w:pPr>
            <w:r w:rsidRPr="00C73849">
              <w:rPr>
                <w:rFonts w:ascii="Times New Roman"/>
                <w:sz w:val="20"/>
              </w:rPr>
              <w:t>76.5</w:t>
            </w:r>
          </w:p>
        </w:tc>
        <w:tc>
          <w:tcPr>
            <w:tcW w:w="991" w:type="dxa"/>
            <w:tcBorders>
              <w:top w:val="single" w:sz="5" w:space="0" w:color="000000"/>
              <w:left w:val="single" w:sz="5" w:space="0" w:color="000000"/>
              <w:bottom w:val="single" w:sz="5" w:space="0" w:color="000000"/>
              <w:right w:val="single" w:sz="5" w:space="0" w:color="000000"/>
            </w:tcBorders>
          </w:tcPr>
          <w:p w14:paraId="719C7B92" w14:textId="77777777" w:rsidR="00957F89" w:rsidRPr="00C73849" w:rsidRDefault="00D92D87" w:rsidP="00B90474">
            <w:pPr>
              <w:pStyle w:val="TableParagraph"/>
              <w:keepNext/>
              <w:spacing w:line="222" w:lineRule="exact"/>
              <w:ind w:left="314"/>
              <w:rPr>
                <w:rFonts w:ascii="Times New Roman" w:eastAsia="Times New Roman" w:hAnsi="Times New Roman" w:cs="Times New Roman"/>
                <w:sz w:val="20"/>
                <w:szCs w:val="20"/>
              </w:rPr>
            </w:pPr>
            <w:r w:rsidRPr="00C73849">
              <w:rPr>
                <w:rFonts w:ascii="Times New Roman"/>
                <w:sz w:val="20"/>
              </w:rPr>
              <w:t>70.5</w:t>
            </w:r>
          </w:p>
        </w:tc>
        <w:tc>
          <w:tcPr>
            <w:tcW w:w="1022" w:type="dxa"/>
            <w:tcBorders>
              <w:top w:val="single" w:sz="5" w:space="0" w:color="000000"/>
              <w:left w:val="single" w:sz="5" w:space="0" w:color="000000"/>
              <w:bottom w:val="single" w:sz="5" w:space="0" w:color="000000"/>
              <w:right w:val="single" w:sz="5" w:space="0" w:color="000000"/>
            </w:tcBorders>
          </w:tcPr>
          <w:p w14:paraId="1B3D8EAC" w14:textId="77777777" w:rsidR="00957F89" w:rsidRPr="00C73849" w:rsidRDefault="00D92D87" w:rsidP="00B90474">
            <w:pPr>
              <w:pStyle w:val="TableParagraph"/>
              <w:keepNext/>
              <w:spacing w:line="222" w:lineRule="exact"/>
              <w:ind w:left="329"/>
              <w:rPr>
                <w:rFonts w:ascii="Times New Roman" w:eastAsia="Times New Roman" w:hAnsi="Times New Roman" w:cs="Times New Roman"/>
                <w:sz w:val="20"/>
                <w:szCs w:val="20"/>
              </w:rPr>
            </w:pPr>
            <w:r w:rsidRPr="00C73849">
              <w:rPr>
                <w:rFonts w:ascii="Times New Roman"/>
                <w:sz w:val="20"/>
              </w:rPr>
              <w:t>73.3</w:t>
            </w:r>
          </w:p>
        </w:tc>
        <w:tc>
          <w:tcPr>
            <w:tcW w:w="1049" w:type="dxa"/>
            <w:tcBorders>
              <w:top w:val="single" w:sz="5" w:space="0" w:color="000000"/>
              <w:left w:val="single" w:sz="5" w:space="0" w:color="000000"/>
              <w:bottom w:val="single" w:sz="5" w:space="0" w:color="000000"/>
              <w:right w:val="single" w:sz="5" w:space="0" w:color="000000"/>
            </w:tcBorders>
          </w:tcPr>
          <w:p w14:paraId="23970F10" w14:textId="77777777" w:rsidR="00957F89" w:rsidRPr="00C73849" w:rsidRDefault="00D92D87" w:rsidP="00B90474">
            <w:pPr>
              <w:pStyle w:val="TableParagraph"/>
              <w:keepNext/>
              <w:spacing w:line="222" w:lineRule="exact"/>
              <w:ind w:left="343"/>
              <w:rPr>
                <w:rFonts w:ascii="Times New Roman" w:eastAsia="Times New Roman" w:hAnsi="Times New Roman" w:cs="Times New Roman"/>
                <w:sz w:val="20"/>
                <w:szCs w:val="20"/>
              </w:rPr>
            </w:pPr>
            <w:r w:rsidRPr="00C73849">
              <w:rPr>
                <w:rFonts w:ascii="Times New Roman"/>
                <w:sz w:val="20"/>
              </w:rPr>
              <w:t>69.8</w:t>
            </w:r>
          </w:p>
        </w:tc>
        <w:tc>
          <w:tcPr>
            <w:tcW w:w="1049" w:type="dxa"/>
            <w:tcBorders>
              <w:top w:val="single" w:sz="5" w:space="0" w:color="000000"/>
              <w:left w:val="single" w:sz="5" w:space="0" w:color="000000"/>
              <w:bottom w:val="single" w:sz="5" w:space="0" w:color="000000"/>
              <w:right w:val="single" w:sz="5" w:space="0" w:color="000000"/>
            </w:tcBorders>
          </w:tcPr>
          <w:p w14:paraId="7529A397" w14:textId="77777777" w:rsidR="00957F89" w:rsidRPr="00C73849" w:rsidRDefault="00D92D87" w:rsidP="00B90474">
            <w:pPr>
              <w:pStyle w:val="TableParagraph"/>
              <w:keepNext/>
              <w:spacing w:line="222" w:lineRule="exact"/>
              <w:ind w:left="343"/>
              <w:rPr>
                <w:rFonts w:ascii="Times New Roman" w:eastAsia="Times New Roman" w:hAnsi="Times New Roman" w:cs="Times New Roman"/>
                <w:sz w:val="20"/>
                <w:szCs w:val="20"/>
              </w:rPr>
            </w:pPr>
            <w:r w:rsidRPr="00C73849">
              <w:rPr>
                <w:rFonts w:ascii="Times New Roman"/>
                <w:sz w:val="20"/>
              </w:rPr>
              <w:t>68.5</w:t>
            </w:r>
          </w:p>
        </w:tc>
        <w:tc>
          <w:tcPr>
            <w:tcW w:w="1133" w:type="dxa"/>
            <w:tcBorders>
              <w:top w:val="single" w:sz="5" w:space="0" w:color="000000"/>
              <w:left w:val="single" w:sz="5" w:space="0" w:color="000000"/>
              <w:bottom w:val="single" w:sz="5" w:space="0" w:color="000000"/>
              <w:right w:val="single" w:sz="12" w:space="0" w:color="000000"/>
            </w:tcBorders>
          </w:tcPr>
          <w:p w14:paraId="5975BC55" w14:textId="77777777" w:rsidR="00957F89" w:rsidRPr="00C73849" w:rsidRDefault="00D92D87" w:rsidP="00B90474">
            <w:pPr>
              <w:pStyle w:val="TableParagraph"/>
              <w:keepNext/>
              <w:spacing w:line="222" w:lineRule="exact"/>
              <w:ind w:left="8"/>
              <w:jc w:val="center"/>
              <w:rPr>
                <w:rFonts w:ascii="Times New Roman" w:eastAsia="Times New Roman" w:hAnsi="Times New Roman" w:cs="Times New Roman"/>
                <w:sz w:val="20"/>
                <w:szCs w:val="20"/>
              </w:rPr>
            </w:pPr>
            <w:r w:rsidRPr="00C73849">
              <w:rPr>
                <w:rFonts w:ascii="Times New Roman"/>
                <w:sz w:val="20"/>
              </w:rPr>
              <w:t>71.8</w:t>
            </w:r>
          </w:p>
        </w:tc>
      </w:tr>
      <w:tr w:rsidR="00957F89" w:rsidRPr="00C73849" w14:paraId="6E40056E" w14:textId="77777777">
        <w:trPr>
          <w:trHeight w:hRule="exact" w:val="240"/>
        </w:trPr>
        <w:tc>
          <w:tcPr>
            <w:tcW w:w="960" w:type="dxa"/>
            <w:vMerge/>
            <w:tcBorders>
              <w:left w:val="single" w:sz="12" w:space="0" w:color="000000"/>
              <w:right w:val="single" w:sz="5" w:space="0" w:color="000000"/>
            </w:tcBorders>
          </w:tcPr>
          <w:p w14:paraId="304D17FA" w14:textId="77777777" w:rsidR="00957F89" w:rsidRPr="00C73849" w:rsidRDefault="00957F89" w:rsidP="00B90474">
            <w:pPr>
              <w:keepNext/>
            </w:pPr>
          </w:p>
        </w:tc>
        <w:tc>
          <w:tcPr>
            <w:tcW w:w="1843" w:type="dxa"/>
            <w:tcBorders>
              <w:top w:val="single" w:sz="5" w:space="0" w:color="000000"/>
              <w:left w:val="single" w:sz="5" w:space="0" w:color="000000"/>
              <w:bottom w:val="single" w:sz="5" w:space="0" w:color="000000"/>
              <w:right w:val="single" w:sz="5" w:space="0" w:color="000000"/>
            </w:tcBorders>
          </w:tcPr>
          <w:p w14:paraId="189DAAC3" w14:textId="77777777" w:rsidR="00957F89" w:rsidRPr="00C73849" w:rsidRDefault="00D92D87" w:rsidP="00B90474">
            <w:pPr>
              <w:pStyle w:val="TableParagraph"/>
              <w:keepNext/>
              <w:spacing w:line="222" w:lineRule="exact"/>
              <w:ind w:left="102"/>
              <w:rPr>
                <w:rFonts w:ascii="Times New Roman" w:eastAsia="Times New Roman" w:hAnsi="Times New Roman" w:cs="Times New Roman"/>
                <w:sz w:val="20"/>
                <w:szCs w:val="20"/>
              </w:rPr>
            </w:pPr>
            <w:r w:rsidRPr="00C73849">
              <w:rPr>
                <w:rFonts w:ascii="Times New Roman"/>
                <w:sz w:val="20"/>
              </w:rPr>
              <w:t>SD</w:t>
            </w:r>
          </w:p>
        </w:tc>
        <w:tc>
          <w:tcPr>
            <w:tcW w:w="991" w:type="dxa"/>
            <w:tcBorders>
              <w:top w:val="single" w:sz="5" w:space="0" w:color="000000"/>
              <w:left w:val="single" w:sz="5" w:space="0" w:color="000000"/>
              <w:bottom w:val="single" w:sz="5" w:space="0" w:color="000000"/>
              <w:right w:val="single" w:sz="5" w:space="0" w:color="000000"/>
            </w:tcBorders>
          </w:tcPr>
          <w:p w14:paraId="73ACC59E" w14:textId="77777777" w:rsidR="00957F89" w:rsidRPr="00C73849" w:rsidRDefault="00D92D87" w:rsidP="00B90474">
            <w:pPr>
              <w:pStyle w:val="TableParagraph"/>
              <w:keepNext/>
              <w:spacing w:line="222" w:lineRule="exact"/>
              <w:ind w:left="262"/>
              <w:rPr>
                <w:rFonts w:ascii="Times New Roman" w:eastAsia="Times New Roman" w:hAnsi="Times New Roman" w:cs="Times New Roman"/>
                <w:sz w:val="20"/>
                <w:szCs w:val="20"/>
              </w:rPr>
            </w:pPr>
            <w:r w:rsidRPr="00C73849">
              <w:rPr>
                <w:rFonts w:ascii="Times New Roman"/>
                <w:sz w:val="20"/>
              </w:rPr>
              <w:t>16.94</w:t>
            </w:r>
          </w:p>
        </w:tc>
        <w:tc>
          <w:tcPr>
            <w:tcW w:w="991" w:type="dxa"/>
            <w:tcBorders>
              <w:top w:val="single" w:sz="5" w:space="0" w:color="000000"/>
              <w:left w:val="single" w:sz="5" w:space="0" w:color="000000"/>
              <w:bottom w:val="single" w:sz="5" w:space="0" w:color="000000"/>
              <w:right w:val="single" w:sz="5" w:space="0" w:color="000000"/>
            </w:tcBorders>
          </w:tcPr>
          <w:p w14:paraId="462622E1" w14:textId="77777777" w:rsidR="00957F89" w:rsidRPr="00C73849" w:rsidRDefault="00D92D87" w:rsidP="00B90474">
            <w:pPr>
              <w:pStyle w:val="TableParagraph"/>
              <w:keepNext/>
              <w:spacing w:line="222" w:lineRule="exact"/>
              <w:ind w:left="313"/>
              <w:rPr>
                <w:rFonts w:ascii="Times New Roman" w:eastAsia="Times New Roman" w:hAnsi="Times New Roman" w:cs="Times New Roman"/>
                <w:sz w:val="20"/>
                <w:szCs w:val="20"/>
              </w:rPr>
            </w:pPr>
            <w:r w:rsidRPr="00C73849">
              <w:rPr>
                <w:rFonts w:ascii="Times New Roman"/>
                <w:sz w:val="20"/>
              </w:rPr>
              <w:t>3.70</w:t>
            </w:r>
          </w:p>
        </w:tc>
        <w:tc>
          <w:tcPr>
            <w:tcW w:w="1022" w:type="dxa"/>
            <w:tcBorders>
              <w:top w:val="single" w:sz="5" w:space="0" w:color="000000"/>
              <w:left w:val="single" w:sz="5" w:space="0" w:color="000000"/>
              <w:bottom w:val="single" w:sz="5" w:space="0" w:color="000000"/>
              <w:right w:val="single" w:sz="5" w:space="0" w:color="000000"/>
            </w:tcBorders>
          </w:tcPr>
          <w:p w14:paraId="4014DB8B" w14:textId="77777777" w:rsidR="00957F89" w:rsidRPr="00C73849" w:rsidRDefault="00D92D87" w:rsidP="00B90474">
            <w:pPr>
              <w:pStyle w:val="TableParagraph"/>
              <w:keepNext/>
              <w:spacing w:line="222" w:lineRule="exact"/>
              <w:ind w:left="277"/>
              <w:rPr>
                <w:rFonts w:ascii="Times New Roman" w:eastAsia="Times New Roman" w:hAnsi="Times New Roman" w:cs="Times New Roman"/>
                <w:sz w:val="20"/>
                <w:szCs w:val="20"/>
              </w:rPr>
            </w:pPr>
            <w:r w:rsidRPr="00C73849">
              <w:rPr>
                <w:rFonts w:ascii="Times New Roman"/>
                <w:sz w:val="20"/>
              </w:rPr>
              <w:t>13.07</w:t>
            </w:r>
          </w:p>
        </w:tc>
        <w:tc>
          <w:tcPr>
            <w:tcW w:w="1049" w:type="dxa"/>
            <w:tcBorders>
              <w:top w:val="single" w:sz="5" w:space="0" w:color="000000"/>
              <w:left w:val="single" w:sz="5" w:space="0" w:color="000000"/>
              <w:bottom w:val="single" w:sz="5" w:space="0" w:color="000000"/>
              <w:right w:val="single" w:sz="5" w:space="0" w:color="000000"/>
            </w:tcBorders>
          </w:tcPr>
          <w:p w14:paraId="7B373A1C" w14:textId="77777777" w:rsidR="00957F89" w:rsidRPr="00C73849" w:rsidRDefault="00D92D87" w:rsidP="00B90474">
            <w:pPr>
              <w:pStyle w:val="TableParagraph"/>
              <w:keepNext/>
              <w:spacing w:line="222" w:lineRule="exact"/>
              <w:ind w:left="292"/>
              <w:rPr>
                <w:rFonts w:ascii="Times New Roman" w:eastAsia="Times New Roman" w:hAnsi="Times New Roman" w:cs="Times New Roman"/>
                <w:sz w:val="20"/>
                <w:szCs w:val="20"/>
              </w:rPr>
            </w:pPr>
            <w:r w:rsidRPr="00C73849">
              <w:rPr>
                <w:rFonts w:ascii="Times New Roman"/>
                <w:sz w:val="20"/>
              </w:rPr>
              <w:t>11.79</w:t>
            </w:r>
          </w:p>
        </w:tc>
        <w:tc>
          <w:tcPr>
            <w:tcW w:w="1049" w:type="dxa"/>
            <w:tcBorders>
              <w:top w:val="single" w:sz="5" w:space="0" w:color="000000"/>
              <w:left w:val="single" w:sz="5" w:space="0" w:color="000000"/>
              <w:bottom w:val="single" w:sz="5" w:space="0" w:color="000000"/>
              <w:right w:val="single" w:sz="5" w:space="0" w:color="000000"/>
            </w:tcBorders>
          </w:tcPr>
          <w:p w14:paraId="10BD437A" w14:textId="77777777" w:rsidR="00957F89" w:rsidRPr="00C73849" w:rsidRDefault="00D92D87" w:rsidP="00B90474">
            <w:pPr>
              <w:pStyle w:val="TableParagraph"/>
              <w:keepNext/>
              <w:spacing w:line="222" w:lineRule="exact"/>
              <w:ind w:left="292"/>
              <w:rPr>
                <w:rFonts w:ascii="Times New Roman" w:eastAsia="Times New Roman" w:hAnsi="Times New Roman" w:cs="Times New Roman"/>
                <w:sz w:val="20"/>
                <w:szCs w:val="20"/>
              </w:rPr>
            </w:pPr>
            <w:r w:rsidRPr="00C73849">
              <w:rPr>
                <w:rFonts w:ascii="Times New Roman"/>
                <w:sz w:val="20"/>
              </w:rPr>
              <w:t>13.13</w:t>
            </w:r>
          </w:p>
        </w:tc>
        <w:tc>
          <w:tcPr>
            <w:tcW w:w="1133" w:type="dxa"/>
            <w:tcBorders>
              <w:top w:val="single" w:sz="5" w:space="0" w:color="000000"/>
              <w:left w:val="single" w:sz="5" w:space="0" w:color="000000"/>
              <w:bottom w:val="single" w:sz="5" w:space="0" w:color="000000"/>
              <w:right w:val="single" w:sz="12" w:space="0" w:color="000000"/>
            </w:tcBorders>
          </w:tcPr>
          <w:p w14:paraId="47D26A2C" w14:textId="77777777" w:rsidR="00957F89" w:rsidRPr="00C73849" w:rsidRDefault="00D92D87" w:rsidP="00B90474">
            <w:pPr>
              <w:pStyle w:val="TableParagraph"/>
              <w:keepNext/>
              <w:spacing w:line="222" w:lineRule="exact"/>
              <w:ind w:left="333"/>
              <w:rPr>
                <w:rFonts w:ascii="Times New Roman" w:eastAsia="Times New Roman" w:hAnsi="Times New Roman" w:cs="Times New Roman"/>
                <w:sz w:val="20"/>
                <w:szCs w:val="20"/>
              </w:rPr>
            </w:pPr>
            <w:r w:rsidRPr="00C73849">
              <w:rPr>
                <w:rFonts w:ascii="Times New Roman"/>
                <w:sz w:val="20"/>
              </w:rPr>
              <w:t>14.58</w:t>
            </w:r>
          </w:p>
        </w:tc>
      </w:tr>
      <w:tr w:rsidR="00957F89" w:rsidRPr="00C73849" w14:paraId="05430B5A" w14:textId="77777777">
        <w:trPr>
          <w:trHeight w:hRule="exact" w:val="240"/>
        </w:trPr>
        <w:tc>
          <w:tcPr>
            <w:tcW w:w="960" w:type="dxa"/>
            <w:vMerge/>
            <w:tcBorders>
              <w:left w:val="single" w:sz="12" w:space="0" w:color="000000"/>
              <w:bottom w:val="single" w:sz="5" w:space="0" w:color="000000"/>
              <w:right w:val="single" w:sz="5" w:space="0" w:color="000000"/>
            </w:tcBorders>
          </w:tcPr>
          <w:p w14:paraId="291D38EF" w14:textId="77777777" w:rsidR="00957F89" w:rsidRPr="00C73849" w:rsidRDefault="00957F89" w:rsidP="00B90474">
            <w:pPr>
              <w:keepNext/>
            </w:pPr>
          </w:p>
        </w:tc>
        <w:tc>
          <w:tcPr>
            <w:tcW w:w="1843" w:type="dxa"/>
            <w:tcBorders>
              <w:top w:val="single" w:sz="5" w:space="0" w:color="000000"/>
              <w:left w:val="single" w:sz="5" w:space="0" w:color="000000"/>
              <w:bottom w:val="single" w:sz="5" w:space="0" w:color="000000"/>
              <w:right w:val="single" w:sz="5" w:space="0" w:color="000000"/>
            </w:tcBorders>
          </w:tcPr>
          <w:p w14:paraId="611DF8EC" w14:textId="77777777" w:rsidR="00957F89" w:rsidRPr="00C73849" w:rsidRDefault="00D92D87" w:rsidP="00B90474">
            <w:pPr>
              <w:pStyle w:val="TableParagraph"/>
              <w:keepNext/>
              <w:spacing w:line="222" w:lineRule="exact"/>
              <w:ind w:left="102"/>
              <w:rPr>
                <w:rFonts w:ascii="Times New Roman" w:eastAsia="Times New Roman" w:hAnsi="Times New Roman" w:cs="Times New Roman"/>
                <w:sz w:val="20"/>
                <w:szCs w:val="20"/>
              </w:rPr>
            </w:pPr>
            <w:r w:rsidRPr="00C73849">
              <w:rPr>
                <w:rFonts w:ascii="Times New Roman"/>
                <w:sz w:val="20"/>
              </w:rPr>
              <w:t>Range (min-max)</w:t>
            </w:r>
          </w:p>
        </w:tc>
        <w:tc>
          <w:tcPr>
            <w:tcW w:w="991" w:type="dxa"/>
            <w:tcBorders>
              <w:top w:val="single" w:sz="5" w:space="0" w:color="000000"/>
              <w:left w:val="single" w:sz="5" w:space="0" w:color="000000"/>
              <w:bottom w:val="single" w:sz="5" w:space="0" w:color="000000"/>
              <w:right w:val="single" w:sz="5" w:space="0" w:color="000000"/>
            </w:tcBorders>
          </w:tcPr>
          <w:p w14:paraId="55E3563E" w14:textId="77777777" w:rsidR="00957F89" w:rsidRPr="00C73849" w:rsidRDefault="00D92D87" w:rsidP="00B90474">
            <w:pPr>
              <w:pStyle w:val="TableParagraph"/>
              <w:keepNext/>
              <w:spacing w:line="222" w:lineRule="exact"/>
              <w:ind w:left="257"/>
              <w:rPr>
                <w:rFonts w:ascii="Times New Roman" w:eastAsia="Times New Roman" w:hAnsi="Times New Roman" w:cs="Times New Roman"/>
                <w:sz w:val="20"/>
                <w:szCs w:val="20"/>
              </w:rPr>
            </w:pPr>
            <w:r w:rsidRPr="00C73849">
              <w:rPr>
                <w:rFonts w:ascii="Times New Roman"/>
                <w:sz w:val="20"/>
              </w:rPr>
              <w:t>61-94</w:t>
            </w:r>
          </w:p>
        </w:tc>
        <w:tc>
          <w:tcPr>
            <w:tcW w:w="991" w:type="dxa"/>
            <w:tcBorders>
              <w:top w:val="single" w:sz="5" w:space="0" w:color="000000"/>
              <w:left w:val="single" w:sz="5" w:space="0" w:color="000000"/>
              <w:bottom w:val="single" w:sz="5" w:space="0" w:color="000000"/>
              <w:right w:val="single" w:sz="5" w:space="0" w:color="000000"/>
            </w:tcBorders>
          </w:tcPr>
          <w:p w14:paraId="0D706091" w14:textId="77777777" w:rsidR="00957F89" w:rsidRPr="00C73849" w:rsidRDefault="00D92D87" w:rsidP="00B90474">
            <w:pPr>
              <w:pStyle w:val="TableParagraph"/>
              <w:keepNext/>
              <w:spacing w:line="222" w:lineRule="exact"/>
              <w:ind w:left="257"/>
              <w:rPr>
                <w:rFonts w:ascii="Times New Roman" w:eastAsia="Times New Roman" w:hAnsi="Times New Roman" w:cs="Times New Roman"/>
                <w:sz w:val="20"/>
                <w:szCs w:val="20"/>
              </w:rPr>
            </w:pPr>
            <w:r w:rsidRPr="00C73849">
              <w:rPr>
                <w:rFonts w:ascii="Times New Roman"/>
                <w:sz w:val="20"/>
              </w:rPr>
              <w:t>66-74</w:t>
            </w:r>
          </w:p>
        </w:tc>
        <w:tc>
          <w:tcPr>
            <w:tcW w:w="1022" w:type="dxa"/>
            <w:tcBorders>
              <w:top w:val="single" w:sz="5" w:space="0" w:color="000000"/>
              <w:left w:val="single" w:sz="5" w:space="0" w:color="000000"/>
              <w:bottom w:val="single" w:sz="5" w:space="0" w:color="000000"/>
              <w:right w:val="single" w:sz="5" w:space="0" w:color="000000"/>
            </w:tcBorders>
          </w:tcPr>
          <w:p w14:paraId="2B355E90" w14:textId="77777777" w:rsidR="00957F89" w:rsidRPr="00C73849" w:rsidRDefault="00D92D87" w:rsidP="00B90474">
            <w:pPr>
              <w:pStyle w:val="TableParagraph"/>
              <w:keepNext/>
              <w:spacing w:line="222" w:lineRule="exact"/>
              <w:ind w:left="271"/>
              <w:rPr>
                <w:rFonts w:ascii="Times New Roman" w:eastAsia="Times New Roman" w:hAnsi="Times New Roman" w:cs="Times New Roman"/>
                <w:sz w:val="20"/>
                <w:szCs w:val="20"/>
              </w:rPr>
            </w:pPr>
            <w:r w:rsidRPr="00C73849">
              <w:rPr>
                <w:rFonts w:ascii="Times New Roman"/>
                <w:sz w:val="20"/>
              </w:rPr>
              <w:t>62-91</w:t>
            </w:r>
          </w:p>
        </w:tc>
        <w:tc>
          <w:tcPr>
            <w:tcW w:w="1049" w:type="dxa"/>
            <w:tcBorders>
              <w:top w:val="single" w:sz="5" w:space="0" w:color="000000"/>
              <w:left w:val="single" w:sz="5" w:space="0" w:color="000000"/>
              <w:bottom w:val="single" w:sz="5" w:space="0" w:color="000000"/>
              <w:right w:val="single" w:sz="5" w:space="0" w:color="000000"/>
            </w:tcBorders>
          </w:tcPr>
          <w:p w14:paraId="39798385" w14:textId="77777777" w:rsidR="00957F89" w:rsidRPr="00C73849" w:rsidRDefault="00D92D87" w:rsidP="00B90474">
            <w:pPr>
              <w:pStyle w:val="TableParagraph"/>
              <w:keepNext/>
              <w:spacing w:line="222" w:lineRule="exact"/>
              <w:ind w:left="285"/>
              <w:rPr>
                <w:rFonts w:ascii="Times New Roman" w:eastAsia="Times New Roman" w:hAnsi="Times New Roman" w:cs="Times New Roman"/>
                <w:sz w:val="20"/>
                <w:szCs w:val="20"/>
              </w:rPr>
            </w:pPr>
            <w:r w:rsidRPr="00C73849">
              <w:rPr>
                <w:rFonts w:ascii="Times New Roman"/>
                <w:sz w:val="20"/>
              </w:rPr>
              <w:t>54-81</w:t>
            </w:r>
          </w:p>
        </w:tc>
        <w:tc>
          <w:tcPr>
            <w:tcW w:w="1049" w:type="dxa"/>
            <w:tcBorders>
              <w:top w:val="single" w:sz="5" w:space="0" w:color="000000"/>
              <w:left w:val="single" w:sz="5" w:space="0" w:color="000000"/>
              <w:bottom w:val="single" w:sz="5" w:space="0" w:color="000000"/>
              <w:right w:val="single" w:sz="5" w:space="0" w:color="000000"/>
            </w:tcBorders>
          </w:tcPr>
          <w:p w14:paraId="05B74A8E" w14:textId="77777777" w:rsidR="00957F89" w:rsidRPr="00C73849" w:rsidRDefault="00D92D87" w:rsidP="00B90474">
            <w:pPr>
              <w:pStyle w:val="TableParagraph"/>
              <w:keepNext/>
              <w:spacing w:line="222" w:lineRule="exact"/>
              <w:ind w:left="284"/>
              <w:rPr>
                <w:rFonts w:ascii="Times New Roman" w:eastAsia="Times New Roman" w:hAnsi="Times New Roman" w:cs="Times New Roman"/>
                <w:sz w:val="20"/>
                <w:szCs w:val="20"/>
              </w:rPr>
            </w:pPr>
            <w:r w:rsidRPr="00C73849">
              <w:rPr>
                <w:rFonts w:ascii="Times New Roman"/>
                <w:sz w:val="20"/>
              </w:rPr>
              <w:t>50-81</w:t>
            </w:r>
          </w:p>
        </w:tc>
        <w:tc>
          <w:tcPr>
            <w:tcW w:w="1133" w:type="dxa"/>
            <w:tcBorders>
              <w:top w:val="single" w:sz="5" w:space="0" w:color="000000"/>
              <w:left w:val="single" w:sz="5" w:space="0" w:color="000000"/>
              <w:bottom w:val="single" w:sz="5" w:space="0" w:color="000000"/>
              <w:right w:val="single" w:sz="12" w:space="0" w:color="000000"/>
            </w:tcBorders>
          </w:tcPr>
          <w:p w14:paraId="63B3D6C4" w14:textId="77777777" w:rsidR="00957F89" w:rsidRPr="00C73849" w:rsidRDefault="00D92D87" w:rsidP="00B90474">
            <w:pPr>
              <w:pStyle w:val="TableParagraph"/>
              <w:keepNext/>
              <w:spacing w:line="222" w:lineRule="exact"/>
              <w:ind w:left="274"/>
              <w:rPr>
                <w:rFonts w:ascii="Times New Roman" w:eastAsia="Times New Roman" w:hAnsi="Times New Roman" w:cs="Times New Roman"/>
                <w:sz w:val="20"/>
                <w:szCs w:val="20"/>
              </w:rPr>
            </w:pPr>
            <w:r w:rsidRPr="00C73849">
              <w:rPr>
                <w:rFonts w:ascii="Times New Roman"/>
                <w:sz w:val="20"/>
              </w:rPr>
              <w:t>58-100</w:t>
            </w:r>
          </w:p>
        </w:tc>
      </w:tr>
      <w:tr w:rsidR="00957F89" w:rsidRPr="00C73849" w14:paraId="50E8D1C1" w14:textId="77777777">
        <w:trPr>
          <w:trHeight w:hRule="exact" w:val="240"/>
        </w:trPr>
        <w:tc>
          <w:tcPr>
            <w:tcW w:w="960" w:type="dxa"/>
            <w:vMerge w:val="restart"/>
            <w:tcBorders>
              <w:top w:val="single" w:sz="5" w:space="0" w:color="000000"/>
              <w:left w:val="single" w:sz="12" w:space="0" w:color="000000"/>
              <w:right w:val="single" w:sz="5" w:space="0" w:color="000000"/>
            </w:tcBorders>
          </w:tcPr>
          <w:p w14:paraId="78172F9E" w14:textId="77777777" w:rsidR="00957F89" w:rsidRPr="00C73849" w:rsidRDefault="00D92D87" w:rsidP="00B90474">
            <w:pPr>
              <w:pStyle w:val="TableParagraph"/>
              <w:keepNext/>
              <w:spacing w:line="238" w:lineRule="auto"/>
              <w:ind w:left="92" w:right="301"/>
              <w:rPr>
                <w:rFonts w:ascii="Times New Roman" w:eastAsia="Times New Roman" w:hAnsi="Times New Roman" w:cs="Times New Roman"/>
                <w:sz w:val="20"/>
                <w:szCs w:val="20"/>
              </w:rPr>
            </w:pPr>
            <w:r w:rsidRPr="00C73849">
              <w:rPr>
                <w:rFonts w:ascii="Times New Roman"/>
                <w:sz w:val="20"/>
              </w:rPr>
              <w:t>Height</w:t>
            </w:r>
            <w:r w:rsidRPr="00C73849">
              <w:rPr>
                <w:rFonts w:ascii="Times New Roman"/>
                <w:w w:val="99"/>
                <w:sz w:val="20"/>
              </w:rPr>
              <w:t xml:space="preserve"> </w:t>
            </w:r>
            <w:r w:rsidRPr="00C73849">
              <w:rPr>
                <w:rFonts w:ascii="Times New Roman"/>
                <w:sz w:val="20"/>
              </w:rPr>
              <w:t>(cm)</w:t>
            </w:r>
          </w:p>
        </w:tc>
        <w:tc>
          <w:tcPr>
            <w:tcW w:w="1843" w:type="dxa"/>
            <w:tcBorders>
              <w:top w:val="single" w:sz="5" w:space="0" w:color="000000"/>
              <w:left w:val="single" w:sz="5" w:space="0" w:color="000000"/>
              <w:bottom w:val="single" w:sz="5" w:space="0" w:color="000000"/>
              <w:right w:val="single" w:sz="5" w:space="0" w:color="000000"/>
            </w:tcBorders>
          </w:tcPr>
          <w:p w14:paraId="2C8ABBE2" w14:textId="77777777" w:rsidR="00957F89" w:rsidRPr="00C73849" w:rsidRDefault="00D92D87" w:rsidP="00B90474">
            <w:pPr>
              <w:pStyle w:val="TableParagraph"/>
              <w:keepNext/>
              <w:spacing w:line="222" w:lineRule="exact"/>
              <w:ind w:left="102"/>
              <w:rPr>
                <w:rFonts w:ascii="Times New Roman" w:eastAsia="Times New Roman" w:hAnsi="Times New Roman" w:cs="Times New Roman"/>
                <w:sz w:val="20"/>
                <w:szCs w:val="20"/>
              </w:rPr>
            </w:pPr>
            <w:r w:rsidRPr="00C73849">
              <w:rPr>
                <w:rFonts w:ascii="Times New Roman"/>
                <w:sz w:val="20"/>
              </w:rPr>
              <w:t>Mean</w:t>
            </w:r>
          </w:p>
        </w:tc>
        <w:tc>
          <w:tcPr>
            <w:tcW w:w="991" w:type="dxa"/>
            <w:tcBorders>
              <w:top w:val="single" w:sz="5" w:space="0" w:color="000000"/>
              <w:left w:val="single" w:sz="5" w:space="0" w:color="000000"/>
              <w:bottom w:val="single" w:sz="5" w:space="0" w:color="000000"/>
              <w:right w:val="single" w:sz="5" w:space="0" w:color="000000"/>
            </w:tcBorders>
          </w:tcPr>
          <w:p w14:paraId="61568DC3" w14:textId="77777777" w:rsidR="00957F89" w:rsidRPr="00C73849" w:rsidRDefault="00D92D87" w:rsidP="00B90474">
            <w:pPr>
              <w:pStyle w:val="TableParagraph"/>
              <w:keepNext/>
              <w:spacing w:line="222" w:lineRule="exact"/>
              <w:ind w:left="264"/>
              <w:rPr>
                <w:rFonts w:ascii="Times New Roman" w:eastAsia="Times New Roman" w:hAnsi="Times New Roman" w:cs="Times New Roman"/>
                <w:sz w:val="20"/>
                <w:szCs w:val="20"/>
              </w:rPr>
            </w:pPr>
            <w:r w:rsidRPr="00C73849">
              <w:rPr>
                <w:rFonts w:ascii="Times New Roman"/>
                <w:sz w:val="20"/>
              </w:rPr>
              <w:t>172.3</w:t>
            </w:r>
          </w:p>
        </w:tc>
        <w:tc>
          <w:tcPr>
            <w:tcW w:w="991" w:type="dxa"/>
            <w:tcBorders>
              <w:top w:val="single" w:sz="5" w:space="0" w:color="000000"/>
              <w:left w:val="single" w:sz="5" w:space="0" w:color="000000"/>
              <w:bottom w:val="single" w:sz="5" w:space="0" w:color="000000"/>
              <w:right w:val="single" w:sz="5" w:space="0" w:color="000000"/>
            </w:tcBorders>
          </w:tcPr>
          <w:p w14:paraId="508968AD" w14:textId="77777777" w:rsidR="00957F89" w:rsidRPr="00C73849" w:rsidRDefault="00D92D87" w:rsidP="00B90474">
            <w:pPr>
              <w:pStyle w:val="TableParagraph"/>
              <w:keepNext/>
              <w:spacing w:line="222" w:lineRule="exact"/>
              <w:ind w:left="264"/>
              <w:rPr>
                <w:rFonts w:ascii="Times New Roman" w:eastAsia="Times New Roman" w:hAnsi="Times New Roman" w:cs="Times New Roman"/>
                <w:sz w:val="20"/>
                <w:szCs w:val="20"/>
              </w:rPr>
            </w:pPr>
            <w:r w:rsidRPr="00C73849">
              <w:rPr>
                <w:rFonts w:ascii="Times New Roman"/>
                <w:sz w:val="20"/>
              </w:rPr>
              <w:t>162.0</w:t>
            </w:r>
          </w:p>
        </w:tc>
        <w:tc>
          <w:tcPr>
            <w:tcW w:w="1022" w:type="dxa"/>
            <w:tcBorders>
              <w:top w:val="single" w:sz="5" w:space="0" w:color="000000"/>
              <w:left w:val="single" w:sz="5" w:space="0" w:color="000000"/>
              <w:bottom w:val="single" w:sz="5" w:space="0" w:color="000000"/>
              <w:right w:val="single" w:sz="5" w:space="0" w:color="000000"/>
            </w:tcBorders>
          </w:tcPr>
          <w:p w14:paraId="428191D5" w14:textId="77777777" w:rsidR="00957F89" w:rsidRPr="00C73849" w:rsidRDefault="00D92D87" w:rsidP="00B90474">
            <w:pPr>
              <w:pStyle w:val="TableParagraph"/>
              <w:keepNext/>
              <w:spacing w:line="222" w:lineRule="exact"/>
              <w:ind w:left="278"/>
              <w:rPr>
                <w:rFonts w:ascii="Times New Roman" w:eastAsia="Times New Roman" w:hAnsi="Times New Roman" w:cs="Times New Roman"/>
                <w:sz w:val="20"/>
                <w:szCs w:val="20"/>
              </w:rPr>
            </w:pPr>
            <w:r w:rsidRPr="00C73849">
              <w:rPr>
                <w:rFonts w:ascii="Times New Roman"/>
                <w:sz w:val="20"/>
              </w:rPr>
              <w:t>171.5</w:t>
            </w:r>
          </w:p>
        </w:tc>
        <w:tc>
          <w:tcPr>
            <w:tcW w:w="1049" w:type="dxa"/>
            <w:tcBorders>
              <w:top w:val="single" w:sz="5" w:space="0" w:color="000000"/>
              <w:left w:val="single" w:sz="5" w:space="0" w:color="000000"/>
              <w:bottom w:val="single" w:sz="5" w:space="0" w:color="000000"/>
              <w:right w:val="single" w:sz="5" w:space="0" w:color="000000"/>
            </w:tcBorders>
          </w:tcPr>
          <w:p w14:paraId="7FC4822D" w14:textId="77777777" w:rsidR="00957F89" w:rsidRPr="00C73849" w:rsidRDefault="00D92D87" w:rsidP="00B90474">
            <w:pPr>
              <w:pStyle w:val="TableParagraph"/>
              <w:keepNext/>
              <w:spacing w:line="222" w:lineRule="exact"/>
              <w:ind w:left="293"/>
              <w:rPr>
                <w:rFonts w:ascii="Times New Roman" w:eastAsia="Times New Roman" w:hAnsi="Times New Roman" w:cs="Times New Roman"/>
                <w:sz w:val="20"/>
                <w:szCs w:val="20"/>
              </w:rPr>
            </w:pPr>
            <w:r w:rsidRPr="00C73849">
              <w:rPr>
                <w:rFonts w:ascii="Times New Roman"/>
                <w:sz w:val="20"/>
              </w:rPr>
              <w:t>167.8</w:t>
            </w:r>
          </w:p>
        </w:tc>
        <w:tc>
          <w:tcPr>
            <w:tcW w:w="1049" w:type="dxa"/>
            <w:tcBorders>
              <w:top w:val="single" w:sz="5" w:space="0" w:color="000000"/>
              <w:left w:val="single" w:sz="5" w:space="0" w:color="000000"/>
              <w:bottom w:val="single" w:sz="5" w:space="0" w:color="000000"/>
              <w:right w:val="single" w:sz="5" w:space="0" w:color="000000"/>
            </w:tcBorders>
          </w:tcPr>
          <w:p w14:paraId="30C2E478" w14:textId="77777777" w:rsidR="00957F89" w:rsidRPr="00C73849" w:rsidRDefault="00D92D87" w:rsidP="00B90474">
            <w:pPr>
              <w:pStyle w:val="TableParagraph"/>
              <w:keepNext/>
              <w:spacing w:line="222" w:lineRule="exact"/>
              <w:ind w:left="293"/>
              <w:rPr>
                <w:rFonts w:ascii="Times New Roman" w:eastAsia="Times New Roman" w:hAnsi="Times New Roman" w:cs="Times New Roman"/>
                <w:sz w:val="20"/>
                <w:szCs w:val="20"/>
              </w:rPr>
            </w:pPr>
            <w:r w:rsidRPr="00C73849">
              <w:rPr>
                <w:rFonts w:ascii="Times New Roman"/>
                <w:sz w:val="20"/>
              </w:rPr>
              <w:t>167.3</w:t>
            </w:r>
          </w:p>
        </w:tc>
        <w:tc>
          <w:tcPr>
            <w:tcW w:w="1133" w:type="dxa"/>
            <w:tcBorders>
              <w:top w:val="single" w:sz="5" w:space="0" w:color="000000"/>
              <w:left w:val="single" w:sz="5" w:space="0" w:color="000000"/>
              <w:bottom w:val="single" w:sz="5" w:space="0" w:color="000000"/>
              <w:right w:val="single" w:sz="12" w:space="0" w:color="000000"/>
            </w:tcBorders>
          </w:tcPr>
          <w:p w14:paraId="3FC3ADA1" w14:textId="77777777" w:rsidR="00957F89" w:rsidRPr="00C73849" w:rsidRDefault="00D92D87" w:rsidP="00B90474">
            <w:pPr>
              <w:pStyle w:val="TableParagraph"/>
              <w:keepNext/>
              <w:spacing w:line="222" w:lineRule="exact"/>
              <w:ind w:left="333"/>
              <w:rPr>
                <w:rFonts w:ascii="Times New Roman" w:eastAsia="Times New Roman" w:hAnsi="Times New Roman" w:cs="Times New Roman"/>
                <w:sz w:val="20"/>
                <w:szCs w:val="20"/>
              </w:rPr>
            </w:pPr>
            <w:r w:rsidRPr="00C73849">
              <w:rPr>
                <w:rFonts w:ascii="Times New Roman"/>
                <w:sz w:val="20"/>
              </w:rPr>
              <w:t>169.5</w:t>
            </w:r>
          </w:p>
        </w:tc>
      </w:tr>
      <w:tr w:rsidR="00957F89" w:rsidRPr="00C73849" w14:paraId="43DB9EB5" w14:textId="77777777">
        <w:trPr>
          <w:trHeight w:hRule="exact" w:val="240"/>
        </w:trPr>
        <w:tc>
          <w:tcPr>
            <w:tcW w:w="960" w:type="dxa"/>
            <w:vMerge/>
            <w:tcBorders>
              <w:left w:val="single" w:sz="12" w:space="0" w:color="000000"/>
              <w:right w:val="single" w:sz="5" w:space="0" w:color="000000"/>
            </w:tcBorders>
          </w:tcPr>
          <w:p w14:paraId="0EC3B1E8" w14:textId="77777777" w:rsidR="00957F89" w:rsidRPr="00C73849" w:rsidRDefault="00957F89" w:rsidP="00B90474">
            <w:pPr>
              <w:keepNext/>
            </w:pPr>
          </w:p>
        </w:tc>
        <w:tc>
          <w:tcPr>
            <w:tcW w:w="1843" w:type="dxa"/>
            <w:tcBorders>
              <w:top w:val="single" w:sz="5" w:space="0" w:color="000000"/>
              <w:left w:val="single" w:sz="5" w:space="0" w:color="000000"/>
              <w:bottom w:val="single" w:sz="5" w:space="0" w:color="000000"/>
              <w:right w:val="single" w:sz="5" w:space="0" w:color="000000"/>
            </w:tcBorders>
          </w:tcPr>
          <w:p w14:paraId="048CCE21" w14:textId="77777777" w:rsidR="00957F89" w:rsidRPr="00C73849" w:rsidRDefault="00D92D87" w:rsidP="00B90474">
            <w:pPr>
              <w:pStyle w:val="TableParagraph"/>
              <w:keepNext/>
              <w:spacing w:line="222" w:lineRule="exact"/>
              <w:ind w:left="102"/>
              <w:rPr>
                <w:rFonts w:ascii="Times New Roman" w:eastAsia="Times New Roman" w:hAnsi="Times New Roman" w:cs="Times New Roman"/>
                <w:sz w:val="20"/>
                <w:szCs w:val="20"/>
              </w:rPr>
            </w:pPr>
            <w:r w:rsidRPr="00C73849">
              <w:rPr>
                <w:rFonts w:ascii="Times New Roman"/>
                <w:sz w:val="20"/>
              </w:rPr>
              <w:t>SD</w:t>
            </w:r>
          </w:p>
        </w:tc>
        <w:tc>
          <w:tcPr>
            <w:tcW w:w="991" w:type="dxa"/>
            <w:tcBorders>
              <w:top w:val="single" w:sz="5" w:space="0" w:color="000000"/>
              <w:left w:val="single" w:sz="5" w:space="0" w:color="000000"/>
              <w:bottom w:val="single" w:sz="5" w:space="0" w:color="000000"/>
              <w:right w:val="single" w:sz="5" w:space="0" w:color="000000"/>
            </w:tcBorders>
          </w:tcPr>
          <w:p w14:paraId="28CC67FC" w14:textId="77777777" w:rsidR="00957F89" w:rsidRPr="00C73849" w:rsidRDefault="00D92D87" w:rsidP="00B90474">
            <w:pPr>
              <w:pStyle w:val="TableParagraph"/>
              <w:keepNext/>
              <w:spacing w:line="222" w:lineRule="exact"/>
              <w:ind w:left="262"/>
              <w:rPr>
                <w:rFonts w:ascii="Times New Roman" w:eastAsia="Times New Roman" w:hAnsi="Times New Roman" w:cs="Times New Roman"/>
                <w:sz w:val="20"/>
                <w:szCs w:val="20"/>
              </w:rPr>
            </w:pPr>
            <w:r w:rsidRPr="00C73849">
              <w:rPr>
                <w:rFonts w:ascii="Times New Roman"/>
                <w:sz w:val="20"/>
              </w:rPr>
              <w:t>12.97</w:t>
            </w:r>
          </w:p>
        </w:tc>
        <w:tc>
          <w:tcPr>
            <w:tcW w:w="991" w:type="dxa"/>
            <w:tcBorders>
              <w:top w:val="single" w:sz="5" w:space="0" w:color="000000"/>
              <w:left w:val="single" w:sz="5" w:space="0" w:color="000000"/>
              <w:bottom w:val="single" w:sz="5" w:space="0" w:color="000000"/>
              <w:right w:val="single" w:sz="5" w:space="0" w:color="000000"/>
            </w:tcBorders>
          </w:tcPr>
          <w:p w14:paraId="44BDF787" w14:textId="77777777" w:rsidR="00957F89" w:rsidRPr="00C73849" w:rsidRDefault="00D92D87" w:rsidP="00B90474">
            <w:pPr>
              <w:pStyle w:val="TableParagraph"/>
              <w:keepNext/>
              <w:spacing w:line="222" w:lineRule="exact"/>
              <w:ind w:left="313"/>
              <w:rPr>
                <w:rFonts w:ascii="Times New Roman" w:eastAsia="Times New Roman" w:hAnsi="Times New Roman" w:cs="Times New Roman"/>
                <w:sz w:val="20"/>
                <w:szCs w:val="20"/>
              </w:rPr>
            </w:pPr>
            <w:r w:rsidRPr="00C73849">
              <w:rPr>
                <w:rFonts w:ascii="Times New Roman"/>
                <w:sz w:val="20"/>
              </w:rPr>
              <w:t>6.68</w:t>
            </w:r>
          </w:p>
        </w:tc>
        <w:tc>
          <w:tcPr>
            <w:tcW w:w="1022" w:type="dxa"/>
            <w:tcBorders>
              <w:top w:val="single" w:sz="5" w:space="0" w:color="000000"/>
              <w:left w:val="single" w:sz="5" w:space="0" w:color="000000"/>
              <w:bottom w:val="single" w:sz="5" w:space="0" w:color="000000"/>
              <w:right w:val="single" w:sz="5" w:space="0" w:color="000000"/>
            </w:tcBorders>
          </w:tcPr>
          <w:p w14:paraId="46CDCCBC" w14:textId="77777777" w:rsidR="00957F89" w:rsidRPr="00C73849" w:rsidRDefault="00D92D87" w:rsidP="00B90474">
            <w:pPr>
              <w:pStyle w:val="TableParagraph"/>
              <w:keepNext/>
              <w:spacing w:line="222" w:lineRule="exact"/>
              <w:ind w:left="327"/>
              <w:rPr>
                <w:rFonts w:ascii="Times New Roman" w:eastAsia="Times New Roman" w:hAnsi="Times New Roman" w:cs="Times New Roman"/>
                <w:sz w:val="20"/>
                <w:szCs w:val="20"/>
              </w:rPr>
            </w:pPr>
            <w:r w:rsidRPr="00C73849">
              <w:rPr>
                <w:rFonts w:ascii="Times New Roman"/>
                <w:sz w:val="20"/>
              </w:rPr>
              <w:t>4.43</w:t>
            </w:r>
          </w:p>
        </w:tc>
        <w:tc>
          <w:tcPr>
            <w:tcW w:w="1049" w:type="dxa"/>
            <w:tcBorders>
              <w:top w:val="single" w:sz="5" w:space="0" w:color="000000"/>
              <w:left w:val="single" w:sz="5" w:space="0" w:color="000000"/>
              <w:bottom w:val="single" w:sz="5" w:space="0" w:color="000000"/>
              <w:right w:val="single" w:sz="5" w:space="0" w:color="000000"/>
            </w:tcBorders>
          </w:tcPr>
          <w:p w14:paraId="60342834" w14:textId="77777777" w:rsidR="00957F89" w:rsidRPr="00C73849" w:rsidRDefault="00D92D87" w:rsidP="00B90474">
            <w:pPr>
              <w:pStyle w:val="TableParagraph"/>
              <w:keepNext/>
              <w:spacing w:line="222" w:lineRule="exact"/>
              <w:ind w:left="342"/>
              <w:rPr>
                <w:rFonts w:ascii="Times New Roman" w:eastAsia="Times New Roman" w:hAnsi="Times New Roman" w:cs="Times New Roman"/>
                <w:sz w:val="20"/>
                <w:szCs w:val="20"/>
              </w:rPr>
            </w:pPr>
            <w:r w:rsidRPr="00C73849">
              <w:rPr>
                <w:rFonts w:ascii="Times New Roman"/>
                <w:sz w:val="20"/>
              </w:rPr>
              <w:t>8.54</w:t>
            </w:r>
          </w:p>
        </w:tc>
        <w:tc>
          <w:tcPr>
            <w:tcW w:w="1049" w:type="dxa"/>
            <w:tcBorders>
              <w:top w:val="single" w:sz="5" w:space="0" w:color="000000"/>
              <w:left w:val="single" w:sz="5" w:space="0" w:color="000000"/>
              <w:bottom w:val="single" w:sz="5" w:space="0" w:color="000000"/>
              <w:right w:val="single" w:sz="5" w:space="0" w:color="000000"/>
            </w:tcBorders>
          </w:tcPr>
          <w:p w14:paraId="4BF73FE9" w14:textId="77777777" w:rsidR="00957F89" w:rsidRPr="00C73849" w:rsidRDefault="00D92D87" w:rsidP="00B90474">
            <w:pPr>
              <w:pStyle w:val="TableParagraph"/>
              <w:keepNext/>
              <w:spacing w:line="222" w:lineRule="exact"/>
              <w:ind w:left="292"/>
              <w:rPr>
                <w:rFonts w:ascii="Times New Roman" w:eastAsia="Times New Roman" w:hAnsi="Times New Roman" w:cs="Times New Roman"/>
                <w:sz w:val="20"/>
                <w:szCs w:val="20"/>
              </w:rPr>
            </w:pPr>
            <w:r w:rsidRPr="00C73849">
              <w:rPr>
                <w:rFonts w:ascii="Times New Roman"/>
                <w:sz w:val="20"/>
              </w:rPr>
              <w:t>11.59</w:t>
            </w:r>
          </w:p>
        </w:tc>
        <w:tc>
          <w:tcPr>
            <w:tcW w:w="1133" w:type="dxa"/>
            <w:tcBorders>
              <w:top w:val="single" w:sz="5" w:space="0" w:color="000000"/>
              <w:left w:val="single" w:sz="5" w:space="0" w:color="000000"/>
              <w:bottom w:val="single" w:sz="5" w:space="0" w:color="000000"/>
              <w:right w:val="single" w:sz="12" w:space="0" w:color="000000"/>
            </w:tcBorders>
          </w:tcPr>
          <w:p w14:paraId="675BB27F" w14:textId="77777777" w:rsidR="00957F89" w:rsidRPr="00C73849" w:rsidRDefault="00D92D87" w:rsidP="00B90474">
            <w:pPr>
              <w:pStyle w:val="TableParagraph"/>
              <w:keepNext/>
              <w:spacing w:line="222" w:lineRule="exact"/>
              <w:ind w:left="8"/>
              <w:jc w:val="center"/>
              <w:rPr>
                <w:rFonts w:ascii="Times New Roman" w:eastAsia="Times New Roman" w:hAnsi="Times New Roman" w:cs="Times New Roman"/>
                <w:sz w:val="20"/>
                <w:szCs w:val="20"/>
              </w:rPr>
            </w:pPr>
            <w:r w:rsidRPr="00C73849">
              <w:rPr>
                <w:rFonts w:ascii="Times New Roman"/>
                <w:sz w:val="20"/>
              </w:rPr>
              <w:t>7.56</w:t>
            </w:r>
          </w:p>
        </w:tc>
      </w:tr>
      <w:tr w:rsidR="00957F89" w:rsidRPr="00C73849" w14:paraId="5FF2A41E" w14:textId="77777777">
        <w:trPr>
          <w:trHeight w:hRule="exact" w:val="240"/>
        </w:trPr>
        <w:tc>
          <w:tcPr>
            <w:tcW w:w="960" w:type="dxa"/>
            <w:vMerge/>
            <w:tcBorders>
              <w:left w:val="single" w:sz="12" w:space="0" w:color="000000"/>
              <w:bottom w:val="single" w:sz="5" w:space="0" w:color="000000"/>
              <w:right w:val="single" w:sz="5" w:space="0" w:color="000000"/>
            </w:tcBorders>
          </w:tcPr>
          <w:p w14:paraId="5B646729" w14:textId="77777777" w:rsidR="00957F89" w:rsidRPr="00C73849" w:rsidRDefault="00957F89" w:rsidP="00B90474">
            <w:pPr>
              <w:keepNext/>
            </w:pPr>
          </w:p>
        </w:tc>
        <w:tc>
          <w:tcPr>
            <w:tcW w:w="1843" w:type="dxa"/>
            <w:tcBorders>
              <w:top w:val="single" w:sz="5" w:space="0" w:color="000000"/>
              <w:left w:val="single" w:sz="5" w:space="0" w:color="000000"/>
              <w:bottom w:val="single" w:sz="5" w:space="0" w:color="000000"/>
              <w:right w:val="single" w:sz="5" w:space="0" w:color="000000"/>
            </w:tcBorders>
          </w:tcPr>
          <w:p w14:paraId="35D66ED4" w14:textId="77777777" w:rsidR="00957F89" w:rsidRPr="00C73849" w:rsidRDefault="00D92D87" w:rsidP="00B90474">
            <w:pPr>
              <w:pStyle w:val="TableParagraph"/>
              <w:keepNext/>
              <w:spacing w:line="222" w:lineRule="exact"/>
              <w:ind w:left="102"/>
              <w:rPr>
                <w:rFonts w:ascii="Times New Roman" w:eastAsia="Times New Roman" w:hAnsi="Times New Roman" w:cs="Times New Roman"/>
                <w:sz w:val="20"/>
                <w:szCs w:val="20"/>
              </w:rPr>
            </w:pPr>
            <w:r w:rsidRPr="00C73849">
              <w:rPr>
                <w:rFonts w:ascii="Times New Roman"/>
                <w:sz w:val="20"/>
              </w:rPr>
              <w:t>Range (min-max)</w:t>
            </w:r>
          </w:p>
        </w:tc>
        <w:tc>
          <w:tcPr>
            <w:tcW w:w="991" w:type="dxa"/>
            <w:tcBorders>
              <w:top w:val="single" w:sz="5" w:space="0" w:color="000000"/>
              <w:left w:val="single" w:sz="5" w:space="0" w:color="000000"/>
              <w:bottom w:val="single" w:sz="5" w:space="0" w:color="000000"/>
              <w:right w:val="single" w:sz="5" w:space="0" w:color="000000"/>
            </w:tcBorders>
          </w:tcPr>
          <w:p w14:paraId="7E669A2C" w14:textId="77777777" w:rsidR="00957F89" w:rsidRPr="00C73849" w:rsidRDefault="00D92D87" w:rsidP="00B90474">
            <w:pPr>
              <w:pStyle w:val="TableParagraph"/>
              <w:keepNext/>
              <w:spacing w:line="222" w:lineRule="exact"/>
              <w:ind w:left="156"/>
              <w:rPr>
                <w:rFonts w:ascii="Times New Roman" w:eastAsia="Times New Roman" w:hAnsi="Times New Roman" w:cs="Times New Roman"/>
                <w:sz w:val="20"/>
                <w:szCs w:val="20"/>
              </w:rPr>
            </w:pPr>
            <w:r w:rsidRPr="00C73849">
              <w:rPr>
                <w:rFonts w:ascii="Times New Roman"/>
                <w:sz w:val="20"/>
              </w:rPr>
              <w:t>156-185</w:t>
            </w:r>
          </w:p>
        </w:tc>
        <w:tc>
          <w:tcPr>
            <w:tcW w:w="991" w:type="dxa"/>
            <w:tcBorders>
              <w:top w:val="single" w:sz="5" w:space="0" w:color="000000"/>
              <w:left w:val="single" w:sz="5" w:space="0" w:color="000000"/>
              <w:bottom w:val="single" w:sz="5" w:space="0" w:color="000000"/>
              <w:right w:val="single" w:sz="5" w:space="0" w:color="000000"/>
            </w:tcBorders>
          </w:tcPr>
          <w:p w14:paraId="41357E0C" w14:textId="77777777" w:rsidR="00957F89" w:rsidRPr="00C73849" w:rsidRDefault="00D92D87" w:rsidP="00B90474">
            <w:pPr>
              <w:pStyle w:val="TableParagraph"/>
              <w:keepNext/>
              <w:spacing w:line="222" w:lineRule="exact"/>
              <w:ind w:left="156"/>
              <w:rPr>
                <w:rFonts w:ascii="Times New Roman" w:eastAsia="Times New Roman" w:hAnsi="Times New Roman" w:cs="Times New Roman"/>
                <w:sz w:val="20"/>
                <w:szCs w:val="20"/>
              </w:rPr>
            </w:pPr>
            <w:r w:rsidRPr="00C73849">
              <w:rPr>
                <w:rFonts w:ascii="Times New Roman"/>
                <w:sz w:val="20"/>
              </w:rPr>
              <w:t>154-168</w:t>
            </w:r>
          </w:p>
        </w:tc>
        <w:tc>
          <w:tcPr>
            <w:tcW w:w="1022" w:type="dxa"/>
            <w:tcBorders>
              <w:top w:val="single" w:sz="5" w:space="0" w:color="000000"/>
              <w:left w:val="single" w:sz="5" w:space="0" w:color="000000"/>
              <w:bottom w:val="single" w:sz="5" w:space="0" w:color="000000"/>
              <w:right w:val="single" w:sz="5" w:space="0" w:color="000000"/>
            </w:tcBorders>
          </w:tcPr>
          <w:p w14:paraId="3C317A23" w14:textId="77777777" w:rsidR="00957F89" w:rsidRPr="00C73849" w:rsidRDefault="00D92D87" w:rsidP="00B90474">
            <w:pPr>
              <w:pStyle w:val="TableParagraph"/>
              <w:keepNext/>
              <w:spacing w:line="222" w:lineRule="exact"/>
              <w:ind w:left="170"/>
              <w:rPr>
                <w:rFonts w:ascii="Times New Roman" w:eastAsia="Times New Roman" w:hAnsi="Times New Roman" w:cs="Times New Roman"/>
                <w:sz w:val="20"/>
                <w:szCs w:val="20"/>
              </w:rPr>
            </w:pPr>
            <w:r w:rsidRPr="00C73849">
              <w:rPr>
                <w:rFonts w:ascii="Times New Roman"/>
                <w:sz w:val="20"/>
              </w:rPr>
              <w:t>168-178</w:t>
            </w:r>
          </w:p>
        </w:tc>
        <w:tc>
          <w:tcPr>
            <w:tcW w:w="1049" w:type="dxa"/>
            <w:tcBorders>
              <w:top w:val="single" w:sz="5" w:space="0" w:color="000000"/>
              <w:left w:val="single" w:sz="5" w:space="0" w:color="000000"/>
              <w:bottom w:val="single" w:sz="5" w:space="0" w:color="000000"/>
              <w:right w:val="single" w:sz="5" w:space="0" w:color="000000"/>
            </w:tcBorders>
          </w:tcPr>
          <w:p w14:paraId="51275A25" w14:textId="77777777" w:rsidR="00957F89" w:rsidRPr="00C73849" w:rsidRDefault="00D92D87" w:rsidP="00B90474">
            <w:pPr>
              <w:pStyle w:val="TableParagraph"/>
              <w:keepNext/>
              <w:spacing w:line="222" w:lineRule="exact"/>
              <w:ind w:left="184"/>
              <w:rPr>
                <w:rFonts w:ascii="Times New Roman" w:eastAsia="Times New Roman" w:hAnsi="Times New Roman" w:cs="Times New Roman"/>
                <w:sz w:val="20"/>
                <w:szCs w:val="20"/>
              </w:rPr>
            </w:pPr>
            <w:r w:rsidRPr="00C73849">
              <w:rPr>
                <w:rFonts w:ascii="Times New Roman"/>
                <w:sz w:val="20"/>
              </w:rPr>
              <w:t>159-179</w:t>
            </w:r>
          </w:p>
        </w:tc>
        <w:tc>
          <w:tcPr>
            <w:tcW w:w="1049" w:type="dxa"/>
            <w:tcBorders>
              <w:top w:val="single" w:sz="5" w:space="0" w:color="000000"/>
              <w:left w:val="single" w:sz="5" w:space="0" w:color="000000"/>
              <w:bottom w:val="single" w:sz="5" w:space="0" w:color="000000"/>
              <w:right w:val="single" w:sz="5" w:space="0" w:color="000000"/>
            </w:tcBorders>
          </w:tcPr>
          <w:p w14:paraId="6DBA1794" w14:textId="77777777" w:rsidR="00957F89" w:rsidRPr="00C73849" w:rsidRDefault="00D92D87" w:rsidP="00B90474">
            <w:pPr>
              <w:pStyle w:val="TableParagraph"/>
              <w:keepNext/>
              <w:spacing w:line="222" w:lineRule="exact"/>
              <w:ind w:left="183"/>
              <w:rPr>
                <w:rFonts w:ascii="Times New Roman" w:eastAsia="Times New Roman" w:hAnsi="Times New Roman" w:cs="Times New Roman"/>
                <w:sz w:val="20"/>
                <w:szCs w:val="20"/>
              </w:rPr>
            </w:pPr>
            <w:r w:rsidRPr="00C73849">
              <w:rPr>
                <w:rFonts w:ascii="Times New Roman"/>
                <w:sz w:val="20"/>
              </w:rPr>
              <w:t>152-180</w:t>
            </w:r>
          </w:p>
        </w:tc>
        <w:tc>
          <w:tcPr>
            <w:tcW w:w="1133" w:type="dxa"/>
            <w:tcBorders>
              <w:top w:val="single" w:sz="5" w:space="0" w:color="000000"/>
              <w:left w:val="single" w:sz="5" w:space="0" w:color="000000"/>
              <w:bottom w:val="single" w:sz="5" w:space="0" w:color="000000"/>
              <w:right w:val="single" w:sz="12" w:space="0" w:color="000000"/>
            </w:tcBorders>
          </w:tcPr>
          <w:p w14:paraId="17277650" w14:textId="77777777" w:rsidR="00957F89" w:rsidRPr="00C73849" w:rsidRDefault="00D92D87" w:rsidP="00B90474">
            <w:pPr>
              <w:pStyle w:val="TableParagraph"/>
              <w:keepNext/>
              <w:spacing w:line="222" w:lineRule="exact"/>
              <w:ind w:left="224"/>
              <w:rPr>
                <w:rFonts w:ascii="Times New Roman" w:eastAsia="Times New Roman" w:hAnsi="Times New Roman" w:cs="Times New Roman"/>
                <w:sz w:val="20"/>
                <w:szCs w:val="20"/>
              </w:rPr>
            </w:pPr>
            <w:r w:rsidRPr="00C73849">
              <w:rPr>
                <w:rFonts w:ascii="Times New Roman"/>
                <w:sz w:val="20"/>
              </w:rPr>
              <w:t>157-183</w:t>
            </w:r>
          </w:p>
        </w:tc>
      </w:tr>
      <w:tr w:rsidR="00957F89" w:rsidRPr="00C73849" w14:paraId="21308E22" w14:textId="77777777">
        <w:trPr>
          <w:trHeight w:hRule="exact" w:val="240"/>
        </w:trPr>
        <w:tc>
          <w:tcPr>
            <w:tcW w:w="960" w:type="dxa"/>
            <w:vMerge w:val="restart"/>
            <w:tcBorders>
              <w:top w:val="single" w:sz="5" w:space="0" w:color="000000"/>
              <w:left w:val="single" w:sz="12" w:space="0" w:color="000000"/>
              <w:right w:val="single" w:sz="5" w:space="0" w:color="000000"/>
            </w:tcBorders>
          </w:tcPr>
          <w:p w14:paraId="7A8EF08E" w14:textId="77777777" w:rsidR="00957F89" w:rsidRPr="00C73849" w:rsidRDefault="00D92D87" w:rsidP="00B90474">
            <w:pPr>
              <w:pStyle w:val="TableParagraph"/>
              <w:keepNext/>
              <w:spacing w:line="209" w:lineRule="exact"/>
              <w:ind w:left="92"/>
              <w:rPr>
                <w:rFonts w:ascii="Times New Roman" w:eastAsia="Times New Roman" w:hAnsi="Times New Roman" w:cs="Times New Roman"/>
                <w:sz w:val="20"/>
                <w:szCs w:val="20"/>
              </w:rPr>
            </w:pPr>
            <w:r w:rsidRPr="00C73849">
              <w:rPr>
                <w:rFonts w:ascii="Times New Roman"/>
                <w:sz w:val="20"/>
              </w:rPr>
              <w:t>BMI</w:t>
            </w:r>
          </w:p>
          <w:p w14:paraId="58AF79BC" w14:textId="77777777" w:rsidR="00957F89" w:rsidRPr="00C73849" w:rsidRDefault="00D92D87" w:rsidP="00B90474">
            <w:pPr>
              <w:pStyle w:val="TableParagraph"/>
              <w:keepNext/>
              <w:spacing w:line="241" w:lineRule="exact"/>
              <w:ind w:left="92"/>
              <w:rPr>
                <w:rFonts w:ascii="Times New Roman" w:eastAsia="Times New Roman" w:hAnsi="Times New Roman" w:cs="Times New Roman"/>
                <w:sz w:val="20"/>
                <w:szCs w:val="20"/>
              </w:rPr>
            </w:pPr>
            <w:r w:rsidRPr="00C73849">
              <w:rPr>
                <w:rFonts w:ascii="Times New Roman"/>
                <w:sz w:val="20"/>
              </w:rPr>
              <w:t>(kg/m</w:t>
            </w:r>
            <w:r w:rsidRPr="00C73849">
              <w:rPr>
                <w:rFonts w:ascii="Times New Roman"/>
                <w:position w:val="9"/>
                <w:sz w:val="13"/>
              </w:rPr>
              <w:t>2</w:t>
            </w:r>
            <w:r w:rsidRPr="00C73849">
              <w:rPr>
                <w:rFonts w:ascii="Times New Roman"/>
                <w:sz w:val="20"/>
              </w:rPr>
              <w:t>)</w:t>
            </w:r>
          </w:p>
        </w:tc>
        <w:tc>
          <w:tcPr>
            <w:tcW w:w="1843" w:type="dxa"/>
            <w:tcBorders>
              <w:top w:val="single" w:sz="5" w:space="0" w:color="000000"/>
              <w:left w:val="single" w:sz="5" w:space="0" w:color="000000"/>
              <w:bottom w:val="single" w:sz="5" w:space="0" w:color="000000"/>
              <w:right w:val="single" w:sz="5" w:space="0" w:color="000000"/>
            </w:tcBorders>
          </w:tcPr>
          <w:p w14:paraId="5EDE0EC4" w14:textId="77777777" w:rsidR="00957F89" w:rsidRPr="00C73849" w:rsidRDefault="00D92D87" w:rsidP="00B90474">
            <w:pPr>
              <w:pStyle w:val="TableParagraph"/>
              <w:keepNext/>
              <w:spacing w:line="222" w:lineRule="exact"/>
              <w:ind w:left="102"/>
              <w:rPr>
                <w:rFonts w:ascii="Times New Roman" w:eastAsia="Times New Roman" w:hAnsi="Times New Roman" w:cs="Times New Roman"/>
                <w:sz w:val="20"/>
                <w:szCs w:val="20"/>
              </w:rPr>
            </w:pPr>
            <w:r w:rsidRPr="00C73849">
              <w:rPr>
                <w:rFonts w:ascii="Times New Roman"/>
                <w:sz w:val="20"/>
              </w:rPr>
              <w:t>Mean</w:t>
            </w:r>
          </w:p>
        </w:tc>
        <w:tc>
          <w:tcPr>
            <w:tcW w:w="991" w:type="dxa"/>
            <w:tcBorders>
              <w:top w:val="single" w:sz="5" w:space="0" w:color="000000"/>
              <w:left w:val="single" w:sz="5" w:space="0" w:color="000000"/>
              <w:bottom w:val="single" w:sz="5" w:space="0" w:color="000000"/>
              <w:right w:val="single" w:sz="5" w:space="0" w:color="000000"/>
            </w:tcBorders>
          </w:tcPr>
          <w:p w14:paraId="07E95D82" w14:textId="77777777" w:rsidR="00957F89" w:rsidRPr="00C73849" w:rsidRDefault="00D92D87" w:rsidP="00B90474">
            <w:pPr>
              <w:pStyle w:val="TableParagraph"/>
              <w:keepNext/>
              <w:spacing w:line="222" w:lineRule="exact"/>
              <w:ind w:left="264"/>
              <w:rPr>
                <w:rFonts w:ascii="Times New Roman" w:eastAsia="Times New Roman" w:hAnsi="Times New Roman" w:cs="Times New Roman"/>
                <w:sz w:val="20"/>
                <w:szCs w:val="20"/>
              </w:rPr>
            </w:pPr>
            <w:r w:rsidRPr="00C73849">
              <w:rPr>
                <w:rFonts w:ascii="Times New Roman"/>
                <w:sz w:val="20"/>
              </w:rPr>
              <w:t>25.53</w:t>
            </w:r>
          </w:p>
        </w:tc>
        <w:tc>
          <w:tcPr>
            <w:tcW w:w="991" w:type="dxa"/>
            <w:tcBorders>
              <w:top w:val="single" w:sz="5" w:space="0" w:color="000000"/>
              <w:left w:val="single" w:sz="5" w:space="0" w:color="000000"/>
              <w:bottom w:val="single" w:sz="5" w:space="0" w:color="000000"/>
              <w:right w:val="single" w:sz="5" w:space="0" w:color="000000"/>
            </w:tcBorders>
          </w:tcPr>
          <w:p w14:paraId="1EB4F1B6" w14:textId="77777777" w:rsidR="00957F89" w:rsidRPr="00C73849" w:rsidRDefault="00D92D87" w:rsidP="00B90474">
            <w:pPr>
              <w:pStyle w:val="TableParagraph"/>
              <w:keepNext/>
              <w:spacing w:line="222" w:lineRule="exact"/>
              <w:ind w:left="264"/>
              <w:rPr>
                <w:rFonts w:ascii="Times New Roman" w:eastAsia="Times New Roman" w:hAnsi="Times New Roman" w:cs="Times New Roman"/>
                <w:sz w:val="20"/>
                <w:szCs w:val="20"/>
              </w:rPr>
            </w:pPr>
            <w:r w:rsidRPr="00C73849">
              <w:rPr>
                <w:rFonts w:ascii="Times New Roman"/>
                <w:sz w:val="20"/>
              </w:rPr>
              <w:t>26.93</w:t>
            </w:r>
          </w:p>
        </w:tc>
        <w:tc>
          <w:tcPr>
            <w:tcW w:w="1022" w:type="dxa"/>
            <w:tcBorders>
              <w:top w:val="single" w:sz="5" w:space="0" w:color="000000"/>
              <w:left w:val="single" w:sz="5" w:space="0" w:color="000000"/>
              <w:bottom w:val="single" w:sz="5" w:space="0" w:color="000000"/>
              <w:right w:val="single" w:sz="5" w:space="0" w:color="000000"/>
            </w:tcBorders>
          </w:tcPr>
          <w:p w14:paraId="1EA99069" w14:textId="77777777" w:rsidR="00957F89" w:rsidRPr="00C73849" w:rsidRDefault="00D92D87" w:rsidP="00B90474">
            <w:pPr>
              <w:pStyle w:val="TableParagraph"/>
              <w:keepNext/>
              <w:spacing w:line="222" w:lineRule="exact"/>
              <w:ind w:left="278"/>
              <w:rPr>
                <w:rFonts w:ascii="Times New Roman" w:eastAsia="Times New Roman" w:hAnsi="Times New Roman" w:cs="Times New Roman"/>
                <w:sz w:val="20"/>
                <w:szCs w:val="20"/>
              </w:rPr>
            </w:pPr>
            <w:r w:rsidRPr="00C73849">
              <w:rPr>
                <w:rFonts w:ascii="Times New Roman"/>
                <w:sz w:val="20"/>
              </w:rPr>
              <w:t>24.90</w:t>
            </w:r>
          </w:p>
        </w:tc>
        <w:tc>
          <w:tcPr>
            <w:tcW w:w="1049" w:type="dxa"/>
            <w:tcBorders>
              <w:top w:val="single" w:sz="5" w:space="0" w:color="000000"/>
              <w:left w:val="single" w:sz="5" w:space="0" w:color="000000"/>
              <w:bottom w:val="single" w:sz="5" w:space="0" w:color="000000"/>
              <w:right w:val="single" w:sz="5" w:space="0" w:color="000000"/>
            </w:tcBorders>
          </w:tcPr>
          <w:p w14:paraId="6A15D5F2" w14:textId="77777777" w:rsidR="00957F89" w:rsidRPr="00C73849" w:rsidRDefault="00D92D87" w:rsidP="00B90474">
            <w:pPr>
              <w:pStyle w:val="TableParagraph"/>
              <w:keepNext/>
              <w:spacing w:line="222" w:lineRule="exact"/>
              <w:ind w:left="293"/>
              <w:rPr>
                <w:rFonts w:ascii="Times New Roman" w:eastAsia="Times New Roman" w:hAnsi="Times New Roman" w:cs="Times New Roman"/>
                <w:sz w:val="20"/>
                <w:szCs w:val="20"/>
              </w:rPr>
            </w:pPr>
            <w:r w:rsidRPr="00C73849">
              <w:rPr>
                <w:rFonts w:ascii="Times New Roman"/>
                <w:sz w:val="20"/>
              </w:rPr>
              <w:t>24.68</w:t>
            </w:r>
          </w:p>
        </w:tc>
        <w:tc>
          <w:tcPr>
            <w:tcW w:w="1049" w:type="dxa"/>
            <w:tcBorders>
              <w:top w:val="single" w:sz="5" w:space="0" w:color="000000"/>
              <w:left w:val="single" w:sz="5" w:space="0" w:color="000000"/>
              <w:bottom w:val="single" w:sz="5" w:space="0" w:color="000000"/>
              <w:right w:val="single" w:sz="5" w:space="0" w:color="000000"/>
            </w:tcBorders>
          </w:tcPr>
          <w:p w14:paraId="62BDA1E5" w14:textId="77777777" w:rsidR="00957F89" w:rsidRPr="00C73849" w:rsidRDefault="00D92D87" w:rsidP="00B90474">
            <w:pPr>
              <w:pStyle w:val="TableParagraph"/>
              <w:keepNext/>
              <w:spacing w:line="222" w:lineRule="exact"/>
              <w:ind w:left="293"/>
              <w:rPr>
                <w:rFonts w:ascii="Times New Roman" w:eastAsia="Times New Roman" w:hAnsi="Times New Roman" w:cs="Times New Roman"/>
                <w:sz w:val="20"/>
                <w:szCs w:val="20"/>
              </w:rPr>
            </w:pPr>
            <w:r w:rsidRPr="00C73849">
              <w:rPr>
                <w:rFonts w:ascii="Times New Roman"/>
                <w:sz w:val="20"/>
              </w:rPr>
              <w:t>24.25</w:t>
            </w:r>
          </w:p>
        </w:tc>
        <w:tc>
          <w:tcPr>
            <w:tcW w:w="1133" w:type="dxa"/>
            <w:tcBorders>
              <w:top w:val="single" w:sz="5" w:space="0" w:color="000000"/>
              <w:left w:val="single" w:sz="5" w:space="0" w:color="000000"/>
              <w:bottom w:val="single" w:sz="5" w:space="0" w:color="000000"/>
              <w:right w:val="single" w:sz="12" w:space="0" w:color="000000"/>
            </w:tcBorders>
          </w:tcPr>
          <w:p w14:paraId="1FF8A722" w14:textId="77777777" w:rsidR="00957F89" w:rsidRPr="00C73849" w:rsidRDefault="00D92D87" w:rsidP="00B90474">
            <w:pPr>
              <w:pStyle w:val="TableParagraph"/>
              <w:keepNext/>
              <w:spacing w:line="222" w:lineRule="exact"/>
              <w:ind w:left="333"/>
              <w:rPr>
                <w:rFonts w:ascii="Times New Roman" w:eastAsia="Times New Roman" w:hAnsi="Times New Roman" w:cs="Times New Roman"/>
                <w:sz w:val="20"/>
                <w:szCs w:val="20"/>
              </w:rPr>
            </w:pPr>
            <w:r w:rsidRPr="00C73849">
              <w:rPr>
                <w:rFonts w:ascii="Times New Roman"/>
                <w:sz w:val="20"/>
              </w:rPr>
              <w:t>24.85</w:t>
            </w:r>
          </w:p>
        </w:tc>
      </w:tr>
      <w:tr w:rsidR="00957F89" w:rsidRPr="00C73849" w14:paraId="6FDDE4F3" w14:textId="77777777">
        <w:trPr>
          <w:trHeight w:hRule="exact" w:val="240"/>
        </w:trPr>
        <w:tc>
          <w:tcPr>
            <w:tcW w:w="960" w:type="dxa"/>
            <w:vMerge/>
            <w:tcBorders>
              <w:left w:val="single" w:sz="12" w:space="0" w:color="000000"/>
              <w:right w:val="single" w:sz="5" w:space="0" w:color="000000"/>
            </w:tcBorders>
          </w:tcPr>
          <w:p w14:paraId="5EC96C77" w14:textId="77777777" w:rsidR="00957F89" w:rsidRPr="00C73849" w:rsidRDefault="00957F89" w:rsidP="00B90474">
            <w:pPr>
              <w:keepNext/>
            </w:pPr>
          </w:p>
        </w:tc>
        <w:tc>
          <w:tcPr>
            <w:tcW w:w="1843" w:type="dxa"/>
            <w:tcBorders>
              <w:top w:val="single" w:sz="5" w:space="0" w:color="000000"/>
              <w:left w:val="single" w:sz="5" w:space="0" w:color="000000"/>
              <w:bottom w:val="single" w:sz="5" w:space="0" w:color="000000"/>
              <w:right w:val="single" w:sz="5" w:space="0" w:color="000000"/>
            </w:tcBorders>
          </w:tcPr>
          <w:p w14:paraId="70530152" w14:textId="77777777" w:rsidR="00957F89" w:rsidRPr="00C73849" w:rsidRDefault="00D92D87" w:rsidP="00B90474">
            <w:pPr>
              <w:pStyle w:val="TableParagraph"/>
              <w:keepNext/>
              <w:spacing w:line="222" w:lineRule="exact"/>
              <w:ind w:left="102"/>
              <w:rPr>
                <w:rFonts w:ascii="Times New Roman" w:eastAsia="Times New Roman" w:hAnsi="Times New Roman" w:cs="Times New Roman"/>
                <w:sz w:val="20"/>
                <w:szCs w:val="20"/>
              </w:rPr>
            </w:pPr>
            <w:r w:rsidRPr="00C73849">
              <w:rPr>
                <w:rFonts w:ascii="Times New Roman"/>
                <w:sz w:val="20"/>
              </w:rPr>
              <w:t>SD</w:t>
            </w:r>
          </w:p>
        </w:tc>
        <w:tc>
          <w:tcPr>
            <w:tcW w:w="991" w:type="dxa"/>
            <w:tcBorders>
              <w:top w:val="single" w:sz="5" w:space="0" w:color="000000"/>
              <w:left w:val="single" w:sz="5" w:space="0" w:color="000000"/>
              <w:bottom w:val="single" w:sz="5" w:space="0" w:color="000000"/>
              <w:right w:val="single" w:sz="5" w:space="0" w:color="000000"/>
            </w:tcBorders>
          </w:tcPr>
          <w:p w14:paraId="3B669CCD" w14:textId="77777777" w:rsidR="00957F89" w:rsidRPr="00C73849" w:rsidRDefault="00D92D87" w:rsidP="00B90474">
            <w:pPr>
              <w:pStyle w:val="TableParagraph"/>
              <w:keepNext/>
              <w:spacing w:line="222" w:lineRule="exact"/>
              <w:ind w:left="262"/>
              <w:rPr>
                <w:rFonts w:ascii="Times New Roman" w:eastAsia="Times New Roman" w:hAnsi="Times New Roman" w:cs="Times New Roman"/>
                <w:sz w:val="20"/>
                <w:szCs w:val="20"/>
              </w:rPr>
            </w:pPr>
            <w:r w:rsidRPr="00C73849">
              <w:rPr>
                <w:rFonts w:ascii="Times New Roman"/>
                <w:sz w:val="20"/>
              </w:rPr>
              <w:t>2.749</w:t>
            </w:r>
          </w:p>
        </w:tc>
        <w:tc>
          <w:tcPr>
            <w:tcW w:w="991" w:type="dxa"/>
            <w:tcBorders>
              <w:top w:val="single" w:sz="5" w:space="0" w:color="000000"/>
              <w:left w:val="single" w:sz="5" w:space="0" w:color="000000"/>
              <w:bottom w:val="single" w:sz="5" w:space="0" w:color="000000"/>
              <w:right w:val="single" w:sz="5" w:space="0" w:color="000000"/>
            </w:tcBorders>
          </w:tcPr>
          <w:p w14:paraId="6A9A419B" w14:textId="77777777" w:rsidR="00957F89" w:rsidRPr="00C73849" w:rsidRDefault="00D92D87" w:rsidP="00B90474">
            <w:pPr>
              <w:pStyle w:val="TableParagraph"/>
              <w:keepNext/>
              <w:spacing w:line="222" w:lineRule="exact"/>
              <w:ind w:left="263"/>
              <w:rPr>
                <w:rFonts w:ascii="Times New Roman" w:eastAsia="Times New Roman" w:hAnsi="Times New Roman" w:cs="Times New Roman"/>
                <w:sz w:val="20"/>
                <w:szCs w:val="20"/>
              </w:rPr>
            </w:pPr>
            <w:r w:rsidRPr="00C73849">
              <w:rPr>
                <w:rFonts w:ascii="Times New Roman"/>
                <w:sz w:val="20"/>
              </w:rPr>
              <w:t>2.018</w:t>
            </w:r>
          </w:p>
        </w:tc>
        <w:tc>
          <w:tcPr>
            <w:tcW w:w="1022" w:type="dxa"/>
            <w:tcBorders>
              <w:top w:val="single" w:sz="5" w:space="0" w:color="000000"/>
              <w:left w:val="single" w:sz="5" w:space="0" w:color="000000"/>
              <w:bottom w:val="single" w:sz="5" w:space="0" w:color="000000"/>
              <w:right w:val="single" w:sz="5" w:space="0" w:color="000000"/>
            </w:tcBorders>
          </w:tcPr>
          <w:p w14:paraId="3AD3CF0B" w14:textId="77777777" w:rsidR="00957F89" w:rsidRPr="00C73849" w:rsidRDefault="00D92D87" w:rsidP="00B90474">
            <w:pPr>
              <w:pStyle w:val="TableParagraph"/>
              <w:keepNext/>
              <w:spacing w:line="222" w:lineRule="exact"/>
              <w:ind w:left="277"/>
              <w:rPr>
                <w:rFonts w:ascii="Times New Roman" w:eastAsia="Times New Roman" w:hAnsi="Times New Roman" w:cs="Times New Roman"/>
                <w:sz w:val="20"/>
                <w:szCs w:val="20"/>
              </w:rPr>
            </w:pPr>
            <w:r w:rsidRPr="00C73849">
              <w:rPr>
                <w:rFonts w:ascii="Times New Roman"/>
                <w:sz w:val="20"/>
              </w:rPr>
              <w:t>4.446</w:t>
            </w:r>
          </w:p>
        </w:tc>
        <w:tc>
          <w:tcPr>
            <w:tcW w:w="1049" w:type="dxa"/>
            <w:tcBorders>
              <w:top w:val="single" w:sz="5" w:space="0" w:color="000000"/>
              <w:left w:val="single" w:sz="5" w:space="0" w:color="000000"/>
              <w:bottom w:val="single" w:sz="5" w:space="0" w:color="000000"/>
              <w:right w:val="single" w:sz="5" w:space="0" w:color="000000"/>
            </w:tcBorders>
          </w:tcPr>
          <w:p w14:paraId="6ABABCE0" w14:textId="77777777" w:rsidR="00957F89" w:rsidRPr="00C73849" w:rsidRDefault="00D92D87" w:rsidP="00B90474">
            <w:pPr>
              <w:pStyle w:val="TableParagraph"/>
              <w:keepNext/>
              <w:spacing w:line="222" w:lineRule="exact"/>
              <w:ind w:left="292"/>
              <w:rPr>
                <w:rFonts w:ascii="Times New Roman" w:eastAsia="Times New Roman" w:hAnsi="Times New Roman" w:cs="Times New Roman"/>
                <w:sz w:val="20"/>
                <w:szCs w:val="20"/>
              </w:rPr>
            </w:pPr>
            <w:r w:rsidRPr="00C73849">
              <w:rPr>
                <w:rFonts w:ascii="Times New Roman"/>
                <w:sz w:val="20"/>
              </w:rPr>
              <w:t>2.936</w:t>
            </w:r>
          </w:p>
        </w:tc>
        <w:tc>
          <w:tcPr>
            <w:tcW w:w="1049" w:type="dxa"/>
            <w:tcBorders>
              <w:top w:val="single" w:sz="5" w:space="0" w:color="000000"/>
              <w:left w:val="single" w:sz="5" w:space="0" w:color="000000"/>
              <w:bottom w:val="single" w:sz="5" w:space="0" w:color="000000"/>
              <w:right w:val="single" w:sz="5" w:space="0" w:color="000000"/>
            </w:tcBorders>
          </w:tcPr>
          <w:p w14:paraId="18ECBC16" w14:textId="77777777" w:rsidR="00957F89" w:rsidRPr="00C73849" w:rsidRDefault="00D92D87" w:rsidP="00B90474">
            <w:pPr>
              <w:pStyle w:val="TableParagraph"/>
              <w:keepNext/>
              <w:spacing w:line="222" w:lineRule="exact"/>
              <w:ind w:left="292"/>
              <w:rPr>
                <w:rFonts w:ascii="Times New Roman" w:eastAsia="Times New Roman" w:hAnsi="Times New Roman" w:cs="Times New Roman"/>
                <w:sz w:val="20"/>
                <w:szCs w:val="20"/>
              </w:rPr>
            </w:pPr>
            <w:r w:rsidRPr="00C73849">
              <w:rPr>
                <w:rFonts w:ascii="Times New Roman"/>
                <w:sz w:val="20"/>
              </w:rPr>
              <w:t>1.758</w:t>
            </w:r>
          </w:p>
        </w:tc>
        <w:tc>
          <w:tcPr>
            <w:tcW w:w="1133" w:type="dxa"/>
            <w:tcBorders>
              <w:top w:val="single" w:sz="5" w:space="0" w:color="000000"/>
              <w:left w:val="single" w:sz="5" w:space="0" w:color="000000"/>
              <w:bottom w:val="single" w:sz="5" w:space="0" w:color="000000"/>
              <w:right w:val="single" w:sz="12" w:space="0" w:color="000000"/>
            </w:tcBorders>
          </w:tcPr>
          <w:p w14:paraId="4CF8623F" w14:textId="77777777" w:rsidR="00957F89" w:rsidRPr="00C73849" w:rsidRDefault="00D92D87" w:rsidP="00B90474">
            <w:pPr>
              <w:pStyle w:val="TableParagraph"/>
              <w:keepNext/>
              <w:spacing w:line="222" w:lineRule="exact"/>
              <w:ind w:left="333"/>
              <w:rPr>
                <w:rFonts w:ascii="Times New Roman" w:eastAsia="Times New Roman" w:hAnsi="Times New Roman" w:cs="Times New Roman"/>
                <w:sz w:val="20"/>
                <w:szCs w:val="20"/>
              </w:rPr>
            </w:pPr>
            <w:r w:rsidRPr="00C73849">
              <w:rPr>
                <w:rFonts w:ascii="Times New Roman"/>
                <w:sz w:val="20"/>
              </w:rPr>
              <w:t>3.753</w:t>
            </w:r>
          </w:p>
        </w:tc>
      </w:tr>
      <w:tr w:rsidR="00957F89" w:rsidRPr="00C73849" w14:paraId="7BACEFBC" w14:textId="77777777">
        <w:trPr>
          <w:trHeight w:hRule="exact" w:val="240"/>
        </w:trPr>
        <w:tc>
          <w:tcPr>
            <w:tcW w:w="960" w:type="dxa"/>
            <w:vMerge/>
            <w:tcBorders>
              <w:left w:val="single" w:sz="12" w:space="0" w:color="000000"/>
              <w:bottom w:val="single" w:sz="5" w:space="0" w:color="000000"/>
              <w:right w:val="single" w:sz="5" w:space="0" w:color="000000"/>
            </w:tcBorders>
          </w:tcPr>
          <w:p w14:paraId="2EA524DB" w14:textId="77777777" w:rsidR="00957F89" w:rsidRPr="00C73849" w:rsidRDefault="00957F89" w:rsidP="00B90474">
            <w:pPr>
              <w:keepNext/>
            </w:pPr>
          </w:p>
        </w:tc>
        <w:tc>
          <w:tcPr>
            <w:tcW w:w="1843" w:type="dxa"/>
            <w:tcBorders>
              <w:top w:val="single" w:sz="5" w:space="0" w:color="000000"/>
              <w:left w:val="single" w:sz="5" w:space="0" w:color="000000"/>
              <w:bottom w:val="single" w:sz="5" w:space="0" w:color="000000"/>
              <w:right w:val="single" w:sz="5" w:space="0" w:color="000000"/>
            </w:tcBorders>
          </w:tcPr>
          <w:p w14:paraId="1083B2AA" w14:textId="77777777" w:rsidR="00957F89" w:rsidRPr="00C73849" w:rsidRDefault="00D92D87" w:rsidP="00B90474">
            <w:pPr>
              <w:pStyle w:val="TableParagraph"/>
              <w:keepNext/>
              <w:spacing w:line="222" w:lineRule="exact"/>
              <w:ind w:left="102"/>
              <w:rPr>
                <w:rFonts w:ascii="Times New Roman" w:eastAsia="Times New Roman" w:hAnsi="Times New Roman" w:cs="Times New Roman"/>
                <w:sz w:val="20"/>
                <w:szCs w:val="20"/>
              </w:rPr>
            </w:pPr>
            <w:r w:rsidRPr="00C73849">
              <w:rPr>
                <w:rFonts w:ascii="Times New Roman"/>
                <w:sz w:val="20"/>
              </w:rPr>
              <w:t>Range (min-max)</w:t>
            </w:r>
          </w:p>
        </w:tc>
        <w:tc>
          <w:tcPr>
            <w:tcW w:w="991" w:type="dxa"/>
            <w:tcBorders>
              <w:top w:val="single" w:sz="5" w:space="0" w:color="000000"/>
              <w:left w:val="single" w:sz="5" w:space="0" w:color="000000"/>
              <w:bottom w:val="single" w:sz="5" w:space="0" w:color="000000"/>
              <w:right w:val="single" w:sz="5" w:space="0" w:color="000000"/>
            </w:tcBorders>
          </w:tcPr>
          <w:p w14:paraId="2769D3B7" w14:textId="77777777" w:rsidR="00957F89" w:rsidRPr="00C73849" w:rsidRDefault="00D92D87" w:rsidP="00B90474">
            <w:pPr>
              <w:pStyle w:val="TableParagraph"/>
              <w:keepNext/>
              <w:spacing w:line="222" w:lineRule="exact"/>
              <w:ind w:left="106"/>
              <w:rPr>
                <w:rFonts w:ascii="Times New Roman" w:eastAsia="Times New Roman" w:hAnsi="Times New Roman" w:cs="Times New Roman"/>
                <w:sz w:val="20"/>
                <w:szCs w:val="20"/>
              </w:rPr>
            </w:pPr>
            <w:r w:rsidRPr="00C73849">
              <w:rPr>
                <w:rFonts w:ascii="Times New Roman"/>
                <w:sz w:val="20"/>
              </w:rPr>
              <w:t>22.3-29.0</w:t>
            </w:r>
          </w:p>
        </w:tc>
        <w:tc>
          <w:tcPr>
            <w:tcW w:w="991" w:type="dxa"/>
            <w:tcBorders>
              <w:top w:val="single" w:sz="5" w:space="0" w:color="000000"/>
              <w:left w:val="single" w:sz="5" w:space="0" w:color="000000"/>
              <w:bottom w:val="single" w:sz="5" w:space="0" w:color="000000"/>
              <w:right w:val="single" w:sz="5" w:space="0" w:color="000000"/>
            </w:tcBorders>
          </w:tcPr>
          <w:p w14:paraId="21EBD08D" w14:textId="77777777" w:rsidR="00957F89" w:rsidRPr="00C73849" w:rsidRDefault="00D92D87" w:rsidP="00B90474">
            <w:pPr>
              <w:pStyle w:val="TableParagraph"/>
              <w:keepNext/>
              <w:spacing w:line="222" w:lineRule="exact"/>
              <w:ind w:left="106"/>
              <w:rPr>
                <w:rFonts w:ascii="Times New Roman" w:eastAsia="Times New Roman" w:hAnsi="Times New Roman" w:cs="Times New Roman"/>
                <w:sz w:val="20"/>
                <w:szCs w:val="20"/>
              </w:rPr>
            </w:pPr>
            <w:r w:rsidRPr="00C73849">
              <w:rPr>
                <w:rFonts w:ascii="Times New Roman"/>
                <w:sz w:val="20"/>
              </w:rPr>
              <w:t>24.7-29.3</w:t>
            </w:r>
          </w:p>
        </w:tc>
        <w:tc>
          <w:tcPr>
            <w:tcW w:w="1022" w:type="dxa"/>
            <w:tcBorders>
              <w:top w:val="single" w:sz="5" w:space="0" w:color="000000"/>
              <w:left w:val="single" w:sz="5" w:space="0" w:color="000000"/>
              <w:bottom w:val="single" w:sz="5" w:space="0" w:color="000000"/>
              <w:right w:val="single" w:sz="5" w:space="0" w:color="000000"/>
            </w:tcBorders>
          </w:tcPr>
          <w:p w14:paraId="6EAC661F" w14:textId="77777777" w:rsidR="00957F89" w:rsidRPr="00C73849" w:rsidRDefault="00D92D87" w:rsidP="00B90474">
            <w:pPr>
              <w:pStyle w:val="TableParagraph"/>
              <w:keepNext/>
              <w:spacing w:line="222" w:lineRule="exact"/>
              <w:ind w:left="120"/>
              <w:rPr>
                <w:rFonts w:ascii="Times New Roman" w:eastAsia="Times New Roman" w:hAnsi="Times New Roman" w:cs="Times New Roman"/>
                <w:sz w:val="20"/>
                <w:szCs w:val="20"/>
              </w:rPr>
            </w:pPr>
            <w:r w:rsidRPr="00C73849">
              <w:rPr>
                <w:rFonts w:ascii="Times New Roman"/>
                <w:sz w:val="20"/>
              </w:rPr>
              <w:t>22.0-31.5</w:t>
            </w:r>
          </w:p>
        </w:tc>
        <w:tc>
          <w:tcPr>
            <w:tcW w:w="1049" w:type="dxa"/>
            <w:tcBorders>
              <w:top w:val="single" w:sz="5" w:space="0" w:color="000000"/>
              <w:left w:val="single" w:sz="5" w:space="0" w:color="000000"/>
              <w:bottom w:val="single" w:sz="5" w:space="0" w:color="000000"/>
              <w:right w:val="single" w:sz="5" w:space="0" w:color="000000"/>
            </w:tcBorders>
          </w:tcPr>
          <w:p w14:paraId="66D6963D" w14:textId="77777777" w:rsidR="00957F89" w:rsidRPr="00C73849" w:rsidRDefault="00D92D87" w:rsidP="00B90474">
            <w:pPr>
              <w:pStyle w:val="TableParagraph"/>
              <w:keepNext/>
              <w:spacing w:line="222" w:lineRule="exact"/>
              <w:ind w:left="134"/>
              <w:rPr>
                <w:rFonts w:ascii="Times New Roman" w:eastAsia="Times New Roman" w:hAnsi="Times New Roman" w:cs="Times New Roman"/>
                <w:sz w:val="20"/>
                <w:szCs w:val="20"/>
              </w:rPr>
            </w:pPr>
            <w:r w:rsidRPr="00C73849">
              <w:rPr>
                <w:rFonts w:ascii="Times New Roman"/>
                <w:sz w:val="20"/>
              </w:rPr>
              <w:t>21.4-28.4</w:t>
            </w:r>
          </w:p>
        </w:tc>
        <w:tc>
          <w:tcPr>
            <w:tcW w:w="1049" w:type="dxa"/>
            <w:tcBorders>
              <w:top w:val="single" w:sz="5" w:space="0" w:color="000000"/>
              <w:left w:val="single" w:sz="5" w:space="0" w:color="000000"/>
              <w:bottom w:val="single" w:sz="5" w:space="0" w:color="000000"/>
              <w:right w:val="single" w:sz="5" w:space="0" w:color="000000"/>
            </w:tcBorders>
          </w:tcPr>
          <w:p w14:paraId="514EA06A" w14:textId="77777777" w:rsidR="00957F89" w:rsidRPr="00C73849" w:rsidRDefault="00D92D87" w:rsidP="00B90474">
            <w:pPr>
              <w:pStyle w:val="TableParagraph"/>
              <w:keepNext/>
              <w:spacing w:line="222" w:lineRule="exact"/>
              <w:ind w:left="134"/>
              <w:rPr>
                <w:rFonts w:ascii="Times New Roman" w:eastAsia="Times New Roman" w:hAnsi="Times New Roman" w:cs="Times New Roman"/>
                <w:sz w:val="20"/>
                <w:szCs w:val="20"/>
              </w:rPr>
            </w:pPr>
            <w:r w:rsidRPr="00C73849">
              <w:rPr>
                <w:rFonts w:ascii="Times New Roman"/>
                <w:sz w:val="20"/>
              </w:rPr>
              <w:t>21.6-25.5</w:t>
            </w:r>
          </w:p>
        </w:tc>
        <w:tc>
          <w:tcPr>
            <w:tcW w:w="1133" w:type="dxa"/>
            <w:tcBorders>
              <w:top w:val="single" w:sz="5" w:space="0" w:color="000000"/>
              <w:left w:val="single" w:sz="5" w:space="0" w:color="000000"/>
              <w:bottom w:val="single" w:sz="5" w:space="0" w:color="000000"/>
              <w:right w:val="single" w:sz="12" w:space="0" w:color="000000"/>
            </w:tcBorders>
          </w:tcPr>
          <w:p w14:paraId="506CDED2" w14:textId="77777777" w:rsidR="00957F89" w:rsidRPr="00C73849" w:rsidRDefault="00D92D87" w:rsidP="00B90474">
            <w:pPr>
              <w:pStyle w:val="TableParagraph"/>
              <w:keepNext/>
              <w:spacing w:line="222" w:lineRule="exact"/>
              <w:ind w:left="177"/>
              <w:rPr>
                <w:rFonts w:ascii="Times New Roman" w:eastAsia="Times New Roman" w:hAnsi="Times New Roman" w:cs="Times New Roman"/>
                <w:sz w:val="20"/>
                <w:szCs w:val="20"/>
              </w:rPr>
            </w:pPr>
            <w:r w:rsidRPr="00C73849">
              <w:rPr>
                <w:rFonts w:ascii="Times New Roman"/>
                <w:sz w:val="20"/>
              </w:rPr>
              <w:t>19.9-31.8</w:t>
            </w:r>
          </w:p>
        </w:tc>
      </w:tr>
    </w:tbl>
    <w:p w14:paraId="626B8DC0" w14:textId="77777777" w:rsidR="00373523" w:rsidRDefault="00373523" w:rsidP="00373523">
      <w:pPr>
        <w:keepNext/>
        <w:spacing w:line="238" w:lineRule="auto"/>
        <w:ind w:left="222" w:right="2369"/>
        <w:rPr>
          <w:rFonts w:ascii="Times New Roman"/>
          <w:sz w:val="20"/>
        </w:rPr>
      </w:pPr>
    </w:p>
    <w:p w14:paraId="3475EA25" w14:textId="1029B108" w:rsidR="00957F89" w:rsidRPr="00373523" w:rsidRDefault="00D92D87" w:rsidP="00373523">
      <w:pPr>
        <w:keepNext/>
        <w:spacing w:line="238" w:lineRule="auto"/>
        <w:ind w:left="222" w:right="2369"/>
        <w:rPr>
          <w:rFonts w:ascii="Times New Roman"/>
          <w:w w:val="99"/>
          <w:sz w:val="20"/>
        </w:rPr>
      </w:pPr>
      <w:r w:rsidRPr="00C73849">
        <w:rPr>
          <w:rFonts w:ascii="Times New Roman"/>
          <w:sz w:val="20"/>
        </w:rPr>
        <w:t>N = Total number of subjects in that treatment</w:t>
      </w:r>
      <w:r w:rsidR="00373523">
        <w:rPr>
          <w:rFonts w:ascii="Times New Roman"/>
          <w:sz w:val="20"/>
        </w:rPr>
        <w:t xml:space="preserve"> </w:t>
      </w:r>
      <w:r w:rsidRPr="00C73849">
        <w:rPr>
          <w:rFonts w:ascii="Times New Roman"/>
          <w:sz w:val="20"/>
        </w:rPr>
        <w:t>group</w:t>
      </w:r>
      <w:r w:rsidR="00373523">
        <w:rPr>
          <w:rFonts w:ascii="Times New Roman"/>
          <w:w w:val="99"/>
          <w:sz w:val="20"/>
        </w:rPr>
        <w:t xml:space="preserve">; </w:t>
      </w:r>
      <w:r w:rsidRPr="00C73849">
        <w:rPr>
          <w:rFonts w:ascii="Times New Roman"/>
          <w:sz w:val="20"/>
        </w:rPr>
        <w:t>BMI = Body mass index</w:t>
      </w:r>
    </w:p>
    <w:p w14:paraId="2AA4682E" w14:textId="178107BA" w:rsidR="00957F89" w:rsidRDefault="00957F89" w:rsidP="00B90474">
      <w:pPr>
        <w:rPr>
          <w:rFonts w:ascii="Times New Roman" w:eastAsia="Times New Roman" w:hAnsi="Times New Roman" w:cs="Times New Roman"/>
          <w:sz w:val="20"/>
          <w:szCs w:val="20"/>
        </w:rPr>
      </w:pPr>
    </w:p>
    <w:p w14:paraId="5456AA33" w14:textId="77777777" w:rsidR="00373523" w:rsidRDefault="00373523" w:rsidP="00B90474">
      <w:pPr>
        <w:rPr>
          <w:rFonts w:ascii="Times New Roman" w:eastAsia="Times New Roman" w:hAnsi="Times New Roman" w:cs="Times New Roman"/>
          <w:sz w:val="20"/>
          <w:szCs w:val="20"/>
        </w:rPr>
        <w:sectPr w:rsidR="00373523" w:rsidSect="0087360C">
          <w:pgSz w:w="11909" w:h="16834" w:code="9"/>
          <w:pgMar w:top="1440" w:right="1440" w:bottom="1440" w:left="1440" w:header="720" w:footer="720" w:gutter="0"/>
          <w:cols w:space="720"/>
        </w:sectPr>
      </w:pPr>
    </w:p>
    <w:p w14:paraId="754B7CB4" w14:textId="77777777" w:rsidR="00957F89" w:rsidRPr="00C73849" w:rsidRDefault="00D92D87">
      <w:pPr>
        <w:spacing w:before="69"/>
        <w:ind w:left="224"/>
        <w:rPr>
          <w:rFonts w:ascii="Times New Roman" w:eastAsia="Times New Roman" w:hAnsi="Times New Roman" w:cs="Times New Roman"/>
          <w:sz w:val="24"/>
          <w:szCs w:val="24"/>
        </w:rPr>
      </w:pPr>
      <w:r w:rsidRPr="00C73849">
        <w:rPr>
          <w:rFonts w:ascii="Times New Roman"/>
          <w:b/>
          <w:sz w:val="24"/>
        </w:rPr>
        <w:lastRenderedPageBreak/>
        <w:t>Summary of All AEs by Treatment Group, Causality, Intensity, Seriousness, Withdrawals and Deaths</w:t>
      </w:r>
    </w:p>
    <w:p w14:paraId="6BFC0B23" w14:textId="77777777" w:rsidR="00957F89" w:rsidRPr="00C73849" w:rsidRDefault="00957F89">
      <w:pPr>
        <w:spacing w:before="7"/>
        <w:rPr>
          <w:rFonts w:ascii="Times New Roman" w:eastAsia="Times New Roman" w:hAnsi="Times New Roman" w:cs="Times New Roman"/>
          <w:b/>
          <w:bCs/>
          <w:sz w:val="10"/>
          <w:szCs w:val="10"/>
        </w:rPr>
      </w:pPr>
    </w:p>
    <w:tbl>
      <w:tblPr>
        <w:tblW w:w="0" w:type="auto"/>
        <w:tblInd w:w="101" w:type="dxa"/>
        <w:tblLayout w:type="fixed"/>
        <w:tblCellMar>
          <w:left w:w="0" w:type="dxa"/>
          <w:right w:w="0" w:type="dxa"/>
        </w:tblCellMar>
        <w:tblLook w:val="01E0" w:firstRow="1" w:lastRow="1" w:firstColumn="1" w:lastColumn="1" w:noHBand="0" w:noVBand="0"/>
      </w:tblPr>
      <w:tblGrid>
        <w:gridCol w:w="1526"/>
        <w:gridCol w:w="967"/>
        <w:gridCol w:w="970"/>
        <w:gridCol w:w="967"/>
        <w:gridCol w:w="970"/>
        <w:gridCol w:w="967"/>
        <w:gridCol w:w="970"/>
        <w:gridCol w:w="970"/>
        <w:gridCol w:w="967"/>
        <w:gridCol w:w="970"/>
        <w:gridCol w:w="967"/>
        <w:gridCol w:w="970"/>
        <w:gridCol w:w="970"/>
      </w:tblGrid>
      <w:tr w:rsidR="00957F89" w:rsidRPr="00C73849" w14:paraId="46954172" w14:textId="77777777">
        <w:trPr>
          <w:trHeight w:hRule="exact" w:val="251"/>
        </w:trPr>
        <w:tc>
          <w:tcPr>
            <w:tcW w:w="1526" w:type="dxa"/>
            <w:vMerge w:val="restart"/>
            <w:tcBorders>
              <w:top w:val="single" w:sz="13" w:space="0" w:color="000000"/>
              <w:left w:val="single" w:sz="12" w:space="0" w:color="000000"/>
              <w:right w:val="single" w:sz="5" w:space="0" w:color="000000"/>
            </w:tcBorders>
          </w:tcPr>
          <w:p w14:paraId="3F442065" w14:textId="77777777" w:rsidR="00957F89" w:rsidRPr="00C73849" w:rsidRDefault="00957F89"/>
        </w:tc>
        <w:tc>
          <w:tcPr>
            <w:tcW w:w="9684" w:type="dxa"/>
            <w:gridSpan w:val="10"/>
            <w:tcBorders>
              <w:top w:val="single" w:sz="13" w:space="0" w:color="000000"/>
              <w:left w:val="single" w:sz="5" w:space="0" w:color="000000"/>
              <w:bottom w:val="single" w:sz="5" w:space="0" w:color="000000"/>
              <w:right w:val="single" w:sz="5" w:space="0" w:color="000000"/>
            </w:tcBorders>
          </w:tcPr>
          <w:p w14:paraId="339BA513" w14:textId="77777777" w:rsidR="00957F89" w:rsidRPr="00C73849" w:rsidRDefault="00D92D87">
            <w:pPr>
              <w:pStyle w:val="TableParagraph"/>
              <w:spacing w:line="227" w:lineRule="exact"/>
              <w:ind w:right="1"/>
              <w:jc w:val="center"/>
              <w:rPr>
                <w:rFonts w:ascii="Times New Roman" w:eastAsia="Times New Roman" w:hAnsi="Times New Roman" w:cs="Times New Roman"/>
                <w:sz w:val="20"/>
                <w:szCs w:val="20"/>
              </w:rPr>
            </w:pPr>
            <w:r w:rsidRPr="00C73849">
              <w:rPr>
                <w:rFonts w:ascii="Times New Roman"/>
                <w:b/>
                <w:sz w:val="20"/>
              </w:rPr>
              <w:t>Pyruvate Injection</w:t>
            </w:r>
          </w:p>
        </w:tc>
        <w:tc>
          <w:tcPr>
            <w:tcW w:w="1939" w:type="dxa"/>
            <w:gridSpan w:val="2"/>
            <w:vMerge w:val="restart"/>
            <w:tcBorders>
              <w:top w:val="single" w:sz="13" w:space="0" w:color="000000"/>
              <w:left w:val="single" w:sz="5" w:space="0" w:color="000000"/>
              <w:right w:val="single" w:sz="12" w:space="0" w:color="000000"/>
            </w:tcBorders>
          </w:tcPr>
          <w:p w14:paraId="75189055" w14:textId="77777777" w:rsidR="00957F89" w:rsidRPr="00C73849" w:rsidRDefault="00957F89">
            <w:pPr>
              <w:pStyle w:val="TableParagraph"/>
              <w:spacing w:before="1"/>
              <w:rPr>
                <w:rFonts w:ascii="Times New Roman" w:eastAsia="Times New Roman" w:hAnsi="Times New Roman" w:cs="Times New Roman"/>
                <w:b/>
                <w:bCs/>
                <w:sz w:val="18"/>
                <w:szCs w:val="18"/>
              </w:rPr>
            </w:pPr>
          </w:p>
          <w:p w14:paraId="4A660331" w14:textId="77777777" w:rsidR="00957F89" w:rsidRPr="00C73849" w:rsidRDefault="00D92D87">
            <w:pPr>
              <w:pStyle w:val="TableParagraph"/>
              <w:ind w:left="733" w:right="617" w:hanging="104"/>
              <w:rPr>
                <w:rFonts w:ascii="Times New Roman" w:eastAsia="Times New Roman" w:hAnsi="Times New Roman" w:cs="Times New Roman"/>
                <w:sz w:val="20"/>
                <w:szCs w:val="20"/>
              </w:rPr>
            </w:pPr>
            <w:r w:rsidRPr="00C73849">
              <w:rPr>
                <w:rFonts w:ascii="Times New Roman"/>
                <w:b/>
                <w:w w:val="95"/>
                <w:sz w:val="20"/>
              </w:rPr>
              <w:t>Placebo</w:t>
            </w:r>
            <w:r w:rsidRPr="00C73849">
              <w:rPr>
                <w:rFonts w:ascii="Times New Roman"/>
                <w:b/>
                <w:w w:val="99"/>
                <w:sz w:val="20"/>
              </w:rPr>
              <w:t xml:space="preserve"> </w:t>
            </w:r>
            <w:r w:rsidRPr="00C73849">
              <w:rPr>
                <w:rFonts w:ascii="Times New Roman"/>
                <w:b/>
                <w:sz w:val="20"/>
              </w:rPr>
              <w:t>N=10</w:t>
            </w:r>
          </w:p>
        </w:tc>
      </w:tr>
      <w:tr w:rsidR="00957F89" w:rsidRPr="00C73849" w14:paraId="4165A6F9" w14:textId="77777777">
        <w:trPr>
          <w:trHeight w:hRule="exact" w:val="470"/>
        </w:trPr>
        <w:tc>
          <w:tcPr>
            <w:tcW w:w="1526" w:type="dxa"/>
            <w:vMerge/>
            <w:tcBorders>
              <w:left w:val="single" w:sz="12" w:space="0" w:color="000000"/>
              <w:right w:val="single" w:sz="5" w:space="0" w:color="000000"/>
            </w:tcBorders>
          </w:tcPr>
          <w:p w14:paraId="66FC99AA" w14:textId="77777777" w:rsidR="00957F89" w:rsidRPr="00C73849" w:rsidRDefault="00957F89"/>
        </w:tc>
        <w:tc>
          <w:tcPr>
            <w:tcW w:w="1937" w:type="dxa"/>
            <w:gridSpan w:val="2"/>
            <w:tcBorders>
              <w:top w:val="single" w:sz="5" w:space="0" w:color="000000"/>
              <w:left w:val="single" w:sz="5" w:space="0" w:color="000000"/>
              <w:bottom w:val="single" w:sz="5" w:space="0" w:color="000000"/>
              <w:right w:val="single" w:sz="5" w:space="0" w:color="000000"/>
            </w:tcBorders>
          </w:tcPr>
          <w:p w14:paraId="039FF424" w14:textId="77777777" w:rsidR="00957F89" w:rsidRPr="00C73849" w:rsidRDefault="00D92D87">
            <w:pPr>
              <w:pStyle w:val="TableParagraph"/>
              <w:ind w:left="783" w:right="518" w:hanging="264"/>
              <w:rPr>
                <w:rFonts w:ascii="Times New Roman" w:eastAsia="Times New Roman" w:hAnsi="Times New Roman" w:cs="Times New Roman"/>
                <w:sz w:val="20"/>
                <w:szCs w:val="20"/>
              </w:rPr>
            </w:pPr>
            <w:r w:rsidRPr="00C73849">
              <w:rPr>
                <w:rFonts w:ascii="Times New Roman"/>
                <w:b/>
                <w:sz w:val="20"/>
              </w:rPr>
              <w:t>0.14 ml/kg</w:t>
            </w:r>
            <w:r w:rsidRPr="00C73849">
              <w:rPr>
                <w:rFonts w:ascii="Times New Roman"/>
                <w:b/>
                <w:w w:val="99"/>
                <w:sz w:val="20"/>
              </w:rPr>
              <w:t xml:space="preserve"> </w:t>
            </w:r>
            <w:r w:rsidRPr="00C73849">
              <w:rPr>
                <w:rFonts w:ascii="Times New Roman"/>
                <w:b/>
                <w:sz w:val="20"/>
              </w:rPr>
              <w:t>N=4</w:t>
            </w:r>
          </w:p>
        </w:tc>
        <w:tc>
          <w:tcPr>
            <w:tcW w:w="1937" w:type="dxa"/>
            <w:gridSpan w:val="2"/>
            <w:tcBorders>
              <w:top w:val="single" w:sz="5" w:space="0" w:color="000000"/>
              <w:left w:val="single" w:sz="5" w:space="0" w:color="000000"/>
              <w:bottom w:val="single" w:sz="5" w:space="0" w:color="000000"/>
              <w:right w:val="single" w:sz="5" w:space="0" w:color="000000"/>
            </w:tcBorders>
          </w:tcPr>
          <w:p w14:paraId="2A65B357" w14:textId="77777777" w:rsidR="00957F89" w:rsidRPr="00C73849" w:rsidRDefault="00D92D87">
            <w:pPr>
              <w:pStyle w:val="TableParagraph"/>
              <w:ind w:left="783" w:right="518" w:hanging="264"/>
              <w:rPr>
                <w:rFonts w:ascii="Times New Roman" w:eastAsia="Times New Roman" w:hAnsi="Times New Roman" w:cs="Times New Roman"/>
                <w:sz w:val="20"/>
                <w:szCs w:val="20"/>
              </w:rPr>
            </w:pPr>
            <w:r w:rsidRPr="00C73849">
              <w:rPr>
                <w:rFonts w:ascii="Times New Roman"/>
                <w:b/>
                <w:sz w:val="20"/>
              </w:rPr>
              <w:t>0.21 ml/kg</w:t>
            </w:r>
            <w:r w:rsidRPr="00C73849">
              <w:rPr>
                <w:rFonts w:ascii="Times New Roman"/>
                <w:b/>
                <w:w w:val="99"/>
                <w:sz w:val="20"/>
              </w:rPr>
              <w:t xml:space="preserve"> </w:t>
            </w:r>
            <w:r w:rsidRPr="00C73849">
              <w:rPr>
                <w:rFonts w:ascii="Times New Roman"/>
                <w:b/>
                <w:sz w:val="20"/>
              </w:rPr>
              <w:t>N=4</w:t>
            </w:r>
          </w:p>
        </w:tc>
        <w:tc>
          <w:tcPr>
            <w:tcW w:w="1937" w:type="dxa"/>
            <w:gridSpan w:val="2"/>
            <w:tcBorders>
              <w:top w:val="single" w:sz="5" w:space="0" w:color="000000"/>
              <w:left w:val="single" w:sz="5" w:space="0" w:color="000000"/>
              <w:bottom w:val="single" w:sz="5" w:space="0" w:color="000000"/>
              <w:right w:val="single" w:sz="5" w:space="0" w:color="000000"/>
            </w:tcBorders>
          </w:tcPr>
          <w:p w14:paraId="1A9DD52B" w14:textId="77777777" w:rsidR="00957F89" w:rsidRPr="00C73849" w:rsidRDefault="00D92D87">
            <w:pPr>
              <w:pStyle w:val="TableParagraph"/>
              <w:ind w:left="783" w:right="518" w:hanging="264"/>
              <w:rPr>
                <w:rFonts w:ascii="Times New Roman" w:eastAsia="Times New Roman" w:hAnsi="Times New Roman" w:cs="Times New Roman"/>
                <w:sz w:val="20"/>
                <w:szCs w:val="20"/>
              </w:rPr>
            </w:pPr>
            <w:r w:rsidRPr="00C73849">
              <w:rPr>
                <w:rFonts w:ascii="Times New Roman"/>
                <w:b/>
                <w:sz w:val="20"/>
              </w:rPr>
              <w:t>0.28 ml/kg</w:t>
            </w:r>
            <w:r w:rsidRPr="00C73849">
              <w:rPr>
                <w:rFonts w:ascii="Times New Roman"/>
                <w:b/>
                <w:w w:val="99"/>
                <w:sz w:val="20"/>
              </w:rPr>
              <w:t xml:space="preserve"> </w:t>
            </w:r>
            <w:r w:rsidRPr="00C73849">
              <w:rPr>
                <w:rFonts w:ascii="Times New Roman"/>
                <w:b/>
                <w:sz w:val="20"/>
              </w:rPr>
              <w:t>N=4</w:t>
            </w:r>
          </w:p>
        </w:tc>
        <w:tc>
          <w:tcPr>
            <w:tcW w:w="1937" w:type="dxa"/>
            <w:gridSpan w:val="2"/>
            <w:tcBorders>
              <w:top w:val="single" w:sz="5" w:space="0" w:color="000000"/>
              <w:left w:val="single" w:sz="5" w:space="0" w:color="000000"/>
              <w:bottom w:val="single" w:sz="5" w:space="0" w:color="000000"/>
              <w:right w:val="single" w:sz="5" w:space="0" w:color="000000"/>
            </w:tcBorders>
          </w:tcPr>
          <w:p w14:paraId="34078DD1" w14:textId="77777777" w:rsidR="00957F89" w:rsidRPr="00C73849" w:rsidRDefault="00D92D87">
            <w:pPr>
              <w:pStyle w:val="TableParagraph"/>
              <w:ind w:left="783" w:right="518" w:hanging="264"/>
              <w:rPr>
                <w:rFonts w:ascii="Times New Roman" w:eastAsia="Times New Roman" w:hAnsi="Times New Roman" w:cs="Times New Roman"/>
                <w:sz w:val="20"/>
                <w:szCs w:val="20"/>
              </w:rPr>
            </w:pPr>
            <w:r w:rsidRPr="00C73849">
              <w:rPr>
                <w:rFonts w:ascii="Times New Roman"/>
                <w:b/>
                <w:sz w:val="20"/>
              </w:rPr>
              <w:t>0.36 ml/kg</w:t>
            </w:r>
            <w:r w:rsidRPr="00C73849">
              <w:rPr>
                <w:rFonts w:ascii="Times New Roman"/>
                <w:b/>
                <w:w w:val="99"/>
                <w:sz w:val="20"/>
              </w:rPr>
              <w:t xml:space="preserve"> </w:t>
            </w:r>
            <w:r w:rsidRPr="00C73849">
              <w:rPr>
                <w:rFonts w:ascii="Times New Roman"/>
                <w:b/>
                <w:sz w:val="20"/>
              </w:rPr>
              <w:t>N=4</w:t>
            </w:r>
          </w:p>
        </w:tc>
        <w:tc>
          <w:tcPr>
            <w:tcW w:w="1937" w:type="dxa"/>
            <w:gridSpan w:val="2"/>
            <w:tcBorders>
              <w:top w:val="single" w:sz="5" w:space="0" w:color="000000"/>
              <w:left w:val="single" w:sz="5" w:space="0" w:color="000000"/>
              <w:bottom w:val="single" w:sz="5" w:space="0" w:color="000000"/>
              <w:right w:val="single" w:sz="5" w:space="0" w:color="000000"/>
            </w:tcBorders>
          </w:tcPr>
          <w:p w14:paraId="20D8516F" w14:textId="77777777" w:rsidR="00957F89" w:rsidRPr="00C73849" w:rsidRDefault="00D92D87">
            <w:pPr>
              <w:pStyle w:val="TableParagraph"/>
              <w:ind w:left="783" w:right="518" w:hanging="264"/>
              <w:rPr>
                <w:rFonts w:ascii="Times New Roman" w:eastAsia="Times New Roman" w:hAnsi="Times New Roman" w:cs="Times New Roman"/>
                <w:sz w:val="20"/>
                <w:szCs w:val="20"/>
              </w:rPr>
            </w:pPr>
            <w:r w:rsidRPr="00C73849">
              <w:rPr>
                <w:rFonts w:ascii="Times New Roman"/>
                <w:b/>
                <w:sz w:val="20"/>
              </w:rPr>
              <w:t>0.43 ml/kg</w:t>
            </w:r>
            <w:r w:rsidRPr="00C73849">
              <w:rPr>
                <w:rFonts w:ascii="Times New Roman"/>
                <w:b/>
                <w:w w:val="99"/>
                <w:sz w:val="20"/>
              </w:rPr>
              <w:t xml:space="preserve"> </w:t>
            </w:r>
            <w:r w:rsidRPr="00C73849">
              <w:rPr>
                <w:rFonts w:ascii="Times New Roman"/>
                <w:b/>
                <w:sz w:val="20"/>
              </w:rPr>
              <w:t>N=4</w:t>
            </w:r>
          </w:p>
        </w:tc>
        <w:tc>
          <w:tcPr>
            <w:tcW w:w="1939" w:type="dxa"/>
            <w:gridSpan w:val="2"/>
            <w:vMerge/>
            <w:tcBorders>
              <w:left w:val="single" w:sz="5" w:space="0" w:color="000000"/>
              <w:bottom w:val="single" w:sz="5" w:space="0" w:color="000000"/>
              <w:right w:val="single" w:sz="12" w:space="0" w:color="000000"/>
            </w:tcBorders>
          </w:tcPr>
          <w:p w14:paraId="25B8E63E" w14:textId="77777777" w:rsidR="00957F89" w:rsidRPr="00C73849" w:rsidRDefault="00957F89"/>
        </w:tc>
      </w:tr>
      <w:tr w:rsidR="00957F89" w:rsidRPr="00C73849" w14:paraId="100A0348" w14:textId="77777777">
        <w:trPr>
          <w:trHeight w:hRule="exact" w:val="1159"/>
        </w:trPr>
        <w:tc>
          <w:tcPr>
            <w:tcW w:w="1526" w:type="dxa"/>
            <w:vMerge/>
            <w:tcBorders>
              <w:left w:val="single" w:sz="12" w:space="0" w:color="000000"/>
              <w:bottom w:val="single" w:sz="5" w:space="0" w:color="000000"/>
              <w:right w:val="single" w:sz="5" w:space="0" w:color="000000"/>
            </w:tcBorders>
          </w:tcPr>
          <w:p w14:paraId="73C37F1D" w14:textId="77777777" w:rsidR="00957F89" w:rsidRPr="00C73849" w:rsidRDefault="00957F89"/>
        </w:tc>
        <w:tc>
          <w:tcPr>
            <w:tcW w:w="967" w:type="dxa"/>
            <w:tcBorders>
              <w:top w:val="single" w:sz="5" w:space="0" w:color="000000"/>
              <w:left w:val="single" w:sz="5" w:space="0" w:color="000000"/>
              <w:bottom w:val="single" w:sz="5" w:space="0" w:color="000000"/>
              <w:right w:val="single" w:sz="5" w:space="0" w:color="000000"/>
            </w:tcBorders>
          </w:tcPr>
          <w:p w14:paraId="2DF06184" w14:textId="77777777" w:rsidR="00957F89" w:rsidRPr="00C73849" w:rsidRDefault="00D92D87">
            <w:pPr>
              <w:pStyle w:val="TableParagraph"/>
              <w:ind w:left="116" w:right="117" w:hanging="1"/>
              <w:jc w:val="center"/>
              <w:rPr>
                <w:rFonts w:ascii="Times New Roman" w:eastAsia="Times New Roman" w:hAnsi="Times New Roman" w:cs="Times New Roman"/>
                <w:sz w:val="20"/>
                <w:szCs w:val="20"/>
              </w:rPr>
            </w:pPr>
            <w:r w:rsidRPr="00C73849">
              <w:rPr>
                <w:rFonts w:ascii="Times New Roman"/>
                <w:b/>
                <w:sz w:val="20"/>
              </w:rPr>
              <w:t>No. of</w:t>
            </w:r>
            <w:r w:rsidRPr="00C73849">
              <w:rPr>
                <w:rFonts w:ascii="Times New Roman"/>
                <w:b/>
                <w:w w:val="99"/>
                <w:sz w:val="20"/>
              </w:rPr>
              <w:t xml:space="preserve"> </w:t>
            </w:r>
            <w:r w:rsidRPr="00C73849">
              <w:rPr>
                <w:rFonts w:ascii="Times New Roman"/>
                <w:b/>
                <w:w w:val="95"/>
                <w:sz w:val="20"/>
              </w:rPr>
              <w:t>Subjects</w:t>
            </w:r>
            <w:r w:rsidRPr="00C73849">
              <w:rPr>
                <w:rFonts w:ascii="Times New Roman"/>
                <w:b/>
                <w:w w:val="99"/>
                <w:sz w:val="20"/>
              </w:rPr>
              <w:t xml:space="preserve"> </w:t>
            </w:r>
            <w:r w:rsidRPr="00C73849">
              <w:rPr>
                <w:rFonts w:ascii="Times New Roman"/>
                <w:b/>
                <w:sz w:val="20"/>
              </w:rPr>
              <w:t>with an</w:t>
            </w:r>
            <w:r w:rsidRPr="00C73849">
              <w:rPr>
                <w:rFonts w:ascii="Times New Roman"/>
                <w:b/>
                <w:w w:val="99"/>
                <w:sz w:val="20"/>
              </w:rPr>
              <w:t xml:space="preserve"> </w:t>
            </w:r>
            <w:r w:rsidRPr="00C73849">
              <w:rPr>
                <w:rFonts w:ascii="Times New Roman"/>
                <w:b/>
                <w:sz w:val="20"/>
              </w:rPr>
              <w:t>AE</w:t>
            </w:r>
          </w:p>
          <w:p w14:paraId="79D9C0AB" w14:textId="77777777" w:rsidR="00957F89" w:rsidRPr="00C73849" w:rsidRDefault="00D92D87">
            <w:pPr>
              <w:pStyle w:val="TableParagraph"/>
              <w:spacing w:line="228" w:lineRule="exact"/>
              <w:ind w:right="1"/>
              <w:jc w:val="center"/>
              <w:rPr>
                <w:rFonts w:ascii="Times New Roman" w:eastAsia="Times New Roman" w:hAnsi="Times New Roman" w:cs="Times New Roman"/>
                <w:sz w:val="20"/>
                <w:szCs w:val="20"/>
              </w:rPr>
            </w:pPr>
            <w:r w:rsidRPr="00C73849">
              <w:rPr>
                <w:rFonts w:ascii="Times New Roman"/>
                <w:b/>
                <w:sz w:val="20"/>
              </w:rPr>
              <w:t>n (%)</w:t>
            </w:r>
          </w:p>
        </w:tc>
        <w:tc>
          <w:tcPr>
            <w:tcW w:w="970" w:type="dxa"/>
            <w:tcBorders>
              <w:top w:val="single" w:sz="5" w:space="0" w:color="000000"/>
              <w:left w:val="single" w:sz="5" w:space="0" w:color="000000"/>
              <w:bottom w:val="single" w:sz="5" w:space="0" w:color="000000"/>
              <w:right w:val="single" w:sz="5" w:space="0" w:color="000000"/>
            </w:tcBorders>
          </w:tcPr>
          <w:p w14:paraId="31C15768" w14:textId="77777777" w:rsidR="00957F89" w:rsidRPr="00C73849" w:rsidRDefault="00957F89">
            <w:pPr>
              <w:pStyle w:val="TableParagraph"/>
              <w:rPr>
                <w:rFonts w:ascii="Times New Roman" w:eastAsia="Times New Roman" w:hAnsi="Times New Roman" w:cs="Times New Roman"/>
                <w:b/>
                <w:bCs/>
                <w:sz w:val="20"/>
                <w:szCs w:val="20"/>
              </w:rPr>
            </w:pPr>
          </w:p>
          <w:p w14:paraId="61431136" w14:textId="77777777" w:rsidR="00957F89" w:rsidRPr="00C73849" w:rsidRDefault="00957F89">
            <w:pPr>
              <w:pStyle w:val="TableParagraph"/>
              <w:rPr>
                <w:rFonts w:ascii="Times New Roman" w:eastAsia="Times New Roman" w:hAnsi="Times New Roman" w:cs="Times New Roman"/>
                <w:b/>
                <w:bCs/>
                <w:sz w:val="20"/>
                <w:szCs w:val="20"/>
              </w:rPr>
            </w:pPr>
          </w:p>
          <w:p w14:paraId="64F83C0D" w14:textId="77777777" w:rsidR="00957F89" w:rsidRPr="00C73849" w:rsidRDefault="00957F89">
            <w:pPr>
              <w:pStyle w:val="TableParagraph"/>
              <w:spacing w:before="10"/>
              <w:rPr>
                <w:rFonts w:ascii="Times New Roman" w:eastAsia="Times New Roman" w:hAnsi="Times New Roman" w:cs="Times New Roman"/>
                <w:b/>
                <w:bCs/>
                <w:sz w:val="19"/>
                <w:szCs w:val="19"/>
              </w:rPr>
            </w:pPr>
          </w:p>
          <w:p w14:paraId="2224AD18" w14:textId="77777777" w:rsidR="00957F89" w:rsidRPr="00C73849" w:rsidRDefault="00D92D87">
            <w:pPr>
              <w:pStyle w:val="TableParagraph"/>
              <w:ind w:left="301" w:right="221" w:hanging="80"/>
              <w:rPr>
                <w:rFonts w:ascii="Times New Roman" w:eastAsia="Times New Roman" w:hAnsi="Times New Roman" w:cs="Times New Roman"/>
                <w:sz w:val="20"/>
                <w:szCs w:val="20"/>
              </w:rPr>
            </w:pPr>
            <w:r w:rsidRPr="00C73849">
              <w:rPr>
                <w:rFonts w:ascii="Times New Roman"/>
                <w:b/>
                <w:sz w:val="20"/>
              </w:rPr>
              <w:t>No. of</w:t>
            </w:r>
            <w:r w:rsidRPr="00C73849">
              <w:rPr>
                <w:rFonts w:ascii="Times New Roman"/>
                <w:b/>
                <w:w w:val="99"/>
                <w:sz w:val="20"/>
              </w:rPr>
              <w:t xml:space="preserve"> </w:t>
            </w:r>
            <w:r w:rsidRPr="00C73849">
              <w:rPr>
                <w:rFonts w:ascii="Times New Roman"/>
                <w:b/>
                <w:sz w:val="20"/>
              </w:rPr>
              <w:t>AEs</w:t>
            </w:r>
          </w:p>
        </w:tc>
        <w:tc>
          <w:tcPr>
            <w:tcW w:w="967" w:type="dxa"/>
            <w:tcBorders>
              <w:top w:val="single" w:sz="5" w:space="0" w:color="000000"/>
              <w:left w:val="single" w:sz="5" w:space="0" w:color="000000"/>
              <w:bottom w:val="single" w:sz="5" w:space="0" w:color="000000"/>
              <w:right w:val="single" w:sz="5" w:space="0" w:color="000000"/>
            </w:tcBorders>
          </w:tcPr>
          <w:p w14:paraId="74113A8C" w14:textId="77777777" w:rsidR="00957F89" w:rsidRPr="00C73849" w:rsidRDefault="00D92D87">
            <w:pPr>
              <w:pStyle w:val="TableParagraph"/>
              <w:ind w:left="116" w:right="116" w:hanging="1"/>
              <w:jc w:val="center"/>
              <w:rPr>
                <w:rFonts w:ascii="Times New Roman" w:eastAsia="Times New Roman" w:hAnsi="Times New Roman" w:cs="Times New Roman"/>
                <w:sz w:val="20"/>
                <w:szCs w:val="20"/>
              </w:rPr>
            </w:pPr>
            <w:r w:rsidRPr="00C73849">
              <w:rPr>
                <w:rFonts w:ascii="Times New Roman"/>
                <w:b/>
                <w:sz w:val="20"/>
              </w:rPr>
              <w:t>No. of</w:t>
            </w:r>
            <w:r w:rsidRPr="00C73849">
              <w:rPr>
                <w:rFonts w:ascii="Times New Roman"/>
                <w:b/>
                <w:w w:val="99"/>
                <w:sz w:val="20"/>
              </w:rPr>
              <w:t xml:space="preserve"> </w:t>
            </w:r>
            <w:r w:rsidRPr="00C73849">
              <w:rPr>
                <w:rFonts w:ascii="Times New Roman"/>
                <w:b/>
                <w:w w:val="95"/>
                <w:sz w:val="20"/>
              </w:rPr>
              <w:t>Subjects</w:t>
            </w:r>
            <w:r w:rsidRPr="00C73849">
              <w:rPr>
                <w:rFonts w:ascii="Times New Roman"/>
                <w:b/>
                <w:w w:val="99"/>
                <w:sz w:val="20"/>
              </w:rPr>
              <w:t xml:space="preserve"> </w:t>
            </w:r>
            <w:r w:rsidRPr="00C73849">
              <w:rPr>
                <w:rFonts w:ascii="Times New Roman"/>
                <w:b/>
                <w:sz w:val="20"/>
              </w:rPr>
              <w:t>with an</w:t>
            </w:r>
            <w:r w:rsidRPr="00C73849">
              <w:rPr>
                <w:rFonts w:ascii="Times New Roman"/>
                <w:b/>
                <w:w w:val="99"/>
                <w:sz w:val="20"/>
              </w:rPr>
              <w:t xml:space="preserve"> </w:t>
            </w:r>
            <w:r w:rsidRPr="00C73849">
              <w:rPr>
                <w:rFonts w:ascii="Times New Roman"/>
                <w:b/>
                <w:sz w:val="20"/>
              </w:rPr>
              <w:t>AE</w:t>
            </w:r>
          </w:p>
          <w:p w14:paraId="53FFFBFA" w14:textId="77777777" w:rsidR="00957F89" w:rsidRPr="00C73849" w:rsidRDefault="00D92D87">
            <w:pPr>
              <w:pStyle w:val="TableParagraph"/>
              <w:spacing w:line="228" w:lineRule="exact"/>
              <w:jc w:val="center"/>
              <w:rPr>
                <w:rFonts w:ascii="Times New Roman" w:eastAsia="Times New Roman" w:hAnsi="Times New Roman" w:cs="Times New Roman"/>
                <w:sz w:val="20"/>
                <w:szCs w:val="20"/>
              </w:rPr>
            </w:pPr>
            <w:r w:rsidRPr="00C73849">
              <w:rPr>
                <w:rFonts w:ascii="Times New Roman"/>
                <w:b/>
                <w:sz w:val="20"/>
              </w:rPr>
              <w:t>n (%)</w:t>
            </w:r>
          </w:p>
        </w:tc>
        <w:tc>
          <w:tcPr>
            <w:tcW w:w="970" w:type="dxa"/>
            <w:tcBorders>
              <w:top w:val="single" w:sz="5" w:space="0" w:color="000000"/>
              <w:left w:val="single" w:sz="5" w:space="0" w:color="000000"/>
              <w:bottom w:val="single" w:sz="5" w:space="0" w:color="000000"/>
              <w:right w:val="single" w:sz="5" w:space="0" w:color="000000"/>
            </w:tcBorders>
          </w:tcPr>
          <w:p w14:paraId="1E728E0C" w14:textId="77777777" w:rsidR="00957F89" w:rsidRPr="00C73849" w:rsidRDefault="00957F89">
            <w:pPr>
              <w:pStyle w:val="TableParagraph"/>
              <w:rPr>
                <w:rFonts w:ascii="Times New Roman" w:eastAsia="Times New Roman" w:hAnsi="Times New Roman" w:cs="Times New Roman"/>
                <w:b/>
                <w:bCs/>
                <w:sz w:val="20"/>
                <w:szCs w:val="20"/>
              </w:rPr>
            </w:pPr>
          </w:p>
          <w:p w14:paraId="2BC02F3D" w14:textId="77777777" w:rsidR="00957F89" w:rsidRPr="00C73849" w:rsidRDefault="00957F89">
            <w:pPr>
              <w:pStyle w:val="TableParagraph"/>
              <w:rPr>
                <w:rFonts w:ascii="Times New Roman" w:eastAsia="Times New Roman" w:hAnsi="Times New Roman" w:cs="Times New Roman"/>
                <w:b/>
                <w:bCs/>
                <w:sz w:val="20"/>
                <w:szCs w:val="20"/>
              </w:rPr>
            </w:pPr>
          </w:p>
          <w:p w14:paraId="06E0F894" w14:textId="77777777" w:rsidR="00957F89" w:rsidRPr="00C73849" w:rsidRDefault="00957F89">
            <w:pPr>
              <w:pStyle w:val="TableParagraph"/>
              <w:spacing w:before="10"/>
              <w:rPr>
                <w:rFonts w:ascii="Times New Roman" w:eastAsia="Times New Roman" w:hAnsi="Times New Roman" w:cs="Times New Roman"/>
                <w:b/>
                <w:bCs/>
                <w:sz w:val="19"/>
                <w:szCs w:val="19"/>
              </w:rPr>
            </w:pPr>
          </w:p>
          <w:p w14:paraId="7FACE8D4" w14:textId="77777777" w:rsidR="00957F89" w:rsidRPr="00C73849" w:rsidRDefault="00D92D87">
            <w:pPr>
              <w:pStyle w:val="TableParagraph"/>
              <w:ind w:left="301" w:right="220" w:hanging="80"/>
              <w:rPr>
                <w:rFonts w:ascii="Times New Roman" w:eastAsia="Times New Roman" w:hAnsi="Times New Roman" w:cs="Times New Roman"/>
                <w:sz w:val="20"/>
                <w:szCs w:val="20"/>
              </w:rPr>
            </w:pPr>
            <w:r w:rsidRPr="00C73849">
              <w:rPr>
                <w:rFonts w:ascii="Times New Roman"/>
                <w:b/>
                <w:sz w:val="20"/>
              </w:rPr>
              <w:t>No. of</w:t>
            </w:r>
            <w:r w:rsidRPr="00C73849">
              <w:rPr>
                <w:rFonts w:ascii="Times New Roman"/>
                <w:b/>
                <w:w w:val="99"/>
                <w:sz w:val="20"/>
              </w:rPr>
              <w:t xml:space="preserve"> </w:t>
            </w:r>
            <w:r w:rsidRPr="00C73849">
              <w:rPr>
                <w:rFonts w:ascii="Times New Roman"/>
                <w:b/>
                <w:sz w:val="20"/>
              </w:rPr>
              <w:t>AEs</w:t>
            </w:r>
          </w:p>
        </w:tc>
        <w:tc>
          <w:tcPr>
            <w:tcW w:w="967" w:type="dxa"/>
            <w:tcBorders>
              <w:top w:val="single" w:sz="5" w:space="0" w:color="000000"/>
              <w:left w:val="single" w:sz="5" w:space="0" w:color="000000"/>
              <w:bottom w:val="single" w:sz="5" w:space="0" w:color="000000"/>
              <w:right w:val="single" w:sz="5" w:space="0" w:color="000000"/>
            </w:tcBorders>
          </w:tcPr>
          <w:p w14:paraId="276D0D85" w14:textId="77777777" w:rsidR="00957F89" w:rsidRPr="00C73849" w:rsidRDefault="00D92D87">
            <w:pPr>
              <w:pStyle w:val="TableParagraph"/>
              <w:ind w:left="117" w:right="116" w:hanging="1"/>
              <w:jc w:val="center"/>
              <w:rPr>
                <w:rFonts w:ascii="Times New Roman" w:eastAsia="Times New Roman" w:hAnsi="Times New Roman" w:cs="Times New Roman"/>
                <w:sz w:val="20"/>
                <w:szCs w:val="20"/>
              </w:rPr>
            </w:pPr>
            <w:r w:rsidRPr="00C73849">
              <w:rPr>
                <w:rFonts w:ascii="Times New Roman"/>
                <w:b/>
                <w:sz w:val="20"/>
              </w:rPr>
              <w:t>No. of</w:t>
            </w:r>
            <w:r w:rsidRPr="00C73849">
              <w:rPr>
                <w:rFonts w:ascii="Times New Roman"/>
                <w:b/>
                <w:w w:val="99"/>
                <w:sz w:val="20"/>
              </w:rPr>
              <w:t xml:space="preserve"> </w:t>
            </w:r>
            <w:r w:rsidRPr="00C73849">
              <w:rPr>
                <w:rFonts w:ascii="Times New Roman"/>
                <w:b/>
                <w:w w:val="95"/>
                <w:sz w:val="20"/>
              </w:rPr>
              <w:t>Subjects</w:t>
            </w:r>
            <w:r w:rsidRPr="00C73849">
              <w:rPr>
                <w:rFonts w:ascii="Times New Roman"/>
                <w:b/>
                <w:w w:val="99"/>
                <w:sz w:val="20"/>
              </w:rPr>
              <w:t xml:space="preserve"> </w:t>
            </w:r>
            <w:r w:rsidRPr="00C73849">
              <w:rPr>
                <w:rFonts w:ascii="Times New Roman"/>
                <w:b/>
                <w:sz w:val="20"/>
              </w:rPr>
              <w:t>with an</w:t>
            </w:r>
            <w:r w:rsidRPr="00C73849">
              <w:rPr>
                <w:rFonts w:ascii="Times New Roman"/>
                <w:b/>
                <w:w w:val="99"/>
                <w:sz w:val="20"/>
              </w:rPr>
              <w:t xml:space="preserve"> </w:t>
            </w:r>
            <w:r w:rsidRPr="00C73849">
              <w:rPr>
                <w:rFonts w:ascii="Times New Roman"/>
                <w:b/>
                <w:sz w:val="20"/>
              </w:rPr>
              <w:t>AE</w:t>
            </w:r>
          </w:p>
          <w:p w14:paraId="1DAC6E93" w14:textId="77777777" w:rsidR="00957F89" w:rsidRPr="00C73849" w:rsidRDefault="00D92D87">
            <w:pPr>
              <w:pStyle w:val="TableParagraph"/>
              <w:spacing w:line="228" w:lineRule="exact"/>
              <w:jc w:val="center"/>
              <w:rPr>
                <w:rFonts w:ascii="Times New Roman" w:eastAsia="Times New Roman" w:hAnsi="Times New Roman" w:cs="Times New Roman"/>
                <w:sz w:val="20"/>
                <w:szCs w:val="20"/>
              </w:rPr>
            </w:pPr>
            <w:r w:rsidRPr="00C73849">
              <w:rPr>
                <w:rFonts w:ascii="Times New Roman"/>
                <w:b/>
                <w:sz w:val="20"/>
              </w:rPr>
              <w:t>n (%)</w:t>
            </w:r>
          </w:p>
        </w:tc>
        <w:tc>
          <w:tcPr>
            <w:tcW w:w="970" w:type="dxa"/>
            <w:tcBorders>
              <w:top w:val="single" w:sz="5" w:space="0" w:color="000000"/>
              <w:left w:val="single" w:sz="5" w:space="0" w:color="000000"/>
              <w:bottom w:val="single" w:sz="5" w:space="0" w:color="000000"/>
              <w:right w:val="single" w:sz="5" w:space="0" w:color="000000"/>
            </w:tcBorders>
          </w:tcPr>
          <w:p w14:paraId="7B1ACD46" w14:textId="77777777" w:rsidR="00957F89" w:rsidRPr="00C73849" w:rsidRDefault="00957F89">
            <w:pPr>
              <w:pStyle w:val="TableParagraph"/>
              <w:rPr>
                <w:rFonts w:ascii="Times New Roman" w:eastAsia="Times New Roman" w:hAnsi="Times New Roman" w:cs="Times New Roman"/>
                <w:b/>
                <w:bCs/>
                <w:sz w:val="20"/>
                <w:szCs w:val="20"/>
              </w:rPr>
            </w:pPr>
          </w:p>
          <w:p w14:paraId="4E41E865" w14:textId="77777777" w:rsidR="00957F89" w:rsidRPr="00C73849" w:rsidRDefault="00957F89">
            <w:pPr>
              <w:pStyle w:val="TableParagraph"/>
              <w:rPr>
                <w:rFonts w:ascii="Times New Roman" w:eastAsia="Times New Roman" w:hAnsi="Times New Roman" w:cs="Times New Roman"/>
                <w:b/>
                <w:bCs/>
                <w:sz w:val="20"/>
                <w:szCs w:val="20"/>
              </w:rPr>
            </w:pPr>
          </w:p>
          <w:p w14:paraId="517D4F2B" w14:textId="77777777" w:rsidR="00957F89" w:rsidRPr="00C73849" w:rsidRDefault="00957F89">
            <w:pPr>
              <w:pStyle w:val="TableParagraph"/>
              <w:spacing w:before="11"/>
              <w:rPr>
                <w:rFonts w:ascii="Times New Roman" w:eastAsia="Times New Roman" w:hAnsi="Times New Roman" w:cs="Times New Roman"/>
                <w:b/>
                <w:bCs/>
                <w:sz w:val="19"/>
                <w:szCs w:val="19"/>
              </w:rPr>
            </w:pPr>
          </w:p>
          <w:p w14:paraId="4F5314B7" w14:textId="77777777" w:rsidR="00957F89" w:rsidRPr="00C73849" w:rsidRDefault="00D92D87">
            <w:pPr>
              <w:pStyle w:val="TableParagraph"/>
              <w:ind w:left="302" w:right="220" w:hanging="80"/>
              <w:rPr>
                <w:rFonts w:ascii="Times New Roman" w:eastAsia="Times New Roman" w:hAnsi="Times New Roman" w:cs="Times New Roman"/>
                <w:sz w:val="20"/>
                <w:szCs w:val="20"/>
              </w:rPr>
            </w:pPr>
            <w:r w:rsidRPr="00C73849">
              <w:rPr>
                <w:rFonts w:ascii="Times New Roman"/>
                <w:b/>
                <w:sz w:val="20"/>
              </w:rPr>
              <w:t>No. of</w:t>
            </w:r>
            <w:r w:rsidRPr="00C73849">
              <w:rPr>
                <w:rFonts w:ascii="Times New Roman"/>
                <w:b/>
                <w:w w:val="99"/>
                <w:sz w:val="20"/>
              </w:rPr>
              <w:t xml:space="preserve"> </w:t>
            </w:r>
            <w:r w:rsidRPr="00C73849">
              <w:rPr>
                <w:rFonts w:ascii="Times New Roman"/>
                <w:b/>
                <w:sz w:val="20"/>
              </w:rPr>
              <w:t>AEs</w:t>
            </w:r>
          </w:p>
        </w:tc>
        <w:tc>
          <w:tcPr>
            <w:tcW w:w="970" w:type="dxa"/>
            <w:tcBorders>
              <w:top w:val="single" w:sz="5" w:space="0" w:color="000000"/>
              <w:left w:val="single" w:sz="5" w:space="0" w:color="000000"/>
              <w:bottom w:val="single" w:sz="5" w:space="0" w:color="000000"/>
              <w:right w:val="single" w:sz="5" w:space="0" w:color="000000"/>
            </w:tcBorders>
          </w:tcPr>
          <w:p w14:paraId="414E8021" w14:textId="77777777" w:rsidR="00957F89" w:rsidRPr="00C73849" w:rsidRDefault="00D92D87">
            <w:pPr>
              <w:pStyle w:val="TableParagraph"/>
              <w:ind w:left="119" w:right="116" w:hanging="1"/>
              <w:jc w:val="center"/>
              <w:rPr>
                <w:rFonts w:ascii="Times New Roman" w:eastAsia="Times New Roman" w:hAnsi="Times New Roman" w:cs="Times New Roman"/>
                <w:sz w:val="20"/>
                <w:szCs w:val="20"/>
              </w:rPr>
            </w:pPr>
            <w:r w:rsidRPr="00C73849">
              <w:rPr>
                <w:rFonts w:ascii="Times New Roman"/>
                <w:b/>
                <w:sz w:val="20"/>
              </w:rPr>
              <w:t>No. of</w:t>
            </w:r>
            <w:r w:rsidRPr="00C73849">
              <w:rPr>
                <w:rFonts w:ascii="Times New Roman"/>
                <w:b/>
                <w:w w:val="99"/>
                <w:sz w:val="20"/>
              </w:rPr>
              <w:t xml:space="preserve"> </w:t>
            </w:r>
            <w:r w:rsidRPr="00C73849">
              <w:rPr>
                <w:rFonts w:ascii="Times New Roman"/>
                <w:b/>
                <w:w w:val="95"/>
                <w:sz w:val="20"/>
              </w:rPr>
              <w:t>Subjects</w:t>
            </w:r>
            <w:r w:rsidRPr="00C73849">
              <w:rPr>
                <w:rFonts w:ascii="Times New Roman"/>
                <w:b/>
                <w:w w:val="99"/>
                <w:sz w:val="20"/>
              </w:rPr>
              <w:t xml:space="preserve"> </w:t>
            </w:r>
            <w:r w:rsidRPr="00C73849">
              <w:rPr>
                <w:rFonts w:ascii="Times New Roman"/>
                <w:b/>
                <w:sz w:val="20"/>
              </w:rPr>
              <w:t>with an</w:t>
            </w:r>
            <w:r w:rsidRPr="00C73849">
              <w:rPr>
                <w:rFonts w:ascii="Times New Roman"/>
                <w:b/>
                <w:w w:val="99"/>
                <w:sz w:val="20"/>
              </w:rPr>
              <w:t xml:space="preserve"> </w:t>
            </w:r>
            <w:r w:rsidRPr="00C73849">
              <w:rPr>
                <w:rFonts w:ascii="Times New Roman"/>
                <w:b/>
                <w:sz w:val="20"/>
              </w:rPr>
              <w:t>AE</w:t>
            </w:r>
          </w:p>
          <w:p w14:paraId="7B964F0C" w14:textId="77777777" w:rsidR="00957F89" w:rsidRPr="00C73849" w:rsidRDefault="00D92D87">
            <w:pPr>
              <w:pStyle w:val="TableParagraph"/>
              <w:spacing w:line="228" w:lineRule="exact"/>
              <w:jc w:val="center"/>
              <w:rPr>
                <w:rFonts w:ascii="Times New Roman" w:eastAsia="Times New Roman" w:hAnsi="Times New Roman" w:cs="Times New Roman"/>
                <w:sz w:val="20"/>
                <w:szCs w:val="20"/>
              </w:rPr>
            </w:pPr>
            <w:r w:rsidRPr="00C73849">
              <w:rPr>
                <w:rFonts w:ascii="Times New Roman"/>
                <w:b/>
                <w:sz w:val="20"/>
              </w:rPr>
              <w:t>n (%)</w:t>
            </w:r>
          </w:p>
        </w:tc>
        <w:tc>
          <w:tcPr>
            <w:tcW w:w="967" w:type="dxa"/>
            <w:tcBorders>
              <w:top w:val="single" w:sz="5" w:space="0" w:color="000000"/>
              <w:left w:val="single" w:sz="5" w:space="0" w:color="000000"/>
              <w:bottom w:val="single" w:sz="5" w:space="0" w:color="000000"/>
              <w:right w:val="single" w:sz="5" w:space="0" w:color="000000"/>
            </w:tcBorders>
          </w:tcPr>
          <w:p w14:paraId="50637020" w14:textId="77777777" w:rsidR="00957F89" w:rsidRPr="00C73849" w:rsidRDefault="00957F89">
            <w:pPr>
              <w:pStyle w:val="TableParagraph"/>
              <w:rPr>
                <w:rFonts w:ascii="Times New Roman" w:eastAsia="Times New Roman" w:hAnsi="Times New Roman" w:cs="Times New Roman"/>
                <w:b/>
                <w:bCs/>
                <w:sz w:val="20"/>
                <w:szCs w:val="20"/>
              </w:rPr>
            </w:pPr>
          </w:p>
          <w:p w14:paraId="11D163B4" w14:textId="77777777" w:rsidR="00957F89" w:rsidRPr="00C73849" w:rsidRDefault="00957F89">
            <w:pPr>
              <w:pStyle w:val="TableParagraph"/>
              <w:rPr>
                <w:rFonts w:ascii="Times New Roman" w:eastAsia="Times New Roman" w:hAnsi="Times New Roman" w:cs="Times New Roman"/>
                <w:b/>
                <w:bCs/>
                <w:sz w:val="20"/>
                <w:szCs w:val="20"/>
              </w:rPr>
            </w:pPr>
          </w:p>
          <w:p w14:paraId="28EAAF55" w14:textId="77777777" w:rsidR="00957F89" w:rsidRPr="00C73849" w:rsidRDefault="00957F89">
            <w:pPr>
              <w:pStyle w:val="TableParagraph"/>
              <w:spacing w:before="11"/>
              <w:rPr>
                <w:rFonts w:ascii="Times New Roman" w:eastAsia="Times New Roman" w:hAnsi="Times New Roman" w:cs="Times New Roman"/>
                <w:b/>
                <w:bCs/>
                <w:sz w:val="19"/>
                <w:szCs w:val="19"/>
              </w:rPr>
            </w:pPr>
          </w:p>
          <w:p w14:paraId="4E551988" w14:textId="77777777" w:rsidR="00957F89" w:rsidRPr="00C73849" w:rsidRDefault="00D92D87">
            <w:pPr>
              <w:pStyle w:val="TableParagraph"/>
              <w:ind w:left="302" w:right="220" w:hanging="82"/>
              <w:rPr>
                <w:rFonts w:ascii="Times New Roman" w:eastAsia="Times New Roman" w:hAnsi="Times New Roman" w:cs="Times New Roman"/>
                <w:sz w:val="20"/>
                <w:szCs w:val="20"/>
              </w:rPr>
            </w:pPr>
            <w:r w:rsidRPr="00C73849">
              <w:rPr>
                <w:rFonts w:ascii="Times New Roman"/>
                <w:b/>
                <w:sz w:val="20"/>
              </w:rPr>
              <w:t>No. of</w:t>
            </w:r>
            <w:r w:rsidRPr="00C73849">
              <w:rPr>
                <w:rFonts w:ascii="Times New Roman"/>
                <w:b/>
                <w:w w:val="99"/>
                <w:sz w:val="20"/>
              </w:rPr>
              <w:t xml:space="preserve"> </w:t>
            </w:r>
            <w:r w:rsidRPr="00C73849">
              <w:rPr>
                <w:rFonts w:ascii="Times New Roman"/>
                <w:b/>
                <w:sz w:val="20"/>
              </w:rPr>
              <w:t>AEs</w:t>
            </w:r>
          </w:p>
        </w:tc>
        <w:tc>
          <w:tcPr>
            <w:tcW w:w="970" w:type="dxa"/>
            <w:tcBorders>
              <w:top w:val="single" w:sz="5" w:space="0" w:color="000000"/>
              <w:left w:val="single" w:sz="5" w:space="0" w:color="000000"/>
              <w:bottom w:val="single" w:sz="5" w:space="0" w:color="000000"/>
              <w:right w:val="single" w:sz="5" w:space="0" w:color="000000"/>
            </w:tcBorders>
          </w:tcPr>
          <w:p w14:paraId="31C16573" w14:textId="77777777" w:rsidR="00957F89" w:rsidRPr="00C73849" w:rsidRDefault="00D92D87">
            <w:pPr>
              <w:pStyle w:val="TableParagraph"/>
              <w:ind w:left="119" w:right="116" w:hanging="1"/>
              <w:jc w:val="center"/>
              <w:rPr>
                <w:rFonts w:ascii="Times New Roman" w:eastAsia="Times New Roman" w:hAnsi="Times New Roman" w:cs="Times New Roman"/>
                <w:sz w:val="20"/>
                <w:szCs w:val="20"/>
              </w:rPr>
            </w:pPr>
            <w:r w:rsidRPr="00C73849">
              <w:rPr>
                <w:rFonts w:ascii="Times New Roman"/>
                <w:b/>
                <w:sz w:val="20"/>
              </w:rPr>
              <w:t>No. of</w:t>
            </w:r>
            <w:r w:rsidRPr="00C73849">
              <w:rPr>
                <w:rFonts w:ascii="Times New Roman"/>
                <w:b/>
                <w:w w:val="99"/>
                <w:sz w:val="20"/>
              </w:rPr>
              <w:t xml:space="preserve"> </w:t>
            </w:r>
            <w:r w:rsidRPr="00C73849">
              <w:rPr>
                <w:rFonts w:ascii="Times New Roman"/>
                <w:b/>
                <w:w w:val="95"/>
                <w:sz w:val="20"/>
              </w:rPr>
              <w:t>Subjects</w:t>
            </w:r>
            <w:r w:rsidRPr="00C73849">
              <w:rPr>
                <w:rFonts w:ascii="Times New Roman"/>
                <w:b/>
                <w:w w:val="99"/>
                <w:sz w:val="20"/>
              </w:rPr>
              <w:t xml:space="preserve"> </w:t>
            </w:r>
            <w:r w:rsidRPr="00C73849">
              <w:rPr>
                <w:rFonts w:ascii="Times New Roman"/>
                <w:b/>
                <w:sz w:val="20"/>
              </w:rPr>
              <w:t>with an</w:t>
            </w:r>
            <w:r w:rsidRPr="00C73849">
              <w:rPr>
                <w:rFonts w:ascii="Times New Roman"/>
                <w:b/>
                <w:w w:val="99"/>
                <w:sz w:val="20"/>
              </w:rPr>
              <w:t xml:space="preserve"> </w:t>
            </w:r>
            <w:r w:rsidRPr="00C73849">
              <w:rPr>
                <w:rFonts w:ascii="Times New Roman"/>
                <w:b/>
                <w:sz w:val="20"/>
              </w:rPr>
              <w:t>AE</w:t>
            </w:r>
          </w:p>
          <w:p w14:paraId="635DCDF5" w14:textId="77777777" w:rsidR="00957F89" w:rsidRPr="00C73849" w:rsidRDefault="00D92D87">
            <w:pPr>
              <w:pStyle w:val="TableParagraph"/>
              <w:spacing w:line="228" w:lineRule="exact"/>
              <w:ind w:left="1"/>
              <w:jc w:val="center"/>
              <w:rPr>
                <w:rFonts w:ascii="Times New Roman" w:eastAsia="Times New Roman" w:hAnsi="Times New Roman" w:cs="Times New Roman"/>
                <w:sz w:val="20"/>
                <w:szCs w:val="20"/>
              </w:rPr>
            </w:pPr>
            <w:r w:rsidRPr="00C73849">
              <w:rPr>
                <w:rFonts w:ascii="Times New Roman"/>
                <w:b/>
                <w:sz w:val="20"/>
              </w:rPr>
              <w:t>n (%)</w:t>
            </w:r>
          </w:p>
        </w:tc>
        <w:tc>
          <w:tcPr>
            <w:tcW w:w="967" w:type="dxa"/>
            <w:tcBorders>
              <w:top w:val="single" w:sz="5" w:space="0" w:color="000000"/>
              <w:left w:val="single" w:sz="5" w:space="0" w:color="000000"/>
              <w:bottom w:val="single" w:sz="5" w:space="0" w:color="000000"/>
              <w:right w:val="single" w:sz="5" w:space="0" w:color="000000"/>
            </w:tcBorders>
          </w:tcPr>
          <w:p w14:paraId="20B32066" w14:textId="77777777" w:rsidR="00957F89" w:rsidRPr="00C73849" w:rsidRDefault="00957F89">
            <w:pPr>
              <w:pStyle w:val="TableParagraph"/>
              <w:rPr>
                <w:rFonts w:ascii="Times New Roman" w:eastAsia="Times New Roman" w:hAnsi="Times New Roman" w:cs="Times New Roman"/>
                <w:b/>
                <w:bCs/>
                <w:sz w:val="20"/>
                <w:szCs w:val="20"/>
              </w:rPr>
            </w:pPr>
          </w:p>
          <w:p w14:paraId="12EEAE37" w14:textId="77777777" w:rsidR="00957F89" w:rsidRPr="00C73849" w:rsidRDefault="00957F89">
            <w:pPr>
              <w:pStyle w:val="TableParagraph"/>
              <w:rPr>
                <w:rFonts w:ascii="Times New Roman" w:eastAsia="Times New Roman" w:hAnsi="Times New Roman" w:cs="Times New Roman"/>
                <w:b/>
                <w:bCs/>
                <w:sz w:val="20"/>
                <w:szCs w:val="20"/>
              </w:rPr>
            </w:pPr>
          </w:p>
          <w:p w14:paraId="699E408E" w14:textId="77777777" w:rsidR="00957F89" w:rsidRPr="00C73849" w:rsidRDefault="00957F89">
            <w:pPr>
              <w:pStyle w:val="TableParagraph"/>
              <w:rPr>
                <w:rFonts w:ascii="Times New Roman" w:eastAsia="Times New Roman" w:hAnsi="Times New Roman" w:cs="Times New Roman"/>
                <w:b/>
                <w:bCs/>
                <w:sz w:val="20"/>
                <w:szCs w:val="20"/>
              </w:rPr>
            </w:pPr>
          </w:p>
          <w:p w14:paraId="771F79D9" w14:textId="77777777" w:rsidR="00957F89" w:rsidRPr="00C73849" w:rsidRDefault="00D92D87">
            <w:pPr>
              <w:pStyle w:val="TableParagraph"/>
              <w:ind w:left="302" w:right="220" w:hanging="82"/>
              <w:rPr>
                <w:rFonts w:ascii="Times New Roman" w:eastAsia="Times New Roman" w:hAnsi="Times New Roman" w:cs="Times New Roman"/>
                <w:sz w:val="20"/>
                <w:szCs w:val="20"/>
              </w:rPr>
            </w:pPr>
            <w:r w:rsidRPr="00C73849">
              <w:rPr>
                <w:rFonts w:ascii="Times New Roman"/>
                <w:b/>
                <w:sz w:val="20"/>
              </w:rPr>
              <w:t>No. of</w:t>
            </w:r>
            <w:r w:rsidRPr="00C73849">
              <w:rPr>
                <w:rFonts w:ascii="Times New Roman"/>
                <w:b/>
                <w:w w:val="99"/>
                <w:sz w:val="20"/>
              </w:rPr>
              <w:t xml:space="preserve"> </w:t>
            </w:r>
            <w:r w:rsidRPr="00C73849">
              <w:rPr>
                <w:rFonts w:ascii="Times New Roman"/>
                <w:b/>
                <w:sz w:val="20"/>
              </w:rPr>
              <w:t>AEs</w:t>
            </w:r>
          </w:p>
        </w:tc>
        <w:tc>
          <w:tcPr>
            <w:tcW w:w="970" w:type="dxa"/>
            <w:tcBorders>
              <w:top w:val="single" w:sz="5" w:space="0" w:color="000000"/>
              <w:left w:val="single" w:sz="5" w:space="0" w:color="000000"/>
              <w:bottom w:val="single" w:sz="5" w:space="0" w:color="000000"/>
              <w:right w:val="single" w:sz="5" w:space="0" w:color="000000"/>
            </w:tcBorders>
          </w:tcPr>
          <w:p w14:paraId="0D927A1D" w14:textId="77777777" w:rsidR="00957F89" w:rsidRPr="00C73849" w:rsidRDefault="00D92D87">
            <w:pPr>
              <w:pStyle w:val="TableParagraph"/>
              <w:ind w:left="120" w:right="115" w:hanging="1"/>
              <w:jc w:val="center"/>
              <w:rPr>
                <w:rFonts w:ascii="Times New Roman" w:eastAsia="Times New Roman" w:hAnsi="Times New Roman" w:cs="Times New Roman"/>
                <w:sz w:val="20"/>
                <w:szCs w:val="20"/>
              </w:rPr>
            </w:pPr>
            <w:r w:rsidRPr="00C73849">
              <w:rPr>
                <w:rFonts w:ascii="Times New Roman"/>
                <w:b/>
                <w:sz w:val="20"/>
              </w:rPr>
              <w:t>No. of</w:t>
            </w:r>
            <w:r w:rsidRPr="00C73849">
              <w:rPr>
                <w:rFonts w:ascii="Times New Roman"/>
                <w:b/>
                <w:w w:val="99"/>
                <w:sz w:val="20"/>
              </w:rPr>
              <w:t xml:space="preserve"> </w:t>
            </w:r>
            <w:r w:rsidRPr="00C73849">
              <w:rPr>
                <w:rFonts w:ascii="Times New Roman"/>
                <w:b/>
                <w:w w:val="95"/>
                <w:sz w:val="20"/>
              </w:rPr>
              <w:t>Subjects</w:t>
            </w:r>
            <w:r w:rsidRPr="00C73849">
              <w:rPr>
                <w:rFonts w:ascii="Times New Roman"/>
                <w:b/>
                <w:w w:val="99"/>
                <w:sz w:val="20"/>
              </w:rPr>
              <w:t xml:space="preserve"> </w:t>
            </w:r>
            <w:r w:rsidRPr="00C73849">
              <w:rPr>
                <w:rFonts w:ascii="Times New Roman"/>
                <w:b/>
                <w:sz w:val="20"/>
              </w:rPr>
              <w:t>with an</w:t>
            </w:r>
            <w:r w:rsidRPr="00C73849">
              <w:rPr>
                <w:rFonts w:ascii="Times New Roman"/>
                <w:b/>
                <w:w w:val="99"/>
                <w:sz w:val="20"/>
              </w:rPr>
              <w:t xml:space="preserve"> </w:t>
            </w:r>
            <w:r w:rsidRPr="00C73849">
              <w:rPr>
                <w:rFonts w:ascii="Times New Roman"/>
                <w:b/>
                <w:sz w:val="20"/>
              </w:rPr>
              <w:t>AE</w:t>
            </w:r>
          </w:p>
          <w:p w14:paraId="47635CD0" w14:textId="77777777" w:rsidR="00957F89" w:rsidRPr="00C73849" w:rsidRDefault="00D92D87">
            <w:pPr>
              <w:pStyle w:val="TableParagraph"/>
              <w:spacing w:line="227" w:lineRule="exact"/>
              <w:ind w:left="1"/>
              <w:jc w:val="center"/>
              <w:rPr>
                <w:rFonts w:ascii="Times New Roman" w:eastAsia="Times New Roman" w:hAnsi="Times New Roman" w:cs="Times New Roman"/>
                <w:sz w:val="20"/>
                <w:szCs w:val="20"/>
              </w:rPr>
            </w:pPr>
            <w:r w:rsidRPr="00C73849">
              <w:rPr>
                <w:rFonts w:ascii="Times New Roman"/>
                <w:b/>
                <w:sz w:val="20"/>
              </w:rPr>
              <w:t>n (%)</w:t>
            </w:r>
          </w:p>
        </w:tc>
        <w:tc>
          <w:tcPr>
            <w:tcW w:w="970" w:type="dxa"/>
            <w:tcBorders>
              <w:top w:val="single" w:sz="5" w:space="0" w:color="000000"/>
              <w:left w:val="single" w:sz="5" w:space="0" w:color="000000"/>
              <w:bottom w:val="single" w:sz="5" w:space="0" w:color="000000"/>
              <w:right w:val="single" w:sz="12" w:space="0" w:color="000000"/>
            </w:tcBorders>
          </w:tcPr>
          <w:p w14:paraId="49EC6CD5" w14:textId="77777777" w:rsidR="00957F89" w:rsidRPr="00C73849" w:rsidRDefault="00957F89">
            <w:pPr>
              <w:pStyle w:val="TableParagraph"/>
              <w:rPr>
                <w:rFonts w:ascii="Times New Roman" w:eastAsia="Times New Roman" w:hAnsi="Times New Roman" w:cs="Times New Roman"/>
                <w:b/>
                <w:bCs/>
                <w:sz w:val="20"/>
                <w:szCs w:val="20"/>
              </w:rPr>
            </w:pPr>
          </w:p>
          <w:p w14:paraId="0E17F5FB" w14:textId="77777777" w:rsidR="00957F89" w:rsidRPr="00C73849" w:rsidRDefault="00957F89">
            <w:pPr>
              <w:pStyle w:val="TableParagraph"/>
              <w:rPr>
                <w:rFonts w:ascii="Times New Roman" w:eastAsia="Times New Roman" w:hAnsi="Times New Roman" w:cs="Times New Roman"/>
                <w:b/>
                <w:bCs/>
                <w:sz w:val="20"/>
                <w:szCs w:val="20"/>
              </w:rPr>
            </w:pPr>
          </w:p>
          <w:p w14:paraId="4844666A" w14:textId="77777777" w:rsidR="00957F89" w:rsidRPr="00C73849" w:rsidRDefault="00957F89">
            <w:pPr>
              <w:pStyle w:val="TableParagraph"/>
              <w:rPr>
                <w:rFonts w:ascii="Times New Roman" w:eastAsia="Times New Roman" w:hAnsi="Times New Roman" w:cs="Times New Roman"/>
                <w:b/>
                <w:bCs/>
                <w:sz w:val="20"/>
                <w:szCs w:val="20"/>
              </w:rPr>
            </w:pPr>
          </w:p>
          <w:p w14:paraId="0319CE3F" w14:textId="77777777" w:rsidR="00957F89" w:rsidRPr="00C73849" w:rsidRDefault="00D92D87">
            <w:pPr>
              <w:pStyle w:val="TableParagraph"/>
              <w:ind w:left="302" w:right="210" w:hanging="80"/>
              <w:rPr>
                <w:rFonts w:ascii="Times New Roman" w:eastAsia="Times New Roman" w:hAnsi="Times New Roman" w:cs="Times New Roman"/>
                <w:sz w:val="20"/>
                <w:szCs w:val="20"/>
              </w:rPr>
            </w:pPr>
            <w:r w:rsidRPr="00C73849">
              <w:rPr>
                <w:rFonts w:ascii="Times New Roman"/>
                <w:b/>
                <w:sz w:val="20"/>
              </w:rPr>
              <w:t>No. of</w:t>
            </w:r>
            <w:r w:rsidRPr="00C73849">
              <w:rPr>
                <w:rFonts w:ascii="Times New Roman"/>
                <w:b/>
                <w:w w:val="99"/>
                <w:sz w:val="20"/>
              </w:rPr>
              <w:t xml:space="preserve"> </w:t>
            </w:r>
            <w:r w:rsidRPr="00C73849">
              <w:rPr>
                <w:rFonts w:ascii="Times New Roman"/>
                <w:b/>
                <w:sz w:val="20"/>
              </w:rPr>
              <w:t>AEs</w:t>
            </w:r>
          </w:p>
        </w:tc>
      </w:tr>
      <w:tr w:rsidR="00957F89" w:rsidRPr="00C73849" w14:paraId="2DF55114" w14:textId="77777777">
        <w:trPr>
          <w:trHeight w:hRule="exact" w:val="240"/>
        </w:trPr>
        <w:tc>
          <w:tcPr>
            <w:tcW w:w="1526" w:type="dxa"/>
            <w:tcBorders>
              <w:top w:val="single" w:sz="5" w:space="0" w:color="000000"/>
              <w:left w:val="single" w:sz="12" w:space="0" w:color="000000"/>
              <w:bottom w:val="single" w:sz="5" w:space="0" w:color="000000"/>
              <w:right w:val="single" w:sz="5" w:space="0" w:color="000000"/>
            </w:tcBorders>
          </w:tcPr>
          <w:p w14:paraId="6B2CA411" w14:textId="77777777" w:rsidR="00957F89" w:rsidRPr="00C73849" w:rsidRDefault="00D92D87">
            <w:pPr>
              <w:pStyle w:val="TableParagraph"/>
              <w:spacing w:line="227" w:lineRule="exact"/>
              <w:ind w:left="92"/>
              <w:rPr>
                <w:rFonts w:ascii="Times New Roman" w:eastAsia="Times New Roman" w:hAnsi="Times New Roman" w:cs="Times New Roman"/>
                <w:sz w:val="13"/>
                <w:szCs w:val="13"/>
              </w:rPr>
            </w:pPr>
            <w:r w:rsidRPr="00C73849">
              <w:rPr>
                <w:rFonts w:ascii="Times New Roman"/>
                <w:b/>
                <w:sz w:val="20"/>
              </w:rPr>
              <w:t>Any AE</w:t>
            </w:r>
            <w:r w:rsidRPr="00C73849">
              <w:rPr>
                <w:rFonts w:ascii="Times New Roman"/>
                <w:b/>
                <w:position w:val="9"/>
                <w:sz w:val="13"/>
              </w:rPr>
              <w:t>a</w:t>
            </w:r>
          </w:p>
        </w:tc>
        <w:tc>
          <w:tcPr>
            <w:tcW w:w="967" w:type="dxa"/>
            <w:tcBorders>
              <w:top w:val="single" w:sz="5" w:space="0" w:color="000000"/>
              <w:left w:val="single" w:sz="5" w:space="0" w:color="000000"/>
              <w:bottom w:val="single" w:sz="5" w:space="0" w:color="000000"/>
              <w:right w:val="single" w:sz="5" w:space="0" w:color="000000"/>
            </w:tcBorders>
          </w:tcPr>
          <w:p w14:paraId="2A9F18E3" w14:textId="77777777" w:rsidR="00957F89" w:rsidRPr="00C73849" w:rsidRDefault="00D92D87">
            <w:pPr>
              <w:pStyle w:val="TableParagraph"/>
              <w:spacing w:line="222" w:lineRule="exact"/>
              <w:ind w:left="150"/>
              <w:rPr>
                <w:rFonts w:ascii="Times New Roman" w:eastAsia="Times New Roman" w:hAnsi="Times New Roman" w:cs="Times New Roman"/>
                <w:sz w:val="20"/>
                <w:szCs w:val="20"/>
              </w:rPr>
            </w:pPr>
            <w:r w:rsidRPr="00C73849">
              <w:rPr>
                <w:rFonts w:ascii="Times New Roman"/>
                <w:sz w:val="20"/>
              </w:rPr>
              <w:t>1 (25%)</w:t>
            </w:r>
          </w:p>
        </w:tc>
        <w:tc>
          <w:tcPr>
            <w:tcW w:w="970" w:type="dxa"/>
            <w:tcBorders>
              <w:top w:val="single" w:sz="5" w:space="0" w:color="000000"/>
              <w:left w:val="single" w:sz="5" w:space="0" w:color="000000"/>
              <w:bottom w:val="single" w:sz="5" w:space="0" w:color="000000"/>
              <w:right w:val="single" w:sz="5" w:space="0" w:color="000000"/>
            </w:tcBorders>
          </w:tcPr>
          <w:p w14:paraId="348A87EB"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4</w:t>
            </w:r>
          </w:p>
        </w:tc>
        <w:tc>
          <w:tcPr>
            <w:tcW w:w="967" w:type="dxa"/>
            <w:tcBorders>
              <w:top w:val="single" w:sz="5" w:space="0" w:color="000000"/>
              <w:left w:val="single" w:sz="5" w:space="0" w:color="000000"/>
              <w:bottom w:val="single" w:sz="5" w:space="0" w:color="000000"/>
              <w:right w:val="single" w:sz="5" w:space="0" w:color="000000"/>
            </w:tcBorders>
          </w:tcPr>
          <w:p w14:paraId="418D18D7" w14:textId="77777777" w:rsidR="00957F89" w:rsidRPr="00C73849" w:rsidRDefault="00D92D87">
            <w:pPr>
              <w:pStyle w:val="TableParagraph"/>
              <w:spacing w:line="222" w:lineRule="exact"/>
              <w:ind w:left="150"/>
              <w:rPr>
                <w:rFonts w:ascii="Times New Roman" w:eastAsia="Times New Roman" w:hAnsi="Times New Roman" w:cs="Times New Roman"/>
                <w:sz w:val="20"/>
                <w:szCs w:val="20"/>
              </w:rPr>
            </w:pPr>
            <w:r w:rsidRPr="00C73849">
              <w:rPr>
                <w:rFonts w:ascii="Times New Roman"/>
                <w:sz w:val="20"/>
              </w:rPr>
              <w:t>1 (25%)</w:t>
            </w:r>
          </w:p>
        </w:tc>
        <w:tc>
          <w:tcPr>
            <w:tcW w:w="970" w:type="dxa"/>
            <w:tcBorders>
              <w:top w:val="single" w:sz="5" w:space="0" w:color="000000"/>
              <w:left w:val="single" w:sz="5" w:space="0" w:color="000000"/>
              <w:bottom w:val="single" w:sz="5" w:space="0" w:color="000000"/>
              <w:right w:val="single" w:sz="5" w:space="0" w:color="000000"/>
            </w:tcBorders>
          </w:tcPr>
          <w:p w14:paraId="5CFEBB1B"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1</w:t>
            </w:r>
          </w:p>
        </w:tc>
        <w:tc>
          <w:tcPr>
            <w:tcW w:w="967" w:type="dxa"/>
            <w:tcBorders>
              <w:top w:val="single" w:sz="5" w:space="0" w:color="000000"/>
              <w:left w:val="single" w:sz="5" w:space="0" w:color="000000"/>
              <w:bottom w:val="single" w:sz="5" w:space="0" w:color="000000"/>
              <w:right w:val="single" w:sz="5" w:space="0" w:color="000000"/>
            </w:tcBorders>
          </w:tcPr>
          <w:p w14:paraId="335CF432" w14:textId="77777777" w:rsidR="00957F89" w:rsidRPr="00C73849" w:rsidRDefault="00D92D87">
            <w:pPr>
              <w:pStyle w:val="TableParagraph"/>
              <w:spacing w:line="222" w:lineRule="exact"/>
              <w:ind w:left="150"/>
              <w:rPr>
                <w:rFonts w:ascii="Times New Roman" w:eastAsia="Times New Roman" w:hAnsi="Times New Roman" w:cs="Times New Roman"/>
                <w:sz w:val="20"/>
                <w:szCs w:val="20"/>
              </w:rPr>
            </w:pPr>
            <w:r w:rsidRPr="00C73849">
              <w:rPr>
                <w:rFonts w:ascii="Times New Roman"/>
                <w:sz w:val="20"/>
              </w:rPr>
              <w:t>3 (75%)</w:t>
            </w:r>
          </w:p>
        </w:tc>
        <w:tc>
          <w:tcPr>
            <w:tcW w:w="970" w:type="dxa"/>
            <w:tcBorders>
              <w:top w:val="single" w:sz="5" w:space="0" w:color="000000"/>
              <w:left w:val="single" w:sz="5" w:space="0" w:color="000000"/>
              <w:bottom w:val="single" w:sz="5" w:space="0" w:color="000000"/>
              <w:right w:val="single" w:sz="5" w:space="0" w:color="000000"/>
            </w:tcBorders>
          </w:tcPr>
          <w:p w14:paraId="1010DF89"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3</w:t>
            </w:r>
          </w:p>
        </w:tc>
        <w:tc>
          <w:tcPr>
            <w:tcW w:w="970" w:type="dxa"/>
            <w:tcBorders>
              <w:top w:val="single" w:sz="5" w:space="0" w:color="000000"/>
              <w:left w:val="single" w:sz="5" w:space="0" w:color="000000"/>
              <w:bottom w:val="single" w:sz="5" w:space="0" w:color="000000"/>
              <w:right w:val="single" w:sz="5" w:space="0" w:color="000000"/>
            </w:tcBorders>
          </w:tcPr>
          <w:p w14:paraId="725C352D" w14:textId="77777777" w:rsidR="00957F89" w:rsidRPr="00C73849" w:rsidRDefault="00D92D87">
            <w:pPr>
              <w:pStyle w:val="TableParagraph"/>
              <w:spacing w:line="222" w:lineRule="exact"/>
              <w:ind w:left="152"/>
              <w:rPr>
                <w:rFonts w:ascii="Times New Roman" w:eastAsia="Times New Roman" w:hAnsi="Times New Roman" w:cs="Times New Roman"/>
                <w:sz w:val="20"/>
                <w:szCs w:val="20"/>
              </w:rPr>
            </w:pPr>
            <w:r w:rsidRPr="00C73849">
              <w:rPr>
                <w:rFonts w:ascii="Times New Roman"/>
                <w:sz w:val="20"/>
              </w:rPr>
              <w:t>2 (50%)</w:t>
            </w:r>
          </w:p>
        </w:tc>
        <w:tc>
          <w:tcPr>
            <w:tcW w:w="967" w:type="dxa"/>
            <w:tcBorders>
              <w:top w:val="single" w:sz="5" w:space="0" w:color="000000"/>
              <w:left w:val="single" w:sz="5" w:space="0" w:color="000000"/>
              <w:bottom w:val="single" w:sz="5" w:space="0" w:color="000000"/>
              <w:right w:val="single" w:sz="5" w:space="0" w:color="000000"/>
            </w:tcBorders>
          </w:tcPr>
          <w:p w14:paraId="5670F835"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4</w:t>
            </w:r>
          </w:p>
        </w:tc>
        <w:tc>
          <w:tcPr>
            <w:tcW w:w="970" w:type="dxa"/>
            <w:tcBorders>
              <w:top w:val="single" w:sz="5" w:space="0" w:color="000000"/>
              <w:left w:val="single" w:sz="5" w:space="0" w:color="000000"/>
              <w:bottom w:val="single" w:sz="5" w:space="0" w:color="000000"/>
              <w:right w:val="single" w:sz="5" w:space="0" w:color="000000"/>
            </w:tcBorders>
          </w:tcPr>
          <w:p w14:paraId="46EEE2A5" w14:textId="77777777" w:rsidR="00957F89" w:rsidRPr="00C73849" w:rsidRDefault="00D92D87">
            <w:pPr>
              <w:pStyle w:val="TableParagraph"/>
              <w:spacing w:line="222" w:lineRule="exact"/>
              <w:ind w:left="152"/>
              <w:rPr>
                <w:rFonts w:ascii="Times New Roman" w:eastAsia="Times New Roman" w:hAnsi="Times New Roman" w:cs="Times New Roman"/>
                <w:sz w:val="20"/>
                <w:szCs w:val="20"/>
              </w:rPr>
            </w:pPr>
            <w:r w:rsidRPr="00C73849">
              <w:rPr>
                <w:rFonts w:ascii="Times New Roman"/>
                <w:sz w:val="20"/>
              </w:rPr>
              <w:t>3 (75%)</w:t>
            </w:r>
          </w:p>
        </w:tc>
        <w:tc>
          <w:tcPr>
            <w:tcW w:w="967" w:type="dxa"/>
            <w:tcBorders>
              <w:top w:val="single" w:sz="5" w:space="0" w:color="000000"/>
              <w:left w:val="single" w:sz="5" w:space="0" w:color="000000"/>
              <w:bottom w:val="single" w:sz="5" w:space="0" w:color="000000"/>
              <w:right w:val="single" w:sz="5" w:space="0" w:color="000000"/>
            </w:tcBorders>
          </w:tcPr>
          <w:p w14:paraId="5579A22A"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3</w:t>
            </w:r>
          </w:p>
        </w:tc>
        <w:tc>
          <w:tcPr>
            <w:tcW w:w="970" w:type="dxa"/>
            <w:tcBorders>
              <w:top w:val="single" w:sz="5" w:space="0" w:color="000000"/>
              <w:left w:val="single" w:sz="5" w:space="0" w:color="000000"/>
              <w:bottom w:val="single" w:sz="5" w:space="0" w:color="000000"/>
              <w:right w:val="single" w:sz="5" w:space="0" w:color="000000"/>
            </w:tcBorders>
          </w:tcPr>
          <w:p w14:paraId="364F1760" w14:textId="77777777" w:rsidR="00957F89" w:rsidRPr="00C73849" w:rsidRDefault="00D92D87">
            <w:pPr>
              <w:pStyle w:val="TableParagraph"/>
              <w:spacing w:line="222" w:lineRule="exact"/>
              <w:ind w:left="152"/>
              <w:rPr>
                <w:rFonts w:ascii="Times New Roman" w:eastAsia="Times New Roman" w:hAnsi="Times New Roman" w:cs="Times New Roman"/>
                <w:sz w:val="20"/>
                <w:szCs w:val="20"/>
              </w:rPr>
            </w:pPr>
            <w:r w:rsidRPr="00C73849">
              <w:rPr>
                <w:rFonts w:ascii="Times New Roman"/>
                <w:sz w:val="20"/>
              </w:rPr>
              <w:t>1 (10%)</w:t>
            </w:r>
          </w:p>
        </w:tc>
        <w:tc>
          <w:tcPr>
            <w:tcW w:w="970" w:type="dxa"/>
            <w:tcBorders>
              <w:top w:val="single" w:sz="5" w:space="0" w:color="000000"/>
              <w:left w:val="single" w:sz="5" w:space="0" w:color="000000"/>
              <w:bottom w:val="single" w:sz="5" w:space="0" w:color="000000"/>
              <w:right w:val="single" w:sz="12" w:space="0" w:color="000000"/>
            </w:tcBorders>
          </w:tcPr>
          <w:p w14:paraId="134089DB" w14:textId="77777777" w:rsidR="00957F89" w:rsidRPr="00C73849" w:rsidRDefault="00D92D87">
            <w:pPr>
              <w:pStyle w:val="TableParagraph"/>
              <w:spacing w:line="222" w:lineRule="exact"/>
              <w:ind w:left="9"/>
              <w:jc w:val="center"/>
              <w:rPr>
                <w:rFonts w:ascii="Times New Roman" w:eastAsia="Times New Roman" w:hAnsi="Times New Roman" w:cs="Times New Roman"/>
                <w:sz w:val="20"/>
                <w:szCs w:val="20"/>
              </w:rPr>
            </w:pPr>
            <w:r w:rsidRPr="00C73849">
              <w:rPr>
                <w:rFonts w:ascii="Times New Roman"/>
                <w:sz w:val="20"/>
              </w:rPr>
              <w:t>2</w:t>
            </w:r>
          </w:p>
        </w:tc>
      </w:tr>
      <w:tr w:rsidR="00957F89" w:rsidRPr="00C73849" w14:paraId="2725D3F7" w14:textId="77777777">
        <w:trPr>
          <w:trHeight w:hRule="exact" w:val="240"/>
        </w:trPr>
        <w:tc>
          <w:tcPr>
            <w:tcW w:w="1526" w:type="dxa"/>
            <w:tcBorders>
              <w:top w:val="single" w:sz="5" w:space="0" w:color="000000"/>
              <w:left w:val="single" w:sz="12" w:space="0" w:color="000000"/>
              <w:bottom w:val="single" w:sz="5" w:space="0" w:color="000000"/>
              <w:right w:val="single" w:sz="5" w:space="0" w:color="000000"/>
            </w:tcBorders>
          </w:tcPr>
          <w:p w14:paraId="373440C9" w14:textId="77777777" w:rsidR="00957F89" w:rsidRPr="00C73849" w:rsidRDefault="00D92D87">
            <w:pPr>
              <w:pStyle w:val="TableParagraph"/>
              <w:spacing w:line="227" w:lineRule="exact"/>
              <w:ind w:left="92"/>
              <w:rPr>
                <w:rFonts w:ascii="Times New Roman" w:eastAsia="Times New Roman" w:hAnsi="Times New Roman" w:cs="Times New Roman"/>
                <w:sz w:val="20"/>
                <w:szCs w:val="20"/>
              </w:rPr>
            </w:pPr>
            <w:r w:rsidRPr="00C73849">
              <w:rPr>
                <w:rFonts w:ascii="Times New Roman"/>
                <w:b/>
                <w:sz w:val="20"/>
              </w:rPr>
              <w:t>Causality</w:t>
            </w:r>
          </w:p>
        </w:tc>
        <w:tc>
          <w:tcPr>
            <w:tcW w:w="967" w:type="dxa"/>
            <w:tcBorders>
              <w:top w:val="single" w:sz="5" w:space="0" w:color="000000"/>
              <w:left w:val="single" w:sz="5" w:space="0" w:color="000000"/>
              <w:bottom w:val="single" w:sz="5" w:space="0" w:color="000000"/>
              <w:right w:val="single" w:sz="5" w:space="0" w:color="000000"/>
            </w:tcBorders>
          </w:tcPr>
          <w:p w14:paraId="6AA634A9" w14:textId="77777777" w:rsidR="00957F89" w:rsidRPr="00C73849" w:rsidRDefault="00957F89"/>
        </w:tc>
        <w:tc>
          <w:tcPr>
            <w:tcW w:w="970" w:type="dxa"/>
            <w:tcBorders>
              <w:top w:val="single" w:sz="5" w:space="0" w:color="000000"/>
              <w:left w:val="single" w:sz="5" w:space="0" w:color="000000"/>
              <w:bottom w:val="single" w:sz="5" w:space="0" w:color="000000"/>
              <w:right w:val="single" w:sz="5" w:space="0" w:color="000000"/>
            </w:tcBorders>
          </w:tcPr>
          <w:p w14:paraId="053F28D7" w14:textId="77777777" w:rsidR="00957F89" w:rsidRPr="00C73849" w:rsidRDefault="00957F89"/>
        </w:tc>
        <w:tc>
          <w:tcPr>
            <w:tcW w:w="967" w:type="dxa"/>
            <w:tcBorders>
              <w:top w:val="single" w:sz="5" w:space="0" w:color="000000"/>
              <w:left w:val="single" w:sz="5" w:space="0" w:color="000000"/>
              <w:bottom w:val="single" w:sz="5" w:space="0" w:color="000000"/>
              <w:right w:val="single" w:sz="5" w:space="0" w:color="000000"/>
            </w:tcBorders>
          </w:tcPr>
          <w:p w14:paraId="630E73BB" w14:textId="77777777" w:rsidR="00957F89" w:rsidRPr="00C73849" w:rsidRDefault="00957F89"/>
        </w:tc>
        <w:tc>
          <w:tcPr>
            <w:tcW w:w="970" w:type="dxa"/>
            <w:tcBorders>
              <w:top w:val="single" w:sz="5" w:space="0" w:color="000000"/>
              <w:left w:val="single" w:sz="5" w:space="0" w:color="000000"/>
              <w:bottom w:val="single" w:sz="5" w:space="0" w:color="000000"/>
              <w:right w:val="single" w:sz="5" w:space="0" w:color="000000"/>
            </w:tcBorders>
          </w:tcPr>
          <w:p w14:paraId="3C7AAC8B" w14:textId="77777777" w:rsidR="00957F89" w:rsidRPr="00C73849" w:rsidRDefault="00957F89"/>
        </w:tc>
        <w:tc>
          <w:tcPr>
            <w:tcW w:w="967" w:type="dxa"/>
            <w:tcBorders>
              <w:top w:val="single" w:sz="5" w:space="0" w:color="000000"/>
              <w:left w:val="single" w:sz="5" w:space="0" w:color="000000"/>
              <w:bottom w:val="single" w:sz="5" w:space="0" w:color="000000"/>
              <w:right w:val="single" w:sz="5" w:space="0" w:color="000000"/>
            </w:tcBorders>
          </w:tcPr>
          <w:p w14:paraId="493A21A5" w14:textId="77777777" w:rsidR="00957F89" w:rsidRPr="00C73849" w:rsidRDefault="00957F89"/>
        </w:tc>
        <w:tc>
          <w:tcPr>
            <w:tcW w:w="970" w:type="dxa"/>
            <w:tcBorders>
              <w:top w:val="single" w:sz="5" w:space="0" w:color="000000"/>
              <w:left w:val="single" w:sz="5" w:space="0" w:color="000000"/>
              <w:bottom w:val="single" w:sz="5" w:space="0" w:color="000000"/>
              <w:right w:val="single" w:sz="5" w:space="0" w:color="000000"/>
            </w:tcBorders>
          </w:tcPr>
          <w:p w14:paraId="562985EA" w14:textId="77777777" w:rsidR="00957F89" w:rsidRPr="00C73849" w:rsidRDefault="00957F89"/>
        </w:tc>
        <w:tc>
          <w:tcPr>
            <w:tcW w:w="970" w:type="dxa"/>
            <w:tcBorders>
              <w:top w:val="single" w:sz="5" w:space="0" w:color="000000"/>
              <w:left w:val="single" w:sz="5" w:space="0" w:color="000000"/>
              <w:bottom w:val="single" w:sz="5" w:space="0" w:color="000000"/>
              <w:right w:val="single" w:sz="5" w:space="0" w:color="000000"/>
            </w:tcBorders>
          </w:tcPr>
          <w:p w14:paraId="12034D15" w14:textId="77777777" w:rsidR="00957F89" w:rsidRPr="00C73849" w:rsidRDefault="00957F89"/>
        </w:tc>
        <w:tc>
          <w:tcPr>
            <w:tcW w:w="967" w:type="dxa"/>
            <w:tcBorders>
              <w:top w:val="single" w:sz="5" w:space="0" w:color="000000"/>
              <w:left w:val="single" w:sz="5" w:space="0" w:color="000000"/>
              <w:bottom w:val="single" w:sz="5" w:space="0" w:color="000000"/>
              <w:right w:val="single" w:sz="5" w:space="0" w:color="000000"/>
            </w:tcBorders>
          </w:tcPr>
          <w:p w14:paraId="23B0E7C3" w14:textId="77777777" w:rsidR="00957F89" w:rsidRPr="00C73849" w:rsidRDefault="00957F89"/>
        </w:tc>
        <w:tc>
          <w:tcPr>
            <w:tcW w:w="970" w:type="dxa"/>
            <w:tcBorders>
              <w:top w:val="single" w:sz="5" w:space="0" w:color="000000"/>
              <w:left w:val="single" w:sz="5" w:space="0" w:color="000000"/>
              <w:bottom w:val="single" w:sz="5" w:space="0" w:color="000000"/>
              <w:right w:val="single" w:sz="5" w:space="0" w:color="000000"/>
            </w:tcBorders>
          </w:tcPr>
          <w:p w14:paraId="54B7E21B" w14:textId="77777777" w:rsidR="00957F89" w:rsidRPr="00C73849" w:rsidRDefault="00957F89"/>
        </w:tc>
        <w:tc>
          <w:tcPr>
            <w:tcW w:w="967" w:type="dxa"/>
            <w:tcBorders>
              <w:top w:val="single" w:sz="5" w:space="0" w:color="000000"/>
              <w:left w:val="single" w:sz="5" w:space="0" w:color="000000"/>
              <w:bottom w:val="single" w:sz="5" w:space="0" w:color="000000"/>
              <w:right w:val="single" w:sz="5" w:space="0" w:color="000000"/>
            </w:tcBorders>
          </w:tcPr>
          <w:p w14:paraId="2D69FD7A" w14:textId="77777777" w:rsidR="00957F89" w:rsidRPr="00C73849" w:rsidRDefault="00957F89"/>
        </w:tc>
        <w:tc>
          <w:tcPr>
            <w:tcW w:w="970" w:type="dxa"/>
            <w:tcBorders>
              <w:top w:val="single" w:sz="5" w:space="0" w:color="000000"/>
              <w:left w:val="single" w:sz="5" w:space="0" w:color="000000"/>
              <w:bottom w:val="single" w:sz="5" w:space="0" w:color="000000"/>
              <w:right w:val="single" w:sz="5" w:space="0" w:color="000000"/>
            </w:tcBorders>
          </w:tcPr>
          <w:p w14:paraId="562DF8BA" w14:textId="77777777" w:rsidR="00957F89" w:rsidRPr="00C73849" w:rsidRDefault="00957F89"/>
        </w:tc>
        <w:tc>
          <w:tcPr>
            <w:tcW w:w="970" w:type="dxa"/>
            <w:tcBorders>
              <w:top w:val="single" w:sz="5" w:space="0" w:color="000000"/>
              <w:left w:val="single" w:sz="5" w:space="0" w:color="000000"/>
              <w:bottom w:val="single" w:sz="5" w:space="0" w:color="000000"/>
              <w:right w:val="single" w:sz="12" w:space="0" w:color="000000"/>
            </w:tcBorders>
          </w:tcPr>
          <w:p w14:paraId="3CABD562" w14:textId="77777777" w:rsidR="00957F89" w:rsidRPr="00C73849" w:rsidRDefault="00957F89"/>
        </w:tc>
      </w:tr>
      <w:tr w:rsidR="00957F89" w:rsidRPr="00C73849" w14:paraId="2B201005" w14:textId="77777777">
        <w:trPr>
          <w:trHeight w:hRule="exact" w:val="240"/>
        </w:trPr>
        <w:tc>
          <w:tcPr>
            <w:tcW w:w="1526" w:type="dxa"/>
            <w:tcBorders>
              <w:top w:val="single" w:sz="5" w:space="0" w:color="000000"/>
              <w:left w:val="single" w:sz="12" w:space="0" w:color="000000"/>
              <w:bottom w:val="single" w:sz="5" w:space="0" w:color="000000"/>
              <w:right w:val="single" w:sz="5" w:space="0" w:color="000000"/>
            </w:tcBorders>
          </w:tcPr>
          <w:p w14:paraId="71416985" w14:textId="77777777" w:rsidR="00957F89" w:rsidRPr="00C73849" w:rsidRDefault="00D92D87">
            <w:pPr>
              <w:pStyle w:val="TableParagraph"/>
              <w:spacing w:line="222" w:lineRule="exact"/>
              <w:ind w:left="375"/>
              <w:rPr>
                <w:rFonts w:ascii="Times New Roman" w:eastAsia="Times New Roman" w:hAnsi="Times New Roman" w:cs="Times New Roman"/>
                <w:sz w:val="20"/>
                <w:szCs w:val="20"/>
              </w:rPr>
            </w:pPr>
            <w:r w:rsidRPr="00C73849">
              <w:rPr>
                <w:rFonts w:ascii="Times New Roman"/>
                <w:sz w:val="20"/>
              </w:rPr>
              <w:t>Related</w:t>
            </w:r>
          </w:p>
        </w:tc>
        <w:tc>
          <w:tcPr>
            <w:tcW w:w="967" w:type="dxa"/>
            <w:tcBorders>
              <w:top w:val="single" w:sz="5" w:space="0" w:color="000000"/>
              <w:left w:val="single" w:sz="5" w:space="0" w:color="000000"/>
              <w:bottom w:val="single" w:sz="5" w:space="0" w:color="000000"/>
              <w:right w:val="single" w:sz="5" w:space="0" w:color="000000"/>
            </w:tcBorders>
          </w:tcPr>
          <w:p w14:paraId="7579F565" w14:textId="77777777" w:rsidR="00957F89" w:rsidRPr="00C73849" w:rsidRDefault="00D92D87">
            <w:pPr>
              <w:pStyle w:val="TableParagraph"/>
              <w:spacing w:line="222" w:lineRule="exact"/>
              <w:ind w:left="150"/>
              <w:rPr>
                <w:rFonts w:ascii="Times New Roman" w:eastAsia="Times New Roman" w:hAnsi="Times New Roman" w:cs="Times New Roman"/>
                <w:sz w:val="20"/>
                <w:szCs w:val="20"/>
              </w:rPr>
            </w:pPr>
            <w:r w:rsidRPr="00C73849">
              <w:rPr>
                <w:rFonts w:ascii="Times New Roman"/>
                <w:sz w:val="20"/>
              </w:rPr>
              <w:t>1 (25%)</w:t>
            </w:r>
          </w:p>
        </w:tc>
        <w:tc>
          <w:tcPr>
            <w:tcW w:w="970" w:type="dxa"/>
            <w:tcBorders>
              <w:top w:val="single" w:sz="5" w:space="0" w:color="000000"/>
              <w:left w:val="single" w:sz="5" w:space="0" w:color="000000"/>
              <w:bottom w:val="single" w:sz="5" w:space="0" w:color="000000"/>
              <w:right w:val="single" w:sz="5" w:space="0" w:color="000000"/>
            </w:tcBorders>
          </w:tcPr>
          <w:p w14:paraId="62C81B0D"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2</w:t>
            </w:r>
          </w:p>
        </w:tc>
        <w:tc>
          <w:tcPr>
            <w:tcW w:w="967" w:type="dxa"/>
            <w:tcBorders>
              <w:top w:val="single" w:sz="5" w:space="0" w:color="000000"/>
              <w:left w:val="single" w:sz="5" w:space="0" w:color="000000"/>
              <w:bottom w:val="single" w:sz="5" w:space="0" w:color="000000"/>
              <w:right w:val="single" w:sz="5" w:space="0" w:color="000000"/>
            </w:tcBorders>
          </w:tcPr>
          <w:p w14:paraId="31C2A933" w14:textId="77777777" w:rsidR="00957F89" w:rsidRPr="00C73849" w:rsidRDefault="00D92D87">
            <w:pPr>
              <w:pStyle w:val="TableParagraph"/>
              <w:spacing w:line="222" w:lineRule="exact"/>
              <w:ind w:left="150"/>
              <w:rPr>
                <w:rFonts w:ascii="Times New Roman" w:eastAsia="Times New Roman" w:hAnsi="Times New Roman" w:cs="Times New Roman"/>
                <w:sz w:val="20"/>
                <w:szCs w:val="20"/>
              </w:rPr>
            </w:pPr>
            <w:r w:rsidRPr="00C73849">
              <w:rPr>
                <w:rFonts w:ascii="Times New Roman"/>
                <w:sz w:val="20"/>
              </w:rPr>
              <w:t>1 (25%)</w:t>
            </w:r>
          </w:p>
        </w:tc>
        <w:tc>
          <w:tcPr>
            <w:tcW w:w="970" w:type="dxa"/>
            <w:tcBorders>
              <w:top w:val="single" w:sz="5" w:space="0" w:color="000000"/>
              <w:left w:val="single" w:sz="5" w:space="0" w:color="000000"/>
              <w:bottom w:val="single" w:sz="5" w:space="0" w:color="000000"/>
              <w:right w:val="single" w:sz="5" w:space="0" w:color="000000"/>
            </w:tcBorders>
          </w:tcPr>
          <w:p w14:paraId="13E1DD73"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1</w:t>
            </w:r>
          </w:p>
        </w:tc>
        <w:tc>
          <w:tcPr>
            <w:tcW w:w="967" w:type="dxa"/>
            <w:tcBorders>
              <w:top w:val="single" w:sz="5" w:space="0" w:color="000000"/>
              <w:left w:val="single" w:sz="5" w:space="0" w:color="000000"/>
              <w:bottom w:val="single" w:sz="5" w:space="0" w:color="000000"/>
              <w:right w:val="single" w:sz="5" w:space="0" w:color="000000"/>
            </w:tcBorders>
          </w:tcPr>
          <w:p w14:paraId="5AF94909" w14:textId="77777777" w:rsidR="00957F89" w:rsidRPr="00C73849" w:rsidRDefault="00D92D87">
            <w:pPr>
              <w:pStyle w:val="TableParagraph"/>
              <w:spacing w:line="222" w:lineRule="exact"/>
              <w:ind w:left="200"/>
              <w:rPr>
                <w:rFonts w:ascii="Times New Roman" w:eastAsia="Times New Roman" w:hAnsi="Times New Roman" w:cs="Times New Roman"/>
                <w:sz w:val="20"/>
                <w:szCs w:val="20"/>
              </w:rPr>
            </w:pPr>
            <w:r w:rsidRPr="00C73849">
              <w:rPr>
                <w:rFonts w:ascii="Times New Roman"/>
                <w:sz w:val="20"/>
              </w:rPr>
              <w:t>0 (0%)</w:t>
            </w:r>
          </w:p>
        </w:tc>
        <w:tc>
          <w:tcPr>
            <w:tcW w:w="970" w:type="dxa"/>
            <w:tcBorders>
              <w:top w:val="single" w:sz="5" w:space="0" w:color="000000"/>
              <w:left w:val="single" w:sz="5" w:space="0" w:color="000000"/>
              <w:bottom w:val="single" w:sz="5" w:space="0" w:color="000000"/>
              <w:right w:val="single" w:sz="5" w:space="0" w:color="000000"/>
            </w:tcBorders>
          </w:tcPr>
          <w:p w14:paraId="2873CA51"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0</w:t>
            </w:r>
          </w:p>
        </w:tc>
        <w:tc>
          <w:tcPr>
            <w:tcW w:w="970" w:type="dxa"/>
            <w:tcBorders>
              <w:top w:val="single" w:sz="5" w:space="0" w:color="000000"/>
              <w:left w:val="single" w:sz="5" w:space="0" w:color="000000"/>
              <w:bottom w:val="single" w:sz="5" w:space="0" w:color="000000"/>
              <w:right w:val="single" w:sz="5" w:space="0" w:color="000000"/>
            </w:tcBorders>
          </w:tcPr>
          <w:p w14:paraId="7D255C6A" w14:textId="77777777" w:rsidR="00957F89" w:rsidRPr="00C73849" w:rsidRDefault="00D92D87">
            <w:pPr>
              <w:pStyle w:val="TableParagraph"/>
              <w:spacing w:line="222" w:lineRule="exact"/>
              <w:ind w:left="152"/>
              <w:rPr>
                <w:rFonts w:ascii="Times New Roman" w:eastAsia="Times New Roman" w:hAnsi="Times New Roman" w:cs="Times New Roman"/>
                <w:sz w:val="20"/>
                <w:szCs w:val="20"/>
              </w:rPr>
            </w:pPr>
            <w:r w:rsidRPr="00C73849">
              <w:rPr>
                <w:rFonts w:ascii="Times New Roman"/>
                <w:sz w:val="20"/>
              </w:rPr>
              <w:t>1 (25%)</w:t>
            </w:r>
          </w:p>
        </w:tc>
        <w:tc>
          <w:tcPr>
            <w:tcW w:w="967" w:type="dxa"/>
            <w:tcBorders>
              <w:top w:val="single" w:sz="5" w:space="0" w:color="000000"/>
              <w:left w:val="single" w:sz="5" w:space="0" w:color="000000"/>
              <w:bottom w:val="single" w:sz="5" w:space="0" w:color="000000"/>
              <w:right w:val="single" w:sz="5" w:space="0" w:color="000000"/>
            </w:tcBorders>
          </w:tcPr>
          <w:p w14:paraId="1D574A4B"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1</w:t>
            </w:r>
          </w:p>
        </w:tc>
        <w:tc>
          <w:tcPr>
            <w:tcW w:w="970" w:type="dxa"/>
            <w:tcBorders>
              <w:top w:val="single" w:sz="5" w:space="0" w:color="000000"/>
              <w:left w:val="single" w:sz="5" w:space="0" w:color="000000"/>
              <w:bottom w:val="single" w:sz="5" w:space="0" w:color="000000"/>
              <w:right w:val="single" w:sz="5" w:space="0" w:color="000000"/>
            </w:tcBorders>
          </w:tcPr>
          <w:p w14:paraId="38C9D56C" w14:textId="77777777" w:rsidR="00957F89" w:rsidRPr="00C73849" w:rsidRDefault="00D92D87">
            <w:pPr>
              <w:pStyle w:val="TableParagraph"/>
              <w:spacing w:line="222" w:lineRule="exact"/>
              <w:ind w:left="153"/>
              <w:rPr>
                <w:rFonts w:ascii="Times New Roman" w:eastAsia="Times New Roman" w:hAnsi="Times New Roman" w:cs="Times New Roman"/>
                <w:sz w:val="20"/>
                <w:szCs w:val="20"/>
              </w:rPr>
            </w:pPr>
            <w:r w:rsidRPr="00C73849">
              <w:rPr>
                <w:rFonts w:ascii="Times New Roman"/>
                <w:sz w:val="20"/>
              </w:rPr>
              <w:t>2 (50%)</w:t>
            </w:r>
          </w:p>
        </w:tc>
        <w:tc>
          <w:tcPr>
            <w:tcW w:w="967" w:type="dxa"/>
            <w:tcBorders>
              <w:top w:val="single" w:sz="5" w:space="0" w:color="000000"/>
              <w:left w:val="single" w:sz="5" w:space="0" w:color="000000"/>
              <w:bottom w:val="single" w:sz="5" w:space="0" w:color="000000"/>
              <w:right w:val="single" w:sz="5" w:space="0" w:color="000000"/>
            </w:tcBorders>
          </w:tcPr>
          <w:p w14:paraId="320D5039"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2</w:t>
            </w:r>
          </w:p>
        </w:tc>
        <w:tc>
          <w:tcPr>
            <w:tcW w:w="970" w:type="dxa"/>
            <w:tcBorders>
              <w:top w:val="single" w:sz="5" w:space="0" w:color="000000"/>
              <w:left w:val="single" w:sz="5" w:space="0" w:color="000000"/>
              <w:bottom w:val="single" w:sz="5" w:space="0" w:color="000000"/>
              <w:right w:val="single" w:sz="5" w:space="0" w:color="000000"/>
            </w:tcBorders>
          </w:tcPr>
          <w:p w14:paraId="43CB7931" w14:textId="77777777" w:rsidR="00957F89" w:rsidRPr="00C73849" w:rsidRDefault="00D92D87">
            <w:pPr>
              <w:pStyle w:val="TableParagraph"/>
              <w:spacing w:line="222" w:lineRule="exact"/>
              <w:ind w:left="153"/>
              <w:rPr>
                <w:rFonts w:ascii="Times New Roman" w:eastAsia="Times New Roman" w:hAnsi="Times New Roman" w:cs="Times New Roman"/>
                <w:sz w:val="20"/>
                <w:szCs w:val="20"/>
              </w:rPr>
            </w:pPr>
            <w:r w:rsidRPr="00C73849">
              <w:rPr>
                <w:rFonts w:ascii="Times New Roman"/>
                <w:sz w:val="20"/>
              </w:rPr>
              <w:t>1 (10%)</w:t>
            </w:r>
          </w:p>
        </w:tc>
        <w:tc>
          <w:tcPr>
            <w:tcW w:w="970" w:type="dxa"/>
            <w:tcBorders>
              <w:top w:val="single" w:sz="5" w:space="0" w:color="000000"/>
              <w:left w:val="single" w:sz="5" w:space="0" w:color="000000"/>
              <w:bottom w:val="single" w:sz="5" w:space="0" w:color="000000"/>
              <w:right w:val="single" w:sz="12" w:space="0" w:color="000000"/>
            </w:tcBorders>
          </w:tcPr>
          <w:p w14:paraId="6FF52883" w14:textId="77777777" w:rsidR="00957F89" w:rsidRPr="00C73849" w:rsidRDefault="00D92D87">
            <w:pPr>
              <w:pStyle w:val="TableParagraph"/>
              <w:spacing w:line="222" w:lineRule="exact"/>
              <w:ind w:left="9"/>
              <w:jc w:val="center"/>
              <w:rPr>
                <w:rFonts w:ascii="Times New Roman" w:eastAsia="Times New Roman" w:hAnsi="Times New Roman" w:cs="Times New Roman"/>
                <w:sz w:val="20"/>
                <w:szCs w:val="20"/>
              </w:rPr>
            </w:pPr>
            <w:r w:rsidRPr="00C73849">
              <w:rPr>
                <w:rFonts w:ascii="Times New Roman"/>
                <w:sz w:val="20"/>
              </w:rPr>
              <w:t>1</w:t>
            </w:r>
          </w:p>
        </w:tc>
      </w:tr>
      <w:tr w:rsidR="00957F89" w:rsidRPr="00C73849" w14:paraId="18D50AA0" w14:textId="77777777">
        <w:trPr>
          <w:trHeight w:hRule="exact" w:val="240"/>
        </w:trPr>
        <w:tc>
          <w:tcPr>
            <w:tcW w:w="1526" w:type="dxa"/>
            <w:tcBorders>
              <w:top w:val="single" w:sz="5" w:space="0" w:color="000000"/>
              <w:left w:val="single" w:sz="12" w:space="0" w:color="000000"/>
              <w:bottom w:val="single" w:sz="5" w:space="0" w:color="000000"/>
              <w:right w:val="single" w:sz="5" w:space="0" w:color="000000"/>
            </w:tcBorders>
          </w:tcPr>
          <w:p w14:paraId="08134EFC" w14:textId="77777777" w:rsidR="00957F89" w:rsidRPr="00C73849" w:rsidRDefault="00D92D87">
            <w:pPr>
              <w:pStyle w:val="TableParagraph"/>
              <w:spacing w:line="222" w:lineRule="exact"/>
              <w:ind w:left="375"/>
              <w:rPr>
                <w:rFonts w:ascii="Times New Roman" w:eastAsia="Times New Roman" w:hAnsi="Times New Roman" w:cs="Times New Roman"/>
                <w:sz w:val="20"/>
                <w:szCs w:val="20"/>
              </w:rPr>
            </w:pPr>
            <w:r w:rsidRPr="00C73849">
              <w:rPr>
                <w:rFonts w:ascii="Times New Roman"/>
                <w:sz w:val="20"/>
              </w:rPr>
              <w:t>Not related</w:t>
            </w:r>
          </w:p>
        </w:tc>
        <w:tc>
          <w:tcPr>
            <w:tcW w:w="967" w:type="dxa"/>
            <w:tcBorders>
              <w:top w:val="single" w:sz="5" w:space="0" w:color="000000"/>
              <w:left w:val="single" w:sz="5" w:space="0" w:color="000000"/>
              <w:bottom w:val="single" w:sz="5" w:space="0" w:color="000000"/>
              <w:right w:val="single" w:sz="5" w:space="0" w:color="000000"/>
            </w:tcBorders>
          </w:tcPr>
          <w:p w14:paraId="67C9D1BE" w14:textId="77777777" w:rsidR="00957F89" w:rsidRPr="00C73849" w:rsidRDefault="00D92D87">
            <w:pPr>
              <w:pStyle w:val="TableParagraph"/>
              <w:spacing w:line="222" w:lineRule="exact"/>
              <w:ind w:left="151"/>
              <w:rPr>
                <w:rFonts w:ascii="Times New Roman" w:eastAsia="Times New Roman" w:hAnsi="Times New Roman" w:cs="Times New Roman"/>
                <w:sz w:val="20"/>
                <w:szCs w:val="20"/>
              </w:rPr>
            </w:pPr>
            <w:r w:rsidRPr="00C73849">
              <w:rPr>
                <w:rFonts w:ascii="Times New Roman"/>
                <w:sz w:val="20"/>
              </w:rPr>
              <w:t>1 (25%)</w:t>
            </w:r>
          </w:p>
        </w:tc>
        <w:tc>
          <w:tcPr>
            <w:tcW w:w="970" w:type="dxa"/>
            <w:tcBorders>
              <w:top w:val="single" w:sz="5" w:space="0" w:color="000000"/>
              <w:left w:val="single" w:sz="5" w:space="0" w:color="000000"/>
              <w:bottom w:val="single" w:sz="5" w:space="0" w:color="000000"/>
              <w:right w:val="single" w:sz="5" w:space="0" w:color="000000"/>
            </w:tcBorders>
          </w:tcPr>
          <w:p w14:paraId="448048B4"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2</w:t>
            </w:r>
          </w:p>
        </w:tc>
        <w:tc>
          <w:tcPr>
            <w:tcW w:w="967" w:type="dxa"/>
            <w:tcBorders>
              <w:top w:val="single" w:sz="5" w:space="0" w:color="000000"/>
              <w:left w:val="single" w:sz="5" w:space="0" w:color="000000"/>
              <w:bottom w:val="single" w:sz="5" w:space="0" w:color="000000"/>
              <w:right w:val="single" w:sz="5" w:space="0" w:color="000000"/>
            </w:tcBorders>
          </w:tcPr>
          <w:p w14:paraId="087203B3" w14:textId="77777777" w:rsidR="00957F89" w:rsidRPr="00C73849" w:rsidRDefault="00D92D87">
            <w:pPr>
              <w:pStyle w:val="TableParagraph"/>
              <w:spacing w:line="222" w:lineRule="exact"/>
              <w:ind w:left="201"/>
              <w:rPr>
                <w:rFonts w:ascii="Times New Roman" w:eastAsia="Times New Roman" w:hAnsi="Times New Roman" w:cs="Times New Roman"/>
                <w:sz w:val="20"/>
                <w:szCs w:val="20"/>
              </w:rPr>
            </w:pPr>
            <w:r w:rsidRPr="00C73849">
              <w:rPr>
                <w:rFonts w:ascii="Times New Roman"/>
                <w:sz w:val="20"/>
              </w:rPr>
              <w:t>0 (0%)</w:t>
            </w:r>
          </w:p>
        </w:tc>
        <w:tc>
          <w:tcPr>
            <w:tcW w:w="970" w:type="dxa"/>
            <w:tcBorders>
              <w:top w:val="single" w:sz="5" w:space="0" w:color="000000"/>
              <w:left w:val="single" w:sz="5" w:space="0" w:color="000000"/>
              <w:bottom w:val="single" w:sz="5" w:space="0" w:color="000000"/>
              <w:right w:val="single" w:sz="5" w:space="0" w:color="000000"/>
            </w:tcBorders>
          </w:tcPr>
          <w:p w14:paraId="1904A97F"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0</w:t>
            </w:r>
          </w:p>
        </w:tc>
        <w:tc>
          <w:tcPr>
            <w:tcW w:w="967" w:type="dxa"/>
            <w:tcBorders>
              <w:top w:val="single" w:sz="5" w:space="0" w:color="000000"/>
              <w:left w:val="single" w:sz="5" w:space="0" w:color="000000"/>
              <w:bottom w:val="single" w:sz="5" w:space="0" w:color="000000"/>
              <w:right w:val="single" w:sz="5" w:space="0" w:color="000000"/>
            </w:tcBorders>
          </w:tcPr>
          <w:p w14:paraId="62E71AD7" w14:textId="77777777" w:rsidR="00957F89" w:rsidRPr="00C73849" w:rsidRDefault="00D92D87">
            <w:pPr>
              <w:pStyle w:val="TableParagraph"/>
              <w:spacing w:line="222" w:lineRule="exact"/>
              <w:ind w:left="151"/>
              <w:rPr>
                <w:rFonts w:ascii="Times New Roman" w:eastAsia="Times New Roman" w:hAnsi="Times New Roman" w:cs="Times New Roman"/>
                <w:sz w:val="20"/>
                <w:szCs w:val="20"/>
              </w:rPr>
            </w:pPr>
            <w:r w:rsidRPr="00C73849">
              <w:rPr>
                <w:rFonts w:ascii="Times New Roman"/>
                <w:sz w:val="20"/>
              </w:rPr>
              <w:t>3 (75%)</w:t>
            </w:r>
          </w:p>
        </w:tc>
        <w:tc>
          <w:tcPr>
            <w:tcW w:w="970" w:type="dxa"/>
            <w:tcBorders>
              <w:top w:val="single" w:sz="5" w:space="0" w:color="000000"/>
              <w:left w:val="single" w:sz="5" w:space="0" w:color="000000"/>
              <w:bottom w:val="single" w:sz="5" w:space="0" w:color="000000"/>
              <w:right w:val="single" w:sz="5" w:space="0" w:color="000000"/>
            </w:tcBorders>
          </w:tcPr>
          <w:p w14:paraId="56FDA2AA" w14:textId="77777777" w:rsidR="00957F89" w:rsidRPr="00C73849" w:rsidRDefault="00D92D87">
            <w:pPr>
              <w:pStyle w:val="TableParagraph"/>
              <w:spacing w:line="222" w:lineRule="exact"/>
              <w:ind w:left="1"/>
              <w:jc w:val="center"/>
              <w:rPr>
                <w:rFonts w:ascii="Times New Roman" w:eastAsia="Times New Roman" w:hAnsi="Times New Roman" w:cs="Times New Roman"/>
                <w:sz w:val="20"/>
                <w:szCs w:val="20"/>
              </w:rPr>
            </w:pPr>
            <w:r w:rsidRPr="00C73849">
              <w:rPr>
                <w:rFonts w:ascii="Times New Roman"/>
                <w:sz w:val="20"/>
              </w:rPr>
              <w:t>3</w:t>
            </w:r>
          </w:p>
        </w:tc>
        <w:tc>
          <w:tcPr>
            <w:tcW w:w="970" w:type="dxa"/>
            <w:tcBorders>
              <w:top w:val="single" w:sz="5" w:space="0" w:color="000000"/>
              <w:left w:val="single" w:sz="5" w:space="0" w:color="000000"/>
              <w:bottom w:val="single" w:sz="5" w:space="0" w:color="000000"/>
              <w:right w:val="single" w:sz="5" w:space="0" w:color="000000"/>
            </w:tcBorders>
          </w:tcPr>
          <w:p w14:paraId="5B563790" w14:textId="77777777" w:rsidR="00957F89" w:rsidRPr="00C73849" w:rsidRDefault="00D92D87">
            <w:pPr>
              <w:pStyle w:val="TableParagraph"/>
              <w:spacing w:line="222" w:lineRule="exact"/>
              <w:ind w:left="153"/>
              <w:rPr>
                <w:rFonts w:ascii="Times New Roman" w:eastAsia="Times New Roman" w:hAnsi="Times New Roman" w:cs="Times New Roman"/>
                <w:sz w:val="20"/>
                <w:szCs w:val="20"/>
              </w:rPr>
            </w:pPr>
            <w:r w:rsidRPr="00C73849">
              <w:rPr>
                <w:rFonts w:ascii="Times New Roman"/>
                <w:sz w:val="20"/>
              </w:rPr>
              <w:t>1 (25%)</w:t>
            </w:r>
          </w:p>
        </w:tc>
        <w:tc>
          <w:tcPr>
            <w:tcW w:w="967" w:type="dxa"/>
            <w:tcBorders>
              <w:top w:val="single" w:sz="5" w:space="0" w:color="000000"/>
              <w:left w:val="single" w:sz="5" w:space="0" w:color="000000"/>
              <w:bottom w:val="single" w:sz="5" w:space="0" w:color="000000"/>
              <w:right w:val="single" w:sz="5" w:space="0" w:color="000000"/>
            </w:tcBorders>
          </w:tcPr>
          <w:p w14:paraId="159E670E"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3</w:t>
            </w:r>
          </w:p>
        </w:tc>
        <w:tc>
          <w:tcPr>
            <w:tcW w:w="970" w:type="dxa"/>
            <w:tcBorders>
              <w:top w:val="single" w:sz="5" w:space="0" w:color="000000"/>
              <w:left w:val="single" w:sz="5" w:space="0" w:color="000000"/>
              <w:bottom w:val="single" w:sz="5" w:space="0" w:color="000000"/>
              <w:right w:val="single" w:sz="5" w:space="0" w:color="000000"/>
            </w:tcBorders>
          </w:tcPr>
          <w:p w14:paraId="78E45275" w14:textId="77777777" w:rsidR="00957F89" w:rsidRPr="00C73849" w:rsidRDefault="00D92D87">
            <w:pPr>
              <w:pStyle w:val="TableParagraph"/>
              <w:spacing w:line="222" w:lineRule="exact"/>
              <w:ind w:left="153"/>
              <w:rPr>
                <w:rFonts w:ascii="Times New Roman" w:eastAsia="Times New Roman" w:hAnsi="Times New Roman" w:cs="Times New Roman"/>
                <w:sz w:val="20"/>
                <w:szCs w:val="20"/>
              </w:rPr>
            </w:pPr>
            <w:r w:rsidRPr="00C73849">
              <w:rPr>
                <w:rFonts w:ascii="Times New Roman"/>
                <w:sz w:val="20"/>
              </w:rPr>
              <w:t>1 (25%)</w:t>
            </w:r>
          </w:p>
        </w:tc>
        <w:tc>
          <w:tcPr>
            <w:tcW w:w="967" w:type="dxa"/>
            <w:tcBorders>
              <w:top w:val="single" w:sz="5" w:space="0" w:color="000000"/>
              <w:left w:val="single" w:sz="5" w:space="0" w:color="000000"/>
              <w:bottom w:val="single" w:sz="5" w:space="0" w:color="000000"/>
              <w:right w:val="single" w:sz="5" w:space="0" w:color="000000"/>
            </w:tcBorders>
          </w:tcPr>
          <w:p w14:paraId="6A3C528E"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1</w:t>
            </w:r>
          </w:p>
        </w:tc>
        <w:tc>
          <w:tcPr>
            <w:tcW w:w="970" w:type="dxa"/>
            <w:tcBorders>
              <w:top w:val="single" w:sz="5" w:space="0" w:color="000000"/>
              <w:left w:val="single" w:sz="5" w:space="0" w:color="000000"/>
              <w:bottom w:val="single" w:sz="5" w:space="0" w:color="000000"/>
              <w:right w:val="single" w:sz="5" w:space="0" w:color="000000"/>
            </w:tcBorders>
          </w:tcPr>
          <w:p w14:paraId="2737FBC3" w14:textId="77777777" w:rsidR="00957F89" w:rsidRPr="00C73849" w:rsidRDefault="00D92D87">
            <w:pPr>
              <w:pStyle w:val="TableParagraph"/>
              <w:spacing w:line="222" w:lineRule="exact"/>
              <w:ind w:left="153"/>
              <w:rPr>
                <w:rFonts w:ascii="Times New Roman" w:eastAsia="Times New Roman" w:hAnsi="Times New Roman" w:cs="Times New Roman"/>
                <w:sz w:val="20"/>
                <w:szCs w:val="20"/>
              </w:rPr>
            </w:pPr>
            <w:r w:rsidRPr="00C73849">
              <w:rPr>
                <w:rFonts w:ascii="Times New Roman"/>
                <w:sz w:val="20"/>
              </w:rPr>
              <w:t>1 (10%)</w:t>
            </w:r>
          </w:p>
        </w:tc>
        <w:tc>
          <w:tcPr>
            <w:tcW w:w="970" w:type="dxa"/>
            <w:tcBorders>
              <w:top w:val="single" w:sz="5" w:space="0" w:color="000000"/>
              <w:left w:val="single" w:sz="5" w:space="0" w:color="000000"/>
              <w:bottom w:val="single" w:sz="5" w:space="0" w:color="000000"/>
              <w:right w:val="single" w:sz="12" w:space="0" w:color="000000"/>
            </w:tcBorders>
          </w:tcPr>
          <w:p w14:paraId="29C22A14" w14:textId="77777777" w:rsidR="00957F89" w:rsidRPr="00C73849" w:rsidRDefault="00D92D87">
            <w:pPr>
              <w:pStyle w:val="TableParagraph"/>
              <w:spacing w:line="222" w:lineRule="exact"/>
              <w:ind w:left="11"/>
              <w:jc w:val="center"/>
              <w:rPr>
                <w:rFonts w:ascii="Times New Roman" w:eastAsia="Times New Roman" w:hAnsi="Times New Roman" w:cs="Times New Roman"/>
                <w:sz w:val="20"/>
                <w:szCs w:val="20"/>
              </w:rPr>
            </w:pPr>
            <w:r w:rsidRPr="00C73849">
              <w:rPr>
                <w:rFonts w:ascii="Times New Roman"/>
                <w:sz w:val="20"/>
              </w:rPr>
              <w:t>1</w:t>
            </w:r>
          </w:p>
        </w:tc>
      </w:tr>
      <w:tr w:rsidR="00957F89" w:rsidRPr="00C73849" w14:paraId="5DA0D42B" w14:textId="77777777">
        <w:trPr>
          <w:trHeight w:hRule="exact" w:val="240"/>
        </w:trPr>
        <w:tc>
          <w:tcPr>
            <w:tcW w:w="1526" w:type="dxa"/>
            <w:tcBorders>
              <w:top w:val="single" w:sz="5" w:space="0" w:color="000000"/>
              <w:left w:val="single" w:sz="12" w:space="0" w:color="000000"/>
              <w:bottom w:val="single" w:sz="5" w:space="0" w:color="000000"/>
              <w:right w:val="single" w:sz="5" w:space="0" w:color="000000"/>
            </w:tcBorders>
          </w:tcPr>
          <w:p w14:paraId="400548EF" w14:textId="77777777" w:rsidR="00957F89" w:rsidRPr="00C73849" w:rsidRDefault="00D92D87">
            <w:pPr>
              <w:pStyle w:val="TableParagraph"/>
              <w:spacing w:line="227" w:lineRule="exact"/>
              <w:ind w:left="92"/>
              <w:rPr>
                <w:rFonts w:ascii="Times New Roman" w:eastAsia="Times New Roman" w:hAnsi="Times New Roman" w:cs="Times New Roman"/>
                <w:sz w:val="20"/>
                <w:szCs w:val="20"/>
              </w:rPr>
            </w:pPr>
            <w:r w:rsidRPr="00C73849">
              <w:rPr>
                <w:rFonts w:ascii="Times New Roman"/>
                <w:b/>
                <w:sz w:val="20"/>
              </w:rPr>
              <w:t>Intensity</w:t>
            </w:r>
          </w:p>
        </w:tc>
        <w:tc>
          <w:tcPr>
            <w:tcW w:w="967" w:type="dxa"/>
            <w:tcBorders>
              <w:top w:val="single" w:sz="5" w:space="0" w:color="000000"/>
              <w:left w:val="single" w:sz="5" w:space="0" w:color="000000"/>
              <w:bottom w:val="single" w:sz="5" w:space="0" w:color="000000"/>
              <w:right w:val="single" w:sz="5" w:space="0" w:color="000000"/>
            </w:tcBorders>
          </w:tcPr>
          <w:p w14:paraId="25CBC421" w14:textId="77777777" w:rsidR="00957F89" w:rsidRPr="00C73849" w:rsidRDefault="00957F89"/>
        </w:tc>
        <w:tc>
          <w:tcPr>
            <w:tcW w:w="970" w:type="dxa"/>
            <w:tcBorders>
              <w:top w:val="single" w:sz="5" w:space="0" w:color="000000"/>
              <w:left w:val="single" w:sz="5" w:space="0" w:color="000000"/>
              <w:bottom w:val="single" w:sz="5" w:space="0" w:color="000000"/>
              <w:right w:val="single" w:sz="5" w:space="0" w:color="000000"/>
            </w:tcBorders>
          </w:tcPr>
          <w:p w14:paraId="152FEE86" w14:textId="77777777" w:rsidR="00957F89" w:rsidRPr="00C73849" w:rsidRDefault="00957F89"/>
        </w:tc>
        <w:tc>
          <w:tcPr>
            <w:tcW w:w="967" w:type="dxa"/>
            <w:tcBorders>
              <w:top w:val="single" w:sz="5" w:space="0" w:color="000000"/>
              <w:left w:val="single" w:sz="5" w:space="0" w:color="000000"/>
              <w:bottom w:val="single" w:sz="5" w:space="0" w:color="000000"/>
              <w:right w:val="single" w:sz="5" w:space="0" w:color="000000"/>
            </w:tcBorders>
          </w:tcPr>
          <w:p w14:paraId="6ADE378F" w14:textId="77777777" w:rsidR="00957F89" w:rsidRPr="00C73849" w:rsidRDefault="00957F89"/>
        </w:tc>
        <w:tc>
          <w:tcPr>
            <w:tcW w:w="970" w:type="dxa"/>
            <w:tcBorders>
              <w:top w:val="single" w:sz="5" w:space="0" w:color="000000"/>
              <w:left w:val="single" w:sz="5" w:space="0" w:color="000000"/>
              <w:bottom w:val="single" w:sz="5" w:space="0" w:color="000000"/>
              <w:right w:val="single" w:sz="5" w:space="0" w:color="000000"/>
            </w:tcBorders>
          </w:tcPr>
          <w:p w14:paraId="6A066195" w14:textId="77777777" w:rsidR="00957F89" w:rsidRPr="00C73849" w:rsidRDefault="00957F89"/>
        </w:tc>
        <w:tc>
          <w:tcPr>
            <w:tcW w:w="967" w:type="dxa"/>
            <w:tcBorders>
              <w:top w:val="single" w:sz="5" w:space="0" w:color="000000"/>
              <w:left w:val="single" w:sz="5" w:space="0" w:color="000000"/>
              <w:bottom w:val="single" w:sz="5" w:space="0" w:color="000000"/>
              <w:right w:val="single" w:sz="5" w:space="0" w:color="000000"/>
            </w:tcBorders>
          </w:tcPr>
          <w:p w14:paraId="11DA7C0E" w14:textId="77777777" w:rsidR="00957F89" w:rsidRPr="00C73849" w:rsidRDefault="00957F89"/>
        </w:tc>
        <w:tc>
          <w:tcPr>
            <w:tcW w:w="970" w:type="dxa"/>
            <w:tcBorders>
              <w:top w:val="single" w:sz="5" w:space="0" w:color="000000"/>
              <w:left w:val="single" w:sz="5" w:space="0" w:color="000000"/>
              <w:bottom w:val="single" w:sz="5" w:space="0" w:color="000000"/>
              <w:right w:val="single" w:sz="5" w:space="0" w:color="000000"/>
            </w:tcBorders>
          </w:tcPr>
          <w:p w14:paraId="05D5E048" w14:textId="77777777" w:rsidR="00957F89" w:rsidRPr="00C73849" w:rsidRDefault="00957F89"/>
        </w:tc>
        <w:tc>
          <w:tcPr>
            <w:tcW w:w="970" w:type="dxa"/>
            <w:tcBorders>
              <w:top w:val="single" w:sz="5" w:space="0" w:color="000000"/>
              <w:left w:val="single" w:sz="5" w:space="0" w:color="000000"/>
              <w:bottom w:val="single" w:sz="5" w:space="0" w:color="000000"/>
              <w:right w:val="single" w:sz="5" w:space="0" w:color="000000"/>
            </w:tcBorders>
          </w:tcPr>
          <w:p w14:paraId="7909F0A9" w14:textId="77777777" w:rsidR="00957F89" w:rsidRPr="00C73849" w:rsidRDefault="00957F89"/>
        </w:tc>
        <w:tc>
          <w:tcPr>
            <w:tcW w:w="967" w:type="dxa"/>
            <w:tcBorders>
              <w:top w:val="single" w:sz="5" w:space="0" w:color="000000"/>
              <w:left w:val="single" w:sz="5" w:space="0" w:color="000000"/>
              <w:bottom w:val="single" w:sz="5" w:space="0" w:color="000000"/>
              <w:right w:val="single" w:sz="5" w:space="0" w:color="000000"/>
            </w:tcBorders>
          </w:tcPr>
          <w:p w14:paraId="0D6280AE" w14:textId="77777777" w:rsidR="00957F89" w:rsidRPr="00C73849" w:rsidRDefault="00957F89"/>
        </w:tc>
        <w:tc>
          <w:tcPr>
            <w:tcW w:w="970" w:type="dxa"/>
            <w:tcBorders>
              <w:top w:val="single" w:sz="5" w:space="0" w:color="000000"/>
              <w:left w:val="single" w:sz="5" w:space="0" w:color="000000"/>
              <w:bottom w:val="single" w:sz="5" w:space="0" w:color="000000"/>
              <w:right w:val="single" w:sz="5" w:space="0" w:color="000000"/>
            </w:tcBorders>
          </w:tcPr>
          <w:p w14:paraId="16EF3B4D" w14:textId="77777777" w:rsidR="00957F89" w:rsidRPr="00C73849" w:rsidRDefault="00957F89"/>
        </w:tc>
        <w:tc>
          <w:tcPr>
            <w:tcW w:w="967" w:type="dxa"/>
            <w:tcBorders>
              <w:top w:val="single" w:sz="5" w:space="0" w:color="000000"/>
              <w:left w:val="single" w:sz="5" w:space="0" w:color="000000"/>
              <w:bottom w:val="single" w:sz="5" w:space="0" w:color="000000"/>
              <w:right w:val="single" w:sz="5" w:space="0" w:color="000000"/>
            </w:tcBorders>
          </w:tcPr>
          <w:p w14:paraId="72C2B344" w14:textId="77777777" w:rsidR="00957F89" w:rsidRPr="00C73849" w:rsidRDefault="00957F89"/>
        </w:tc>
        <w:tc>
          <w:tcPr>
            <w:tcW w:w="970" w:type="dxa"/>
            <w:tcBorders>
              <w:top w:val="single" w:sz="5" w:space="0" w:color="000000"/>
              <w:left w:val="single" w:sz="5" w:space="0" w:color="000000"/>
              <w:bottom w:val="single" w:sz="5" w:space="0" w:color="000000"/>
              <w:right w:val="single" w:sz="5" w:space="0" w:color="000000"/>
            </w:tcBorders>
          </w:tcPr>
          <w:p w14:paraId="32641DAF" w14:textId="77777777" w:rsidR="00957F89" w:rsidRPr="00C73849" w:rsidRDefault="00957F89"/>
        </w:tc>
        <w:tc>
          <w:tcPr>
            <w:tcW w:w="970" w:type="dxa"/>
            <w:tcBorders>
              <w:top w:val="single" w:sz="5" w:space="0" w:color="000000"/>
              <w:left w:val="single" w:sz="5" w:space="0" w:color="000000"/>
              <w:bottom w:val="single" w:sz="5" w:space="0" w:color="000000"/>
              <w:right w:val="single" w:sz="12" w:space="0" w:color="000000"/>
            </w:tcBorders>
          </w:tcPr>
          <w:p w14:paraId="45D37E4B" w14:textId="77777777" w:rsidR="00957F89" w:rsidRPr="00C73849" w:rsidRDefault="00957F89"/>
        </w:tc>
      </w:tr>
      <w:tr w:rsidR="00957F89" w:rsidRPr="00C73849" w14:paraId="7520BFA5" w14:textId="77777777">
        <w:trPr>
          <w:trHeight w:hRule="exact" w:val="240"/>
        </w:trPr>
        <w:tc>
          <w:tcPr>
            <w:tcW w:w="1526" w:type="dxa"/>
            <w:tcBorders>
              <w:top w:val="single" w:sz="5" w:space="0" w:color="000000"/>
              <w:left w:val="single" w:sz="12" w:space="0" w:color="000000"/>
              <w:bottom w:val="single" w:sz="5" w:space="0" w:color="000000"/>
              <w:right w:val="single" w:sz="5" w:space="0" w:color="000000"/>
            </w:tcBorders>
          </w:tcPr>
          <w:p w14:paraId="7DF8560D" w14:textId="77777777" w:rsidR="00957F89" w:rsidRPr="00C73849" w:rsidRDefault="00D92D87">
            <w:pPr>
              <w:pStyle w:val="TableParagraph"/>
              <w:spacing w:line="222" w:lineRule="exact"/>
              <w:ind w:left="375"/>
              <w:rPr>
                <w:rFonts w:ascii="Times New Roman" w:eastAsia="Times New Roman" w:hAnsi="Times New Roman" w:cs="Times New Roman"/>
                <w:sz w:val="20"/>
                <w:szCs w:val="20"/>
              </w:rPr>
            </w:pPr>
            <w:r w:rsidRPr="00C73849">
              <w:rPr>
                <w:rFonts w:ascii="Times New Roman"/>
                <w:sz w:val="20"/>
              </w:rPr>
              <w:t>Mild</w:t>
            </w:r>
          </w:p>
        </w:tc>
        <w:tc>
          <w:tcPr>
            <w:tcW w:w="967" w:type="dxa"/>
            <w:tcBorders>
              <w:top w:val="single" w:sz="5" w:space="0" w:color="000000"/>
              <w:left w:val="single" w:sz="5" w:space="0" w:color="000000"/>
              <w:bottom w:val="single" w:sz="5" w:space="0" w:color="000000"/>
              <w:right w:val="single" w:sz="5" w:space="0" w:color="000000"/>
            </w:tcBorders>
          </w:tcPr>
          <w:p w14:paraId="3B0A2829" w14:textId="77777777" w:rsidR="00957F89" w:rsidRPr="00C73849" w:rsidRDefault="00D92D87">
            <w:pPr>
              <w:pStyle w:val="TableParagraph"/>
              <w:spacing w:line="222" w:lineRule="exact"/>
              <w:ind w:left="150"/>
              <w:rPr>
                <w:rFonts w:ascii="Times New Roman" w:eastAsia="Times New Roman" w:hAnsi="Times New Roman" w:cs="Times New Roman"/>
                <w:sz w:val="20"/>
                <w:szCs w:val="20"/>
              </w:rPr>
            </w:pPr>
            <w:r w:rsidRPr="00C73849">
              <w:rPr>
                <w:rFonts w:ascii="Times New Roman"/>
                <w:sz w:val="20"/>
              </w:rPr>
              <w:t>1 (25%)</w:t>
            </w:r>
          </w:p>
        </w:tc>
        <w:tc>
          <w:tcPr>
            <w:tcW w:w="970" w:type="dxa"/>
            <w:tcBorders>
              <w:top w:val="single" w:sz="5" w:space="0" w:color="000000"/>
              <w:left w:val="single" w:sz="5" w:space="0" w:color="000000"/>
              <w:bottom w:val="single" w:sz="5" w:space="0" w:color="000000"/>
              <w:right w:val="single" w:sz="5" w:space="0" w:color="000000"/>
            </w:tcBorders>
          </w:tcPr>
          <w:p w14:paraId="0FB3750E"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3</w:t>
            </w:r>
          </w:p>
        </w:tc>
        <w:tc>
          <w:tcPr>
            <w:tcW w:w="967" w:type="dxa"/>
            <w:tcBorders>
              <w:top w:val="single" w:sz="5" w:space="0" w:color="000000"/>
              <w:left w:val="single" w:sz="5" w:space="0" w:color="000000"/>
              <w:bottom w:val="single" w:sz="5" w:space="0" w:color="000000"/>
              <w:right w:val="single" w:sz="5" w:space="0" w:color="000000"/>
            </w:tcBorders>
          </w:tcPr>
          <w:p w14:paraId="729E4A7D" w14:textId="77777777" w:rsidR="00957F89" w:rsidRPr="00C73849" w:rsidRDefault="00D92D87">
            <w:pPr>
              <w:pStyle w:val="TableParagraph"/>
              <w:spacing w:line="222" w:lineRule="exact"/>
              <w:ind w:left="150"/>
              <w:rPr>
                <w:rFonts w:ascii="Times New Roman" w:eastAsia="Times New Roman" w:hAnsi="Times New Roman" w:cs="Times New Roman"/>
                <w:sz w:val="20"/>
                <w:szCs w:val="20"/>
              </w:rPr>
            </w:pPr>
            <w:r w:rsidRPr="00C73849">
              <w:rPr>
                <w:rFonts w:ascii="Times New Roman"/>
                <w:sz w:val="20"/>
              </w:rPr>
              <w:t>1 (25%)</w:t>
            </w:r>
          </w:p>
        </w:tc>
        <w:tc>
          <w:tcPr>
            <w:tcW w:w="970" w:type="dxa"/>
            <w:tcBorders>
              <w:top w:val="single" w:sz="5" w:space="0" w:color="000000"/>
              <w:left w:val="single" w:sz="5" w:space="0" w:color="000000"/>
              <w:bottom w:val="single" w:sz="5" w:space="0" w:color="000000"/>
              <w:right w:val="single" w:sz="5" w:space="0" w:color="000000"/>
            </w:tcBorders>
          </w:tcPr>
          <w:p w14:paraId="3D9C844A"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1</w:t>
            </w:r>
          </w:p>
        </w:tc>
        <w:tc>
          <w:tcPr>
            <w:tcW w:w="967" w:type="dxa"/>
            <w:tcBorders>
              <w:top w:val="single" w:sz="5" w:space="0" w:color="000000"/>
              <w:left w:val="single" w:sz="5" w:space="0" w:color="000000"/>
              <w:bottom w:val="single" w:sz="5" w:space="0" w:color="000000"/>
              <w:right w:val="single" w:sz="5" w:space="0" w:color="000000"/>
            </w:tcBorders>
          </w:tcPr>
          <w:p w14:paraId="388BCD7F" w14:textId="77777777" w:rsidR="00957F89" w:rsidRPr="00C73849" w:rsidRDefault="00D92D87">
            <w:pPr>
              <w:pStyle w:val="TableParagraph"/>
              <w:spacing w:line="222" w:lineRule="exact"/>
              <w:ind w:left="150"/>
              <w:rPr>
                <w:rFonts w:ascii="Times New Roman" w:eastAsia="Times New Roman" w:hAnsi="Times New Roman" w:cs="Times New Roman"/>
                <w:sz w:val="20"/>
                <w:szCs w:val="20"/>
              </w:rPr>
            </w:pPr>
            <w:r w:rsidRPr="00C73849">
              <w:rPr>
                <w:rFonts w:ascii="Times New Roman"/>
                <w:sz w:val="20"/>
              </w:rPr>
              <w:t>3 (75%)</w:t>
            </w:r>
          </w:p>
        </w:tc>
        <w:tc>
          <w:tcPr>
            <w:tcW w:w="970" w:type="dxa"/>
            <w:tcBorders>
              <w:top w:val="single" w:sz="5" w:space="0" w:color="000000"/>
              <w:left w:val="single" w:sz="5" w:space="0" w:color="000000"/>
              <w:bottom w:val="single" w:sz="5" w:space="0" w:color="000000"/>
              <w:right w:val="single" w:sz="5" w:space="0" w:color="000000"/>
            </w:tcBorders>
          </w:tcPr>
          <w:p w14:paraId="665746F8"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3</w:t>
            </w:r>
          </w:p>
        </w:tc>
        <w:tc>
          <w:tcPr>
            <w:tcW w:w="970" w:type="dxa"/>
            <w:tcBorders>
              <w:top w:val="single" w:sz="5" w:space="0" w:color="000000"/>
              <w:left w:val="single" w:sz="5" w:space="0" w:color="000000"/>
              <w:bottom w:val="single" w:sz="5" w:space="0" w:color="000000"/>
              <w:right w:val="single" w:sz="5" w:space="0" w:color="000000"/>
            </w:tcBorders>
          </w:tcPr>
          <w:p w14:paraId="3D4A7D06" w14:textId="77777777" w:rsidR="00957F89" w:rsidRPr="00C73849" w:rsidRDefault="00D92D87">
            <w:pPr>
              <w:pStyle w:val="TableParagraph"/>
              <w:spacing w:line="222" w:lineRule="exact"/>
              <w:ind w:left="152"/>
              <w:rPr>
                <w:rFonts w:ascii="Times New Roman" w:eastAsia="Times New Roman" w:hAnsi="Times New Roman" w:cs="Times New Roman"/>
                <w:sz w:val="20"/>
                <w:szCs w:val="20"/>
              </w:rPr>
            </w:pPr>
            <w:r w:rsidRPr="00C73849">
              <w:rPr>
                <w:rFonts w:ascii="Times New Roman"/>
                <w:sz w:val="20"/>
              </w:rPr>
              <w:t>2 (50%)</w:t>
            </w:r>
          </w:p>
        </w:tc>
        <w:tc>
          <w:tcPr>
            <w:tcW w:w="967" w:type="dxa"/>
            <w:tcBorders>
              <w:top w:val="single" w:sz="5" w:space="0" w:color="000000"/>
              <w:left w:val="single" w:sz="5" w:space="0" w:color="000000"/>
              <w:bottom w:val="single" w:sz="5" w:space="0" w:color="000000"/>
              <w:right w:val="single" w:sz="5" w:space="0" w:color="000000"/>
            </w:tcBorders>
          </w:tcPr>
          <w:p w14:paraId="6DAB1C5A"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4</w:t>
            </w:r>
          </w:p>
        </w:tc>
        <w:tc>
          <w:tcPr>
            <w:tcW w:w="970" w:type="dxa"/>
            <w:tcBorders>
              <w:top w:val="single" w:sz="5" w:space="0" w:color="000000"/>
              <w:left w:val="single" w:sz="5" w:space="0" w:color="000000"/>
              <w:bottom w:val="single" w:sz="5" w:space="0" w:color="000000"/>
              <w:right w:val="single" w:sz="5" w:space="0" w:color="000000"/>
            </w:tcBorders>
          </w:tcPr>
          <w:p w14:paraId="586BAC58" w14:textId="77777777" w:rsidR="00957F89" w:rsidRPr="00C73849" w:rsidRDefault="00D92D87">
            <w:pPr>
              <w:pStyle w:val="TableParagraph"/>
              <w:spacing w:line="222" w:lineRule="exact"/>
              <w:ind w:left="152"/>
              <w:rPr>
                <w:rFonts w:ascii="Times New Roman" w:eastAsia="Times New Roman" w:hAnsi="Times New Roman" w:cs="Times New Roman"/>
                <w:sz w:val="20"/>
                <w:szCs w:val="20"/>
              </w:rPr>
            </w:pPr>
            <w:r w:rsidRPr="00C73849">
              <w:rPr>
                <w:rFonts w:ascii="Times New Roman"/>
                <w:sz w:val="20"/>
              </w:rPr>
              <w:t>3 (75%)</w:t>
            </w:r>
          </w:p>
        </w:tc>
        <w:tc>
          <w:tcPr>
            <w:tcW w:w="967" w:type="dxa"/>
            <w:tcBorders>
              <w:top w:val="single" w:sz="5" w:space="0" w:color="000000"/>
              <w:left w:val="single" w:sz="5" w:space="0" w:color="000000"/>
              <w:bottom w:val="single" w:sz="5" w:space="0" w:color="000000"/>
              <w:right w:val="single" w:sz="5" w:space="0" w:color="000000"/>
            </w:tcBorders>
          </w:tcPr>
          <w:p w14:paraId="35BF8B5A"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3</w:t>
            </w:r>
          </w:p>
        </w:tc>
        <w:tc>
          <w:tcPr>
            <w:tcW w:w="970" w:type="dxa"/>
            <w:tcBorders>
              <w:top w:val="single" w:sz="5" w:space="0" w:color="000000"/>
              <w:left w:val="single" w:sz="5" w:space="0" w:color="000000"/>
              <w:bottom w:val="single" w:sz="5" w:space="0" w:color="000000"/>
              <w:right w:val="single" w:sz="5" w:space="0" w:color="000000"/>
            </w:tcBorders>
          </w:tcPr>
          <w:p w14:paraId="1051DE4E" w14:textId="77777777" w:rsidR="00957F89" w:rsidRPr="00C73849" w:rsidRDefault="00D92D87">
            <w:pPr>
              <w:pStyle w:val="TableParagraph"/>
              <w:spacing w:line="222" w:lineRule="exact"/>
              <w:ind w:left="152"/>
              <w:rPr>
                <w:rFonts w:ascii="Times New Roman" w:eastAsia="Times New Roman" w:hAnsi="Times New Roman" w:cs="Times New Roman"/>
                <w:sz w:val="20"/>
                <w:szCs w:val="20"/>
              </w:rPr>
            </w:pPr>
            <w:r w:rsidRPr="00C73849">
              <w:rPr>
                <w:rFonts w:ascii="Times New Roman"/>
                <w:sz w:val="20"/>
              </w:rPr>
              <w:t>1 (10%)</w:t>
            </w:r>
          </w:p>
        </w:tc>
        <w:tc>
          <w:tcPr>
            <w:tcW w:w="970" w:type="dxa"/>
            <w:tcBorders>
              <w:top w:val="single" w:sz="5" w:space="0" w:color="000000"/>
              <w:left w:val="single" w:sz="5" w:space="0" w:color="000000"/>
              <w:bottom w:val="single" w:sz="5" w:space="0" w:color="000000"/>
              <w:right w:val="single" w:sz="12" w:space="0" w:color="000000"/>
            </w:tcBorders>
          </w:tcPr>
          <w:p w14:paraId="2FCA0B50" w14:textId="77777777" w:rsidR="00957F89" w:rsidRPr="00C73849" w:rsidRDefault="00D92D87">
            <w:pPr>
              <w:pStyle w:val="TableParagraph"/>
              <w:spacing w:line="222" w:lineRule="exact"/>
              <w:ind w:left="9"/>
              <w:jc w:val="center"/>
              <w:rPr>
                <w:rFonts w:ascii="Times New Roman" w:eastAsia="Times New Roman" w:hAnsi="Times New Roman" w:cs="Times New Roman"/>
                <w:sz w:val="20"/>
                <w:szCs w:val="20"/>
              </w:rPr>
            </w:pPr>
            <w:r w:rsidRPr="00C73849">
              <w:rPr>
                <w:rFonts w:ascii="Times New Roman"/>
                <w:sz w:val="20"/>
              </w:rPr>
              <w:t>2</w:t>
            </w:r>
          </w:p>
        </w:tc>
      </w:tr>
      <w:tr w:rsidR="00957F89" w:rsidRPr="00C73849" w14:paraId="3B085975" w14:textId="77777777">
        <w:trPr>
          <w:trHeight w:hRule="exact" w:val="240"/>
        </w:trPr>
        <w:tc>
          <w:tcPr>
            <w:tcW w:w="1526" w:type="dxa"/>
            <w:tcBorders>
              <w:top w:val="single" w:sz="5" w:space="0" w:color="000000"/>
              <w:left w:val="single" w:sz="12" w:space="0" w:color="000000"/>
              <w:bottom w:val="single" w:sz="5" w:space="0" w:color="000000"/>
              <w:right w:val="single" w:sz="5" w:space="0" w:color="000000"/>
            </w:tcBorders>
          </w:tcPr>
          <w:p w14:paraId="04651701" w14:textId="77777777" w:rsidR="00957F89" w:rsidRPr="00C73849" w:rsidRDefault="00D92D87">
            <w:pPr>
              <w:pStyle w:val="TableParagraph"/>
              <w:spacing w:line="222" w:lineRule="exact"/>
              <w:ind w:left="375"/>
              <w:rPr>
                <w:rFonts w:ascii="Times New Roman" w:eastAsia="Times New Roman" w:hAnsi="Times New Roman" w:cs="Times New Roman"/>
                <w:sz w:val="20"/>
                <w:szCs w:val="20"/>
              </w:rPr>
            </w:pPr>
            <w:r w:rsidRPr="00C73849">
              <w:rPr>
                <w:rFonts w:ascii="Times New Roman"/>
                <w:sz w:val="20"/>
              </w:rPr>
              <w:t>Moderate</w:t>
            </w:r>
          </w:p>
        </w:tc>
        <w:tc>
          <w:tcPr>
            <w:tcW w:w="967" w:type="dxa"/>
            <w:tcBorders>
              <w:top w:val="single" w:sz="5" w:space="0" w:color="000000"/>
              <w:left w:val="single" w:sz="5" w:space="0" w:color="000000"/>
              <w:bottom w:val="single" w:sz="5" w:space="0" w:color="000000"/>
              <w:right w:val="single" w:sz="5" w:space="0" w:color="000000"/>
            </w:tcBorders>
          </w:tcPr>
          <w:p w14:paraId="353030CB" w14:textId="77777777" w:rsidR="00957F89" w:rsidRPr="00C73849" w:rsidRDefault="00D92D87">
            <w:pPr>
              <w:pStyle w:val="TableParagraph"/>
              <w:spacing w:line="222" w:lineRule="exact"/>
              <w:ind w:left="150"/>
              <w:rPr>
                <w:rFonts w:ascii="Times New Roman" w:eastAsia="Times New Roman" w:hAnsi="Times New Roman" w:cs="Times New Roman"/>
                <w:sz w:val="20"/>
                <w:szCs w:val="20"/>
              </w:rPr>
            </w:pPr>
            <w:r w:rsidRPr="00C73849">
              <w:rPr>
                <w:rFonts w:ascii="Times New Roman"/>
                <w:sz w:val="20"/>
              </w:rPr>
              <w:t>1 (25%)</w:t>
            </w:r>
          </w:p>
        </w:tc>
        <w:tc>
          <w:tcPr>
            <w:tcW w:w="970" w:type="dxa"/>
            <w:tcBorders>
              <w:top w:val="single" w:sz="5" w:space="0" w:color="000000"/>
              <w:left w:val="single" w:sz="5" w:space="0" w:color="000000"/>
              <w:bottom w:val="single" w:sz="5" w:space="0" w:color="000000"/>
              <w:right w:val="single" w:sz="5" w:space="0" w:color="000000"/>
            </w:tcBorders>
          </w:tcPr>
          <w:p w14:paraId="14CCB4C4"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1</w:t>
            </w:r>
          </w:p>
        </w:tc>
        <w:tc>
          <w:tcPr>
            <w:tcW w:w="967" w:type="dxa"/>
            <w:tcBorders>
              <w:top w:val="single" w:sz="5" w:space="0" w:color="000000"/>
              <w:left w:val="single" w:sz="5" w:space="0" w:color="000000"/>
              <w:bottom w:val="single" w:sz="5" w:space="0" w:color="000000"/>
              <w:right w:val="single" w:sz="5" w:space="0" w:color="000000"/>
            </w:tcBorders>
          </w:tcPr>
          <w:p w14:paraId="0C3F6E97" w14:textId="77777777" w:rsidR="00957F89" w:rsidRPr="00C73849" w:rsidRDefault="00D92D87">
            <w:pPr>
              <w:pStyle w:val="TableParagraph"/>
              <w:spacing w:line="222" w:lineRule="exact"/>
              <w:ind w:left="201"/>
              <w:rPr>
                <w:rFonts w:ascii="Times New Roman" w:eastAsia="Times New Roman" w:hAnsi="Times New Roman" w:cs="Times New Roman"/>
                <w:sz w:val="20"/>
                <w:szCs w:val="20"/>
              </w:rPr>
            </w:pPr>
            <w:r w:rsidRPr="00C73849">
              <w:rPr>
                <w:rFonts w:ascii="Times New Roman"/>
                <w:sz w:val="20"/>
              </w:rPr>
              <w:t>0 (0%)</w:t>
            </w:r>
          </w:p>
        </w:tc>
        <w:tc>
          <w:tcPr>
            <w:tcW w:w="970" w:type="dxa"/>
            <w:tcBorders>
              <w:top w:val="single" w:sz="5" w:space="0" w:color="000000"/>
              <w:left w:val="single" w:sz="5" w:space="0" w:color="000000"/>
              <w:bottom w:val="single" w:sz="5" w:space="0" w:color="000000"/>
              <w:right w:val="single" w:sz="5" w:space="0" w:color="000000"/>
            </w:tcBorders>
          </w:tcPr>
          <w:p w14:paraId="788250D9"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0</w:t>
            </w:r>
          </w:p>
        </w:tc>
        <w:tc>
          <w:tcPr>
            <w:tcW w:w="967" w:type="dxa"/>
            <w:tcBorders>
              <w:top w:val="single" w:sz="5" w:space="0" w:color="000000"/>
              <w:left w:val="single" w:sz="5" w:space="0" w:color="000000"/>
              <w:bottom w:val="single" w:sz="5" w:space="0" w:color="000000"/>
              <w:right w:val="single" w:sz="5" w:space="0" w:color="000000"/>
            </w:tcBorders>
          </w:tcPr>
          <w:p w14:paraId="3A64854D" w14:textId="77777777" w:rsidR="00957F89" w:rsidRPr="00C73849" w:rsidRDefault="00D92D87">
            <w:pPr>
              <w:pStyle w:val="TableParagraph"/>
              <w:spacing w:line="222" w:lineRule="exact"/>
              <w:ind w:left="201"/>
              <w:rPr>
                <w:rFonts w:ascii="Times New Roman" w:eastAsia="Times New Roman" w:hAnsi="Times New Roman" w:cs="Times New Roman"/>
                <w:sz w:val="20"/>
                <w:szCs w:val="20"/>
              </w:rPr>
            </w:pPr>
            <w:r w:rsidRPr="00C73849">
              <w:rPr>
                <w:rFonts w:ascii="Times New Roman"/>
                <w:sz w:val="20"/>
              </w:rPr>
              <w:t>0 (0%)</w:t>
            </w:r>
          </w:p>
        </w:tc>
        <w:tc>
          <w:tcPr>
            <w:tcW w:w="970" w:type="dxa"/>
            <w:tcBorders>
              <w:top w:val="single" w:sz="5" w:space="0" w:color="000000"/>
              <w:left w:val="single" w:sz="5" w:space="0" w:color="000000"/>
              <w:bottom w:val="single" w:sz="5" w:space="0" w:color="000000"/>
              <w:right w:val="single" w:sz="5" w:space="0" w:color="000000"/>
            </w:tcBorders>
          </w:tcPr>
          <w:p w14:paraId="3D5AA72D"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0</w:t>
            </w:r>
          </w:p>
        </w:tc>
        <w:tc>
          <w:tcPr>
            <w:tcW w:w="970" w:type="dxa"/>
            <w:tcBorders>
              <w:top w:val="single" w:sz="5" w:space="0" w:color="000000"/>
              <w:left w:val="single" w:sz="5" w:space="0" w:color="000000"/>
              <w:bottom w:val="single" w:sz="5" w:space="0" w:color="000000"/>
              <w:right w:val="single" w:sz="5" w:space="0" w:color="000000"/>
            </w:tcBorders>
          </w:tcPr>
          <w:p w14:paraId="59CC38C5" w14:textId="77777777" w:rsidR="00957F89" w:rsidRPr="00C73849" w:rsidRDefault="00D92D87">
            <w:pPr>
              <w:pStyle w:val="TableParagraph"/>
              <w:spacing w:line="222" w:lineRule="exact"/>
              <w:ind w:left="203"/>
              <w:rPr>
                <w:rFonts w:ascii="Times New Roman" w:eastAsia="Times New Roman" w:hAnsi="Times New Roman" w:cs="Times New Roman"/>
                <w:sz w:val="20"/>
                <w:szCs w:val="20"/>
              </w:rPr>
            </w:pPr>
            <w:r w:rsidRPr="00C73849">
              <w:rPr>
                <w:rFonts w:ascii="Times New Roman"/>
                <w:sz w:val="20"/>
              </w:rPr>
              <w:t>0 (0%)</w:t>
            </w:r>
          </w:p>
        </w:tc>
        <w:tc>
          <w:tcPr>
            <w:tcW w:w="967" w:type="dxa"/>
            <w:tcBorders>
              <w:top w:val="single" w:sz="5" w:space="0" w:color="000000"/>
              <w:left w:val="single" w:sz="5" w:space="0" w:color="000000"/>
              <w:bottom w:val="single" w:sz="5" w:space="0" w:color="000000"/>
              <w:right w:val="single" w:sz="5" w:space="0" w:color="000000"/>
            </w:tcBorders>
          </w:tcPr>
          <w:p w14:paraId="0AAACC17" w14:textId="77777777" w:rsidR="00957F89" w:rsidRPr="00C73849" w:rsidRDefault="00D92D87">
            <w:pPr>
              <w:pStyle w:val="TableParagraph"/>
              <w:spacing w:line="222" w:lineRule="exact"/>
              <w:ind w:right="1"/>
              <w:jc w:val="center"/>
              <w:rPr>
                <w:rFonts w:ascii="Times New Roman" w:eastAsia="Times New Roman" w:hAnsi="Times New Roman" w:cs="Times New Roman"/>
                <w:sz w:val="20"/>
                <w:szCs w:val="20"/>
              </w:rPr>
            </w:pPr>
            <w:r w:rsidRPr="00C73849">
              <w:rPr>
                <w:rFonts w:ascii="Times New Roman"/>
                <w:sz w:val="20"/>
              </w:rPr>
              <w:t>0</w:t>
            </w:r>
          </w:p>
        </w:tc>
        <w:tc>
          <w:tcPr>
            <w:tcW w:w="970" w:type="dxa"/>
            <w:tcBorders>
              <w:top w:val="single" w:sz="5" w:space="0" w:color="000000"/>
              <w:left w:val="single" w:sz="5" w:space="0" w:color="000000"/>
              <w:bottom w:val="single" w:sz="5" w:space="0" w:color="000000"/>
              <w:right w:val="single" w:sz="5" w:space="0" w:color="000000"/>
            </w:tcBorders>
          </w:tcPr>
          <w:p w14:paraId="55643EC2" w14:textId="77777777" w:rsidR="00957F89" w:rsidRPr="00C73849" w:rsidRDefault="00D92D87">
            <w:pPr>
              <w:pStyle w:val="TableParagraph"/>
              <w:spacing w:line="222" w:lineRule="exact"/>
              <w:ind w:left="204"/>
              <w:rPr>
                <w:rFonts w:ascii="Times New Roman" w:eastAsia="Times New Roman" w:hAnsi="Times New Roman" w:cs="Times New Roman"/>
                <w:sz w:val="20"/>
                <w:szCs w:val="20"/>
              </w:rPr>
            </w:pPr>
            <w:r w:rsidRPr="00C73849">
              <w:rPr>
                <w:rFonts w:ascii="Times New Roman"/>
                <w:sz w:val="20"/>
              </w:rPr>
              <w:t>0 (0%)</w:t>
            </w:r>
          </w:p>
        </w:tc>
        <w:tc>
          <w:tcPr>
            <w:tcW w:w="967" w:type="dxa"/>
            <w:tcBorders>
              <w:top w:val="single" w:sz="5" w:space="0" w:color="000000"/>
              <w:left w:val="single" w:sz="5" w:space="0" w:color="000000"/>
              <w:bottom w:val="single" w:sz="5" w:space="0" w:color="000000"/>
              <w:right w:val="single" w:sz="5" w:space="0" w:color="000000"/>
            </w:tcBorders>
          </w:tcPr>
          <w:p w14:paraId="01C87F5B"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0</w:t>
            </w:r>
          </w:p>
        </w:tc>
        <w:tc>
          <w:tcPr>
            <w:tcW w:w="970" w:type="dxa"/>
            <w:tcBorders>
              <w:top w:val="single" w:sz="5" w:space="0" w:color="000000"/>
              <w:left w:val="single" w:sz="5" w:space="0" w:color="000000"/>
              <w:bottom w:val="single" w:sz="5" w:space="0" w:color="000000"/>
              <w:right w:val="single" w:sz="5" w:space="0" w:color="000000"/>
            </w:tcBorders>
          </w:tcPr>
          <w:p w14:paraId="03CA8899" w14:textId="77777777" w:rsidR="00957F89" w:rsidRPr="00C73849" w:rsidRDefault="00D92D87">
            <w:pPr>
              <w:pStyle w:val="TableParagraph"/>
              <w:spacing w:line="222" w:lineRule="exact"/>
              <w:ind w:left="204"/>
              <w:rPr>
                <w:rFonts w:ascii="Times New Roman" w:eastAsia="Times New Roman" w:hAnsi="Times New Roman" w:cs="Times New Roman"/>
                <w:sz w:val="20"/>
                <w:szCs w:val="20"/>
              </w:rPr>
            </w:pPr>
            <w:r w:rsidRPr="00C73849">
              <w:rPr>
                <w:rFonts w:ascii="Times New Roman"/>
                <w:sz w:val="20"/>
              </w:rPr>
              <w:t>0 (0%)</w:t>
            </w:r>
          </w:p>
        </w:tc>
        <w:tc>
          <w:tcPr>
            <w:tcW w:w="970" w:type="dxa"/>
            <w:tcBorders>
              <w:top w:val="single" w:sz="5" w:space="0" w:color="000000"/>
              <w:left w:val="single" w:sz="5" w:space="0" w:color="000000"/>
              <w:bottom w:val="single" w:sz="5" w:space="0" w:color="000000"/>
              <w:right w:val="single" w:sz="12" w:space="0" w:color="000000"/>
            </w:tcBorders>
          </w:tcPr>
          <w:p w14:paraId="0BE71474" w14:textId="77777777" w:rsidR="00957F89" w:rsidRPr="00C73849" w:rsidRDefault="00D92D87">
            <w:pPr>
              <w:pStyle w:val="TableParagraph"/>
              <w:spacing w:line="222" w:lineRule="exact"/>
              <w:ind w:left="11"/>
              <w:jc w:val="center"/>
              <w:rPr>
                <w:rFonts w:ascii="Times New Roman" w:eastAsia="Times New Roman" w:hAnsi="Times New Roman" w:cs="Times New Roman"/>
                <w:sz w:val="20"/>
                <w:szCs w:val="20"/>
              </w:rPr>
            </w:pPr>
            <w:r w:rsidRPr="00C73849">
              <w:rPr>
                <w:rFonts w:ascii="Times New Roman"/>
                <w:sz w:val="20"/>
              </w:rPr>
              <w:t>0</w:t>
            </w:r>
          </w:p>
        </w:tc>
      </w:tr>
      <w:tr w:rsidR="00957F89" w:rsidRPr="00C73849" w14:paraId="55D783D6" w14:textId="77777777">
        <w:trPr>
          <w:trHeight w:hRule="exact" w:val="240"/>
        </w:trPr>
        <w:tc>
          <w:tcPr>
            <w:tcW w:w="1526" w:type="dxa"/>
            <w:tcBorders>
              <w:top w:val="single" w:sz="5" w:space="0" w:color="000000"/>
              <w:left w:val="single" w:sz="12" w:space="0" w:color="000000"/>
              <w:bottom w:val="single" w:sz="5" w:space="0" w:color="000000"/>
              <w:right w:val="single" w:sz="5" w:space="0" w:color="000000"/>
            </w:tcBorders>
          </w:tcPr>
          <w:p w14:paraId="4A5CB858" w14:textId="77777777" w:rsidR="00957F89" w:rsidRPr="00C73849" w:rsidRDefault="00D92D87">
            <w:pPr>
              <w:pStyle w:val="TableParagraph"/>
              <w:spacing w:line="227" w:lineRule="exact"/>
              <w:ind w:left="92"/>
              <w:rPr>
                <w:rFonts w:ascii="Times New Roman" w:eastAsia="Times New Roman" w:hAnsi="Times New Roman" w:cs="Times New Roman"/>
                <w:sz w:val="20"/>
                <w:szCs w:val="20"/>
              </w:rPr>
            </w:pPr>
            <w:r w:rsidRPr="00C73849">
              <w:rPr>
                <w:rFonts w:ascii="Times New Roman"/>
                <w:b/>
                <w:sz w:val="20"/>
              </w:rPr>
              <w:t>Serious AEs</w:t>
            </w:r>
          </w:p>
        </w:tc>
        <w:tc>
          <w:tcPr>
            <w:tcW w:w="967" w:type="dxa"/>
            <w:tcBorders>
              <w:top w:val="single" w:sz="5" w:space="0" w:color="000000"/>
              <w:left w:val="single" w:sz="5" w:space="0" w:color="000000"/>
              <w:bottom w:val="single" w:sz="5" w:space="0" w:color="000000"/>
              <w:right w:val="single" w:sz="5" w:space="0" w:color="000000"/>
            </w:tcBorders>
          </w:tcPr>
          <w:p w14:paraId="6218EEEB" w14:textId="77777777" w:rsidR="00957F89" w:rsidRPr="00C73849" w:rsidRDefault="00D92D87">
            <w:pPr>
              <w:pStyle w:val="TableParagraph"/>
              <w:spacing w:line="222" w:lineRule="exact"/>
              <w:ind w:left="200"/>
              <w:rPr>
                <w:rFonts w:ascii="Times New Roman" w:eastAsia="Times New Roman" w:hAnsi="Times New Roman" w:cs="Times New Roman"/>
                <w:sz w:val="20"/>
                <w:szCs w:val="20"/>
              </w:rPr>
            </w:pPr>
            <w:r w:rsidRPr="00C73849">
              <w:rPr>
                <w:rFonts w:ascii="Times New Roman"/>
                <w:sz w:val="20"/>
              </w:rPr>
              <w:t>0 (0%)</w:t>
            </w:r>
          </w:p>
        </w:tc>
        <w:tc>
          <w:tcPr>
            <w:tcW w:w="970" w:type="dxa"/>
            <w:tcBorders>
              <w:top w:val="single" w:sz="5" w:space="0" w:color="000000"/>
              <w:left w:val="single" w:sz="5" w:space="0" w:color="000000"/>
              <w:bottom w:val="single" w:sz="5" w:space="0" w:color="000000"/>
              <w:right w:val="single" w:sz="5" w:space="0" w:color="000000"/>
            </w:tcBorders>
          </w:tcPr>
          <w:p w14:paraId="71929D3D"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0</w:t>
            </w:r>
          </w:p>
        </w:tc>
        <w:tc>
          <w:tcPr>
            <w:tcW w:w="967" w:type="dxa"/>
            <w:tcBorders>
              <w:top w:val="single" w:sz="5" w:space="0" w:color="000000"/>
              <w:left w:val="single" w:sz="5" w:space="0" w:color="000000"/>
              <w:bottom w:val="single" w:sz="5" w:space="0" w:color="000000"/>
              <w:right w:val="single" w:sz="5" w:space="0" w:color="000000"/>
            </w:tcBorders>
          </w:tcPr>
          <w:p w14:paraId="20A70E45" w14:textId="77777777" w:rsidR="00957F89" w:rsidRPr="00C73849" w:rsidRDefault="00D92D87">
            <w:pPr>
              <w:pStyle w:val="TableParagraph"/>
              <w:spacing w:line="222" w:lineRule="exact"/>
              <w:ind w:left="200"/>
              <w:rPr>
                <w:rFonts w:ascii="Times New Roman" w:eastAsia="Times New Roman" w:hAnsi="Times New Roman" w:cs="Times New Roman"/>
                <w:sz w:val="20"/>
                <w:szCs w:val="20"/>
              </w:rPr>
            </w:pPr>
            <w:r w:rsidRPr="00C73849">
              <w:rPr>
                <w:rFonts w:ascii="Times New Roman"/>
                <w:sz w:val="20"/>
              </w:rPr>
              <w:t>0 (0%)</w:t>
            </w:r>
          </w:p>
        </w:tc>
        <w:tc>
          <w:tcPr>
            <w:tcW w:w="970" w:type="dxa"/>
            <w:tcBorders>
              <w:top w:val="single" w:sz="5" w:space="0" w:color="000000"/>
              <w:left w:val="single" w:sz="5" w:space="0" w:color="000000"/>
              <w:bottom w:val="single" w:sz="5" w:space="0" w:color="000000"/>
              <w:right w:val="single" w:sz="5" w:space="0" w:color="000000"/>
            </w:tcBorders>
          </w:tcPr>
          <w:p w14:paraId="43DB3021"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0</w:t>
            </w:r>
          </w:p>
        </w:tc>
        <w:tc>
          <w:tcPr>
            <w:tcW w:w="967" w:type="dxa"/>
            <w:tcBorders>
              <w:top w:val="single" w:sz="5" w:space="0" w:color="000000"/>
              <w:left w:val="single" w:sz="5" w:space="0" w:color="000000"/>
              <w:bottom w:val="single" w:sz="5" w:space="0" w:color="000000"/>
              <w:right w:val="single" w:sz="5" w:space="0" w:color="000000"/>
            </w:tcBorders>
          </w:tcPr>
          <w:p w14:paraId="4AD22B45" w14:textId="77777777" w:rsidR="00957F89" w:rsidRPr="00C73849" w:rsidRDefault="00D92D87">
            <w:pPr>
              <w:pStyle w:val="TableParagraph"/>
              <w:spacing w:line="222" w:lineRule="exact"/>
              <w:ind w:left="201"/>
              <w:rPr>
                <w:rFonts w:ascii="Times New Roman" w:eastAsia="Times New Roman" w:hAnsi="Times New Roman" w:cs="Times New Roman"/>
                <w:sz w:val="20"/>
                <w:szCs w:val="20"/>
              </w:rPr>
            </w:pPr>
            <w:r w:rsidRPr="00C73849">
              <w:rPr>
                <w:rFonts w:ascii="Times New Roman"/>
                <w:sz w:val="20"/>
              </w:rPr>
              <w:t>0 (0%)</w:t>
            </w:r>
          </w:p>
        </w:tc>
        <w:tc>
          <w:tcPr>
            <w:tcW w:w="970" w:type="dxa"/>
            <w:tcBorders>
              <w:top w:val="single" w:sz="5" w:space="0" w:color="000000"/>
              <w:left w:val="single" w:sz="5" w:space="0" w:color="000000"/>
              <w:bottom w:val="single" w:sz="5" w:space="0" w:color="000000"/>
              <w:right w:val="single" w:sz="5" w:space="0" w:color="000000"/>
            </w:tcBorders>
          </w:tcPr>
          <w:p w14:paraId="7BD2C244"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0</w:t>
            </w:r>
          </w:p>
        </w:tc>
        <w:tc>
          <w:tcPr>
            <w:tcW w:w="970" w:type="dxa"/>
            <w:tcBorders>
              <w:top w:val="single" w:sz="5" w:space="0" w:color="000000"/>
              <w:left w:val="single" w:sz="5" w:space="0" w:color="000000"/>
              <w:bottom w:val="single" w:sz="5" w:space="0" w:color="000000"/>
              <w:right w:val="single" w:sz="5" w:space="0" w:color="000000"/>
            </w:tcBorders>
          </w:tcPr>
          <w:p w14:paraId="5F73A07D" w14:textId="77777777" w:rsidR="00957F89" w:rsidRPr="00C73849" w:rsidRDefault="00D92D87">
            <w:pPr>
              <w:pStyle w:val="TableParagraph"/>
              <w:spacing w:line="222" w:lineRule="exact"/>
              <w:ind w:left="203"/>
              <w:rPr>
                <w:rFonts w:ascii="Times New Roman" w:eastAsia="Times New Roman" w:hAnsi="Times New Roman" w:cs="Times New Roman"/>
                <w:sz w:val="20"/>
                <w:szCs w:val="20"/>
              </w:rPr>
            </w:pPr>
            <w:r w:rsidRPr="00C73849">
              <w:rPr>
                <w:rFonts w:ascii="Times New Roman"/>
                <w:sz w:val="20"/>
              </w:rPr>
              <w:t>0 (0%)</w:t>
            </w:r>
          </w:p>
        </w:tc>
        <w:tc>
          <w:tcPr>
            <w:tcW w:w="967" w:type="dxa"/>
            <w:tcBorders>
              <w:top w:val="single" w:sz="5" w:space="0" w:color="000000"/>
              <w:left w:val="single" w:sz="5" w:space="0" w:color="000000"/>
              <w:bottom w:val="single" w:sz="5" w:space="0" w:color="000000"/>
              <w:right w:val="single" w:sz="5" w:space="0" w:color="000000"/>
            </w:tcBorders>
          </w:tcPr>
          <w:p w14:paraId="71E0C9ED" w14:textId="77777777" w:rsidR="00957F89" w:rsidRPr="00C73849" w:rsidRDefault="00D92D87">
            <w:pPr>
              <w:pStyle w:val="TableParagraph"/>
              <w:spacing w:line="222" w:lineRule="exact"/>
              <w:ind w:right="1"/>
              <w:jc w:val="center"/>
              <w:rPr>
                <w:rFonts w:ascii="Times New Roman" w:eastAsia="Times New Roman" w:hAnsi="Times New Roman" w:cs="Times New Roman"/>
                <w:sz w:val="20"/>
                <w:szCs w:val="20"/>
              </w:rPr>
            </w:pPr>
            <w:r w:rsidRPr="00C73849">
              <w:rPr>
                <w:rFonts w:ascii="Times New Roman"/>
                <w:sz w:val="20"/>
              </w:rPr>
              <w:t>0</w:t>
            </w:r>
          </w:p>
        </w:tc>
        <w:tc>
          <w:tcPr>
            <w:tcW w:w="970" w:type="dxa"/>
            <w:tcBorders>
              <w:top w:val="single" w:sz="5" w:space="0" w:color="000000"/>
              <w:left w:val="single" w:sz="5" w:space="0" w:color="000000"/>
              <w:bottom w:val="single" w:sz="5" w:space="0" w:color="000000"/>
              <w:right w:val="single" w:sz="5" w:space="0" w:color="000000"/>
            </w:tcBorders>
          </w:tcPr>
          <w:p w14:paraId="57AF863A" w14:textId="77777777" w:rsidR="00957F89" w:rsidRPr="00C73849" w:rsidRDefault="00D92D87">
            <w:pPr>
              <w:pStyle w:val="TableParagraph"/>
              <w:spacing w:line="222" w:lineRule="exact"/>
              <w:ind w:left="203"/>
              <w:rPr>
                <w:rFonts w:ascii="Times New Roman" w:eastAsia="Times New Roman" w:hAnsi="Times New Roman" w:cs="Times New Roman"/>
                <w:sz w:val="20"/>
                <w:szCs w:val="20"/>
              </w:rPr>
            </w:pPr>
            <w:r w:rsidRPr="00C73849">
              <w:rPr>
                <w:rFonts w:ascii="Times New Roman"/>
                <w:sz w:val="20"/>
              </w:rPr>
              <w:t>0 (0%)</w:t>
            </w:r>
          </w:p>
        </w:tc>
        <w:tc>
          <w:tcPr>
            <w:tcW w:w="967" w:type="dxa"/>
            <w:tcBorders>
              <w:top w:val="single" w:sz="5" w:space="0" w:color="000000"/>
              <w:left w:val="single" w:sz="5" w:space="0" w:color="000000"/>
              <w:bottom w:val="single" w:sz="5" w:space="0" w:color="000000"/>
              <w:right w:val="single" w:sz="5" w:space="0" w:color="000000"/>
            </w:tcBorders>
          </w:tcPr>
          <w:p w14:paraId="03BD461A" w14:textId="77777777" w:rsidR="00957F89" w:rsidRPr="00C73849" w:rsidRDefault="00D92D87">
            <w:pPr>
              <w:pStyle w:val="TableParagraph"/>
              <w:spacing w:line="222" w:lineRule="exact"/>
              <w:ind w:right="1"/>
              <w:jc w:val="center"/>
              <w:rPr>
                <w:rFonts w:ascii="Times New Roman" w:eastAsia="Times New Roman" w:hAnsi="Times New Roman" w:cs="Times New Roman"/>
                <w:sz w:val="20"/>
                <w:szCs w:val="20"/>
              </w:rPr>
            </w:pPr>
            <w:r w:rsidRPr="00C73849">
              <w:rPr>
                <w:rFonts w:ascii="Times New Roman"/>
                <w:sz w:val="20"/>
              </w:rPr>
              <w:t>0</w:t>
            </w:r>
          </w:p>
        </w:tc>
        <w:tc>
          <w:tcPr>
            <w:tcW w:w="970" w:type="dxa"/>
            <w:tcBorders>
              <w:top w:val="single" w:sz="5" w:space="0" w:color="000000"/>
              <w:left w:val="single" w:sz="5" w:space="0" w:color="000000"/>
              <w:bottom w:val="single" w:sz="5" w:space="0" w:color="000000"/>
              <w:right w:val="single" w:sz="5" w:space="0" w:color="000000"/>
            </w:tcBorders>
          </w:tcPr>
          <w:p w14:paraId="0F36FD8F" w14:textId="77777777" w:rsidR="00957F89" w:rsidRPr="00C73849" w:rsidRDefault="00D92D87">
            <w:pPr>
              <w:pStyle w:val="TableParagraph"/>
              <w:spacing w:line="222" w:lineRule="exact"/>
              <w:ind w:left="204"/>
              <w:rPr>
                <w:rFonts w:ascii="Times New Roman" w:eastAsia="Times New Roman" w:hAnsi="Times New Roman" w:cs="Times New Roman"/>
                <w:sz w:val="20"/>
                <w:szCs w:val="20"/>
              </w:rPr>
            </w:pPr>
            <w:r w:rsidRPr="00C73849">
              <w:rPr>
                <w:rFonts w:ascii="Times New Roman"/>
                <w:sz w:val="20"/>
              </w:rPr>
              <w:t>0 (0%)</w:t>
            </w:r>
          </w:p>
        </w:tc>
        <w:tc>
          <w:tcPr>
            <w:tcW w:w="970" w:type="dxa"/>
            <w:tcBorders>
              <w:top w:val="single" w:sz="5" w:space="0" w:color="000000"/>
              <w:left w:val="single" w:sz="5" w:space="0" w:color="000000"/>
              <w:bottom w:val="single" w:sz="5" w:space="0" w:color="000000"/>
              <w:right w:val="single" w:sz="12" w:space="0" w:color="000000"/>
            </w:tcBorders>
          </w:tcPr>
          <w:p w14:paraId="4BAA0D92" w14:textId="77777777" w:rsidR="00957F89" w:rsidRPr="00C73849" w:rsidRDefault="00D92D87">
            <w:pPr>
              <w:pStyle w:val="TableParagraph"/>
              <w:spacing w:line="222" w:lineRule="exact"/>
              <w:ind w:left="11"/>
              <w:jc w:val="center"/>
              <w:rPr>
                <w:rFonts w:ascii="Times New Roman" w:eastAsia="Times New Roman" w:hAnsi="Times New Roman" w:cs="Times New Roman"/>
                <w:sz w:val="20"/>
                <w:szCs w:val="20"/>
              </w:rPr>
            </w:pPr>
            <w:r w:rsidRPr="00C73849">
              <w:rPr>
                <w:rFonts w:ascii="Times New Roman"/>
                <w:sz w:val="20"/>
              </w:rPr>
              <w:t>0</w:t>
            </w:r>
          </w:p>
        </w:tc>
      </w:tr>
      <w:tr w:rsidR="00957F89" w:rsidRPr="00C73849" w14:paraId="6C6EBDDC" w14:textId="77777777">
        <w:trPr>
          <w:trHeight w:hRule="exact" w:val="470"/>
        </w:trPr>
        <w:tc>
          <w:tcPr>
            <w:tcW w:w="1526" w:type="dxa"/>
            <w:tcBorders>
              <w:top w:val="single" w:sz="5" w:space="0" w:color="000000"/>
              <w:left w:val="single" w:sz="12" w:space="0" w:color="000000"/>
              <w:bottom w:val="single" w:sz="5" w:space="0" w:color="000000"/>
              <w:right w:val="single" w:sz="5" w:space="0" w:color="000000"/>
            </w:tcBorders>
          </w:tcPr>
          <w:p w14:paraId="47E994DD" w14:textId="77777777" w:rsidR="00957F89" w:rsidRPr="00C73849" w:rsidRDefault="00D92D87">
            <w:pPr>
              <w:pStyle w:val="TableParagraph"/>
              <w:ind w:left="92" w:right="298"/>
              <w:rPr>
                <w:rFonts w:ascii="Times New Roman" w:eastAsia="Times New Roman" w:hAnsi="Times New Roman" w:cs="Times New Roman"/>
                <w:sz w:val="20"/>
                <w:szCs w:val="20"/>
              </w:rPr>
            </w:pPr>
            <w:r w:rsidRPr="00C73849">
              <w:rPr>
                <w:rFonts w:ascii="Times New Roman"/>
                <w:b/>
                <w:w w:val="95"/>
                <w:sz w:val="20"/>
              </w:rPr>
              <w:t>Withdrawals</w:t>
            </w:r>
            <w:r w:rsidRPr="00C73849">
              <w:rPr>
                <w:rFonts w:ascii="Times New Roman"/>
                <w:b/>
                <w:w w:val="99"/>
                <w:sz w:val="20"/>
              </w:rPr>
              <w:t xml:space="preserve"> </w:t>
            </w:r>
            <w:r w:rsidRPr="00C73849">
              <w:rPr>
                <w:rFonts w:ascii="Times New Roman"/>
                <w:b/>
                <w:sz w:val="20"/>
              </w:rPr>
              <w:t>due to AE</w:t>
            </w:r>
          </w:p>
        </w:tc>
        <w:tc>
          <w:tcPr>
            <w:tcW w:w="967" w:type="dxa"/>
            <w:tcBorders>
              <w:top w:val="single" w:sz="5" w:space="0" w:color="000000"/>
              <w:left w:val="single" w:sz="5" w:space="0" w:color="000000"/>
              <w:bottom w:val="single" w:sz="5" w:space="0" w:color="000000"/>
              <w:right w:val="single" w:sz="5" w:space="0" w:color="000000"/>
            </w:tcBorders>
          </w:tcPr>
          <w:p w14:paraId="6700C03E" w14:textId="77777777" w:rsidR="00957F89" w:rsidRPr="00C73849" w:rsidRDefault="00D92D87">
            <w:pPr>
              <w:pStyle w:val="TableParagraph"/>
              <w:spacing w:line="222" w:lineRule="exact"/>
              <w:ind w:left="200"/>
              <w:rPr>
                <w:rFonts w:ascii="Times New Roman" w:eastAsia="Times New Roman" w:hAnsi="Times New Roman" w:cs="Times New Roman"/>
                <w:sz w:val="20"/>
                <w:szCs w:val="20"/>
              </w:rPr>
            </w:pPr>
            <w:r w:rsidRPr="00C73849">
              <w:rPr>
                <w:rFonts w:ascii="Times New Roman"/>
                <w:sz w:val="20"/>
              </w:rPr>
              <w:t>0 (0%)</w:t>
            </w:r>
          </w:p>
        </w:tc>
        <w:tc>
          <w:tcPr>
            <w:tcW w:w="970" w:type="dxa"/>
            <w:tcBorders>
              <w:top w:val="single" w:sz="5" w:space="0" w:color="000000"/>
              <w:left w:val="single" w:sz="5" w:space="0" w:color="000000"/>
              <w:bottom w:val="single" w:sz="5" w:space="0" w:color="000000"/>
              <w:right w:val="single" w:sz="5" w:space="0" w:color="000000"/>
            </w:tcBorders>
          </w:tcPr>
          <w:p w14:paraId="22DC0230"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0</w:t>
            </w:r>
          </w:p>
        </w:tc>
        <w:tc>
          <w:tcPr>
            <w:tcW w:w="967" w:type="dxa"/>
            <w:tcBorders>
              <w:top w:val="single" w:sz="5" w:space="0" w:color="000000"/>
              <w:left w:val="single" w:sz="5" w:space="0" w:color="000000"/>
              <w:bottom w:val="single" w:sz="5" w:space="0" w:color="000000"/>
              <w:right w:val="single" w:sz="5" w:space="0" w:color="000000"/>
            </w:tcBorders>
          </w:tcPr>
          <w:p w14:paraId="6D4CA1FC" w14:textId="77777777" w:rsidR="00957F89" w:rsidRPr="00C73849" w:rsidRDefault="00D92D87">
            <w:pPr>
              <w:pStyle w:val="TableParagraph"/>
              <w:spacing w:line="222" w:lineRule="exact"/>
              <w:ind w:left="200"/>
              <w:rPr>
                <w:rFonts w:ascii="Times New Roman" w:eastAsia="Times New Roman" w:hAnsi="Times New Roman" w:cs="Times New Roman"/>
                <w:sz w:val="20"/>
                <w:szCs w:val="20"/>
              </w:rPr>
            </w:pPr>
            <w:r w:rsidRPr="00C73849">
              <w:rPr>
                <w:rFonts w:ascii="Times New Roman"/>
                <w:sz w:val="20"/>
              </w:rPr>
              <w:t>0 (0%)</w:t>
            </w:r>
          </w:p>
        </w:tc>
        <w:tc>
          <w:tcPr>
            <w:tcW w:w="970" w:type="dxa"/>
            <w:tcBorders>
              <w:top w:val="single" w:sz="5" w:space="0" w:color="000000"/>
              <w:left w:val="single" w:sz="5" w:space="0" w:color="000000"/>
              <w:bottom w:val="single" w:sz="5" w:space="0" w:color="000000"/>
              <w:right w:val="single" w:sz="5" w:space="0" w:color="000000"/>
            </w:tcBorders>
          </w:tcPr>
          <w:p w14:paraId="2FEF2361"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0</w:t>
            </w:r>
          </w:p>
        </w:tc>
        <w:tc>
          <w:tcPr>
            <w:tcW w:w="967" w:type="dxa"/>
            <w:tcBorders>
              <w:top w:val="single" w:sz="5" w:space="0" w:color="000000"/>
              <w:left w:val="single" w:sz="5" w:space="0" w:color="000000"/>
              <w:bottom w:val="single" w:sz="5" w:space="0" w:color="000000"/>
              <w:right w:val="single" w:sz="5" w:space="0" w:color="000000"/>
            </w:tcBorders>
          </w:tcPr>
          <w:p w14:paraId="042D0A32" w14:textId="77777777" w:rsidR="00957F89" w:rsidRPr="00C73849" w:rsidRDefault="00D92D87">
            <w:pPr>
              <w:pStyle w:val="TableParagraph"/>
              <w:spacing w:line="222" w:lineRule="exact"/>
              <w:ind w:left="200"/>
              <w:rPr>
                <w:rFonts w:ascii="Times New Roman" w:eastAsia="Times New Roman" w:hAnsi="Times New Roman" w:cs="Times New Roman"/>
                <w:sz w:val="20"/>
                <w:szCs w:val="20"/>
              </w:rPr>
            </w:pPr>
            <w:r w:rsidRPr="00C73849">
              <w:rPr>
                <w:rFonts w:ascii="Times New Roman"/>
                <w:sz w:val="20"/>
              </w:rPr>
              <w:t>0 (0%)</w:t>
            </w:r>
          </w:p>
        </w:tc>
        <w:tc>
          <w:tcPr>
            <w:tcW w:w="970" w:type="dxa"/>
            <w:tcBorders>
              <w:top w:val="single" w:sz="5" w:space="0" w:color="000000"/>
              <w:left w:val="single" w:sz="5" w:space="0" w:color="000000"/>
              <w:bottom w:val="single" w:sz="5" w:space="0" w:color="000000"/>
              <w:right w:val="single" w:sz="5" w:space="0" w:color="000000"/>
            </w:tcBorders>
          </w:tcPr>
          <w:p w14:paraId="4EECDE5B"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0</w:t>
            </w:r>
          </w:p>
        </w:tc>
        <w:tc>
          <w:tcPr>
            <w:tcW w:w="970" w:type="dxa"/>
            <w:tcBorders>
              <w:top w:val="single" w:sz="5" w:space="0" w:color="000000"/>
              <w:left w:val="single" w:sz="5" w:space="0" w:color="000000"/>
              <w:bottom w:val="single" w:sz="5" w:space="0" w:color="000000"/>
              <w:right w:val="single" w:sz="5" w:space="0" w:color="000000"/>
            </w:tcBorders>
          </w:tcPr>
          <w:p w14:paraId="701B19C1" w14:textId="77777777" w:rsidR="00957F89" w:rsidRPr="00C73849" w:rsidRDefault="00D92D87">
            <w:pPr>
              <w:pStyle w:val="TableParagraph"/>
              <w:spacing w:line="222" w:lineRule="exact"/>
              <w:ind w:left="203"/>
              <w:rPr>
                <w:rFonts w:ascii="Times New Roman" w:eastAsia="Times New Roman" w:hAnsi="Times New Roman" w:cs="Times New Roman"/>
                <w:sz w:val="20"/>
                <w:szCs w:val="20"/>
              </w:rPr>
            </w:pPr>
            <w:r w:rsidRPr="00C73849">
              <w:rPr>
                <w:rFonts w:ascii="Times New Roman"/>
                <w:sz w:val="20"/>
              </w:rPr>
              <w:t>0 (0%)</w:t>
            </w:r>
          </w:p>
        </w:tc>
        <w:tc>
          <w:tcPr>
            <w:tcW w:w="967" w:type="dxa"/>
            <w:tcBorders>
              <w:top w:val="single" w:sz="5" w:space="0" w:color="000000"/>
              <w:left w:val="single" w:sz="5" w:space="0" w:color="000000"/>
              <w:bottom w:val="single" w:sz="5" w:space="0" w:color="000000"/>
              <w:right w:val="single" w:sz="5" w:space="0" w:color="000000"/>
            </w:tcBorders>
          </w:tcPr>
          <w:p w14:paraId="5AB7F301"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0</w:t>
            </w:r>
          </w:p>
        </w:tc>
        <w:tc>
          <w:tcPr>
            <w:tcW w:w="970" w:type="dxa"/>
            <w:tcBorders>
              <w:top w:val="single" w:sz="5" w:space="0" w:color="000000"/>
              <w:left w:val="single" w:sz="5" w:space="0" w:color="000000"/>
              <w:bottom w:val="single" w:sz="5" w:space="0" w:color="000000"/>
              <w:right w:val="single" w:sz="5" w:space="0" w:color="000000"/>
            </w:tcBorders>
          </w:tcPr>
          <w:p w14:paraId="5DF24ACC" w14:textId="77777777" w:rsidR="00957F89" w:rsidRPr="00C73849" w:rsidRDefault="00D92D87">
            <w:pPr>
              <w:pStyle w:val="TableParagraph"/>
              <w:spacing w:line="222" w:lineRule="exact"/>
              <w:ind w:left="203"/>
              <w:rPr>
                <w:rFonts w:ascii="Times New Roman" w:eastAsia="Times New Roman" w:hAnsi="Times New Roman" w:cs="Times New Roman"/>
                <w:sz w:val="20"/>
                <w:szCs w:val="20"/>
              </w:rPr>
            </w:pPr>
            <w:r w:rsidRPr="00C73849">
              <w:rPr>
                <w:rFonts w:ascii="Times New Roman"/>
                <w:sz w:val="20"/>
              </w:rPr>
              <w:t>0 (0%)</w:t>
            </w:r>
          </w:p>
        </w:tc>
        <w:tc>
          <w:tcPr>
            <w:tcW w:w="967" w:type="dxa"/>
            <w:tcBorders>
              <w:top w:val="single" w:sz="5" w:space="0" w:color="000000"/>
              <w:left w:val="single" w:sz="5" w:space="0" w:color="000000"/>
              <w:bottom w:val="single" w:sz="5" w:space="0" w:color="000000"/>
              <w:right w:val="single" w:sz="5" w:space="0" w:color="000000"/>
            </w:tcBorders>
          </w:tcPr>
          <w:p w14:paraId="332C615B" w14:textId="77777777" w:rsidR="00957F89" w:rsidRPr="00C73849" w:rsidRDefault="00D92D87">
            <w:pPr>
              <w:pStyle w:val="TableParagraph"/>
              <w:spacing w:line="222" w:lineRule="exact"/>
              <w:ind w:right="1"/>
              <w:jc w:val="center"/>
              <w:rPr>
                <w:rFonts w:ascii="Times New Roman" w:eastAsia="Times New Roman" w:hAnsi="Times New Roman" w:cs="Times New Roman"/>
                <w:sz w:val="20"/>
                <w:szCs w:val="20"/>
              </w:rPr>
            </w:pPr>
            <w:r w:rsidRPr="00C73849">
              <w:rPr>
                <w:rFonts w:ascii="Times New Roman"/>
                <w:sz w:val="20"/>
              </w:rPr>
              <w:t>0</w:t>
            </w:r>
          </w:p>
        </w:tc>
        <w:tc>
          <w:tcPr>
            <w:tcW w:w="970" w:type="dxa"/>
            <w:tcBorders>
              <w:top w:val="single" w:sz="5" w:space="0" w:color="000000"/>
              <w:left w:val="single" w:sz="5" w:space="0" w:color="000000"/>
              <w:bottom w:val="single" w:sz="5" w:space="0" w:color="000000"/>
              <w:right w:val="single" w:sz="5" w:space="0" w:color="000000"/>
            </w:tcBorders>
          </w:tcPr>
          <w:p w14:paraId="489FB374" w14:textId="77777777" w:rsidR="00957F89" w:rsidRPr="00C73849" w:rsidRDefault="00D92D87">
            <w:pPr>
              <w:pStyle w:val="TableParagraph"/>
              <w:spacing w:line="222" w:lineRule="exact"/>
              <w:ind w:left="203"/>
              <w:rPr>
                <w:rFonts w:ascii="Times New Roman" w:eastAsia="Times New Roman" w:hAnsi="Times New Roman" w:cs="Times New Roman"/>
                <w:sz w:val="20"/>
                <w:szCs w:val="20"/>
              </w:rPr>
            </w:pPr>
            <w:r w:rsidRPr="00C73849">
              <w:rPr>
                <w:rFonts w:ascii="Times New Roman"/>
                <w:sz w:val="20"/>
              </w:rPr>
              <w:t>0 (0%)</w:t>
            </w:r>
          </w:p>
        </w:tc>
        <w:tc>
          <w:tcPr>
            <w:tcW w:w="970" w:type="dxa"/>
            <w:tcBorders>
              <w:top w:val="single" w:sz="5" w:space="0" w:color="000000"/>
              <w:left w:val="single" w:sz="5" w:space="0" w:color="000000"/>
              <w:bottom w:val="single" w:sz="5" w:space="0" w:color="000000"/>
              <w:right w:val="single" w:sz="12" w:space="0" w:color="000000"/>
            </w:tcBorders>
          </w:tcPr>
          <w:p w14:paraId="31B4495A" w14:textId="77777777" w:rsidR="00957F89" w:rsidRPr="00C73849" w:rsidRDefault="00D92D87">
            <w:pPr>
              <w:pStyle w:val="TableParagraph"/>
              <w:spacing w:line="222" w:lineRule="exact"/>
              <w:ind w:left="10"/>
              <w:jc w:val="center"/>
              <w:rPr>
                <w:rFonts w:ascii="Times New Roman" w:eastAsia="Times New Roman" w:hAnsi="Times New Roman" w:cs="Times New Roman"/>
                <w:sz w:val="20"/>
                <w:szCs w:val="20"/>
              </w:rPr>
            </w:pPr>
            <w:r w:rsidRPr="00C73849">
              <w:rPr>
                <w:rFonts w:ascii="Times New Roman"/>
                <w:sz w:val="20"/>
              </w:rPr>
              <w:t>0</w:t>
            </w:r>
          </w:p>
        </w:tc>
      </w:tr>
      <w:tr w:rsidR="00957F89" w:rsidRPr="00C73849" w14:paraId="428BF518" w14:textId="77777777">
        <w:trPr>
          <w:trHeight w:hRule="exact" w:val="250"/>
        </w:trPr>
        <w:tc>
          <w:tcPr>
            <w:tcW w:w="1526" w:type="dxa"/>
            <w:tcBorders>
              <w:top w:val="single" w:sz="5" w:space="0" w:color="000000"/>
              <w:left w:val="single" w:sz="12" w:space="0" w:color="000000"/>
              <w:bottom w:val="single" w:sz="12" w:space="0" w:color="000000"/>
              <w:right w:val="single" w:sz="5" w:space="0" w:color="000000"/>
            </w:tcBorders>
          </w:tcPr>
          <w:p w14:paraId="6F769BA7" w14:textId="77777777" w:rsidR="00957F89" w:rsidRPr="00C73849" w:rsidRDefault="00D92D87">
            <w:pPr>
              <w:pStyle w:val="TableParagraph"/>
              <w:spacing w:line="227" w:lineRule="exact"/>
              <w:ind w:left="92"/>
              <w:rPr>
                <w:rFonts w:ascii="Times New Roman" w:eastAsia="Times New Roman" w:hAnsi="Times New Roman" w:cs="Times New Roman"/>
                <w:sz w:val="20"/>
                <w:szCs w:val="20"/>
              </w:rPr>
            </w:pPr>
            <w:r w:rsidRPr="00C73849">
              <w:rPr>
                <w:rFonts w:ascii="Times New Roman"/>
                <w:b/>
                <w:sz w:val="20"/>
              </w:rPr>
              <w:t>Deaths</w:t>
            </w:r>
          </w:p>
        </w:tc>
        <w:tc>
          <w:tcPr>
            <w:tcW w:w="967" w:type="dxa"/>
            <w:tcBorders>
              <w:top w:val="single" w:sz="5" w:space="0" w:color="000000"/>
              <w:left w:val="single" w:sz="5" w:space="0" w:color="000000"/>
              <w:bottom w:val="single" w:sz="12" w:space="0" w:color="000000"/>
              <w:right w:val="single" w:sz="5" w:space="0" w:color="000000"/>
            </w:tcBorders>
          </w:tcPr>
          <w:p w14:paraId="343E43E3" w14:textId="77777777" w:rsidR="00957F89" w:rsidRPr="00C73849" w:rsidRDefault="00D92D87">
            <w:pPr>
              <w:pStyle w:val="TableParagraph"/>
              <w:spacing w:line="222" w:lineRule="exact"/>
              <w:ind w:left="200"/>
              <w:rPr>
                <w:rFonts w:ascii="Times New Roman" w:eastAsia="Times New Roman" w:hAnsi="Times New Roman" w:cs="Times New Roman"/>
                <w:sz w:val="20"/>
                <w:szCs w:val="20"/>
              </w:rPr>
            </w:pPr>
            <w:r w:rsidRPr="00C73849">
              <w:rPr>
                <w:rFonts w:ascii="Times New Roman"/>
                <w:sz w:val="20"/>
              </w:rPr>
              <w:t>0 (0%)</w:t>
            </w:r>
          </w:p>
        </w:tc>
        <w:tc>
          <w:tcPr>
            <w:tcW w:w="970" w:type="dxa"/>
            <w:tcBorders>
              <w:top w:val="single" w:sz="5" w:space="0" w:color="000000"/>
              <w:left w:val="single" w:sz="5" w:space="0" w:color="000000"/>
              <w:bottom w:val="single" w:sz="12" w:space="0" w:color="000000"/>
              <w:right w:val="single" w:sz="5" w:space="0" w:color="000000"/>
            </w:tcBorders>
          </w:tcPr>
          <w:p w14:paraId="53BF3CCC"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0</w:t>
            </w:r>
          </w:p>
        </w:tc>
        <w:tc>
          <w:tcPr>
            <w:tcW w:w="967" w:type="dxa"/>
            <w:tcBorders>
              <w:top w:val="single" w:sz="5" w:space="0" w:color="000000"/>
              <w:left w:val="single" w:sz="5" w:space="0" w:color="000000"/>
              <w:bottom w:val="single" w:sz="12" w:space="0" w:color="000000"/>
              <w:right w:val="single" w:sz="5" w:space="0" w:color="000000"/>
            </w:tcBorders>
          </w:tcPr>
          <w:p w14:paraId="6A8C3613" w14:textId="77777777" w:rsidR="00957F89" w:rsidRPr="00C73849" w:rsidRDefault="00D92D87">
            <w:pPr>
              <w:pStyle w:val="TableParagraph"/>
              <w:spacing w:line="222" w:lineRule="exact"/>
              <w:ind w:left="200"/>
              <w:rPr>
                <w:rFonts w:ascii="Times New Roman" w:eastAsia="Times New Roman" w:hAnsi="Times New Roman" w:cs="Times New Roman"/>
                <w:sz w:val="20"/>
                <w:szCs w:val="20"/>
              </w:rPr>
            </w:pPr>
            <w:r w:rsidRPr="00C73849">
              <w:rPr>
                <w:rFonts w:ascii="Times New Roman"/>
                <w:sz w:val="20"/>
              </w:rPr>
              <w:t>0 (0%)</w:t>
            </w:r>
          </w:p>
        </w:tc>
        <w:tc>
          <w:tcPr>
            <w:tcW w:w="970" w:type="dxa"/>
            <w:tcBorders>
              <w:top w:val="single" w:sz="5" w:space="0" w:color="000000"/>
              <w:left w:val="single" w:sz="5" w:space="0" w:color="000000"/>
              <w:bottom w:val="single" w:sz="12" w:space="0" w:color="000000"/>
              <w:right w:val="single" w:sz="5" w:space="0" w:color="000000"/>
            </w:tcBorders>
          </w:tcPr>
          <w:p w14:paraId="20035A2F"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0</w:t>
            </w:r>
          </w:p>
        </w:tc>
        <w:tc>
          <w:tcPr>
            <w:tcW w:w="967" w:type="dxa"/>
            <w:tcBorders>
              <w:top w:val="single" w:sz="5" w:space="0" w:color="000000"/>
              <w:left w:val="single" w:sz="5" w:space="0" w:color="000000"/>
              <w:bottom w:val="single" w:sz="12" w:space="0" w:color="000000"/>
              <w:right w:val="single" w:sz="5" w:space="0" w:color="000000"/>
            </w:tcBorders>
          </w:tcPr>
          <w:p w14:paraId="3BA78A67" w14:textId="77777777" w:rsidR="00957F89" w:rsidRPr="00C73849" w:rsidRDefault="00D92D87">
            <w:pPr>
              <w:pStyle w:val="TableParagraph"/>
              <w:spacing w:line="222" w:lineRule="exact"/>
              <w:ind w:left="201"/>
              <w:rPr>
                <w:rFonts w:ascii="Times New Roman" w:eastAsia="Times New Roman" w:hAnsi="Times New Roman" w:cs="Times New Roman"/>
                <w:sz w:val="20"/>
                <w:szCs w:val="20"/>
              </w:rPr>
            </w:pPr>
            <w:r w:rsidRPr="00C73849">
              <w:rPr>
                <w:rFonts w:ascii="Times New Roman"/>
                <w:sz w:val="20"/>
              </w:rPr>
              <w:t>0 (0%)</w:t>
            </w:r>
          </w:p>
        </w:tc>
        <w:tc>
          <w:tcPr>
            <w:tcW w:w="970" w:type="dxa"/>
            <w:tcBorders>
              <w:top w:val="single" w:sz="5" w:space="0" w:color="000000"/>
              <w:left w:val="single" w:sz="5" w:space="0" w:color="000000"/>
              <w:bottom w:val="single" w:sz="12" w:space="0" w:color="000000"/>
              <w:right w:val="single" w:sz="5" w:space="0" w:color="000000"/>
            </w:tcBorders>
          </w:tcPr>
          <w:p w14:paraId="25755647" w14:textId="77777777" w:rsidR="00957F89" w:rsidRPr="00C73849" w:rsidRDefault="00D92D87">
            <w:pPr>
              <w:pStyle w:val="TableParagraph"/>
              <w:spacing w:line="222" w:lineRule="exact"/>
              <w:jc w:val="center"/>
              <w:rPr>
                <w:rFonts w:ascii="Times New Roman" w:eastAsia="Times New Roman" w:hAnsi="Times New Roman" w:cs="Times New Roman"/>
                <w:sz w:val="20"/>
                <w:szCs w:val="20"/>
              </w:rPr>
            </w:pPr>
            <w:r w:rsidRPr="00C73849">
              <w:rPr>
                <w:rFonts w:ascii="Times New Roman"/>
                <w:sz w:val="20"/>
              </w:rPr>
              <w:t>0</w:t>
            </w:r>
          </w:p>
        </w:tc>
        <w:tc>
          <w:tcPr>
            <w:tcW w:w="970" w:type="dxa"/>
            <w:tcBorders>
              <w:top w:val="single" w:sz="5" w:space="0" w:color="000000"/>
              <w:left w:val="single" w:sz="5" w:space="0" w:color="000000"/>
              <w:bottom w:val="single" w:sz="12" w:space="0" w:color="000000"/>
              <w:right w:val="single" w:sz="5" w:space="0" w:color="000000"/>
            </w:tcBorders>
          </w:tcPr>
          <w:p w14:paraId="217BB8DD" w14:textId="77777777" w:rsidR="00957F89" w:rsidRPr="00C73849" w:rsidRDefault="00D92D87">
            <w:pPr>
              <w:pStyle w:val="TableParagraph"/>
              <w:spacing w:line="222" w:lineRule="exact"/>
              <w:ind w:left="203"/>
              <w:rPr>
                <w:rFonts w:ascii="Times New Roman" w:eastAsia="Times New Roman" w:hAnsi="Times New Roman" w:cs="Times New Roman"/>
                <w:sz w:val="20"/>
                <w:szCs w:val="20"/>
              </w:rPr>
            </w:pPr>
            <w:r w:rsidRPr="00C73849">
              <w:rPr>
                <w:rFonts w:ascii="Times New Roman"/>
                <w:sz w:val="20"/>
              </w:rPr>
              <w:t>0 (0%)</w:t>
            </w:r>
          </w:p>
        </w:tc>
        <w:tc>
          <w:tcPr>
            <w:tcW w:w="967" w:type="dxa"/>
            <w:tcBorders>
              <w:top w:val="single" w:sz="5" w:space="0" w:color="000000"/>
              <w:left w:val="single" w:sz="5" w:space="0" w:color="000000"/>
              <w:bottom w:val="single" w:sz="12" w:space="0" w:color="000000"/>
              <w:right w:val="single" w:sz="5" w:space="0" w:color="000000"/>
            </w:tcBorders>
          </w:tcPr>
          <w:p w14:paraId="226FAC50" w14:textId="77777777" w:rsidR="00957F89" w:rsidRPr="00C73849" w:rsidRDefault="00D92D87">
            <w:pPr>
              <w:pStyle w:val="TableParagraph"/>
              <w:spacing w:line="222" w:lineRule="exact"/>
              <w:ind w:right="1"/>
              <w:jc w:val="center"/>
              <w:rPr>
                <w:rFonts w:ascii="Times New Roman" w:eastAsia="Times New Roman" w:hAnsi="Times New Roman" w:cs="Times New Roman"/>
                <w:sz w:val="20"/>
                <w:szCs w:val="20"/>
              </w:rPr>
            </w:pPr>
            <w:r w:rsidRPr="00C73849">
              <w:rPr>
                <w:rFonts w:ascii="Times New Roman"/>
                <w:sz w:val="20"/>
              </w:rPr>
              <w:t>0</w:t>
            </w:r>
          </w:p>
        </w:tc>
        <w:tc>
          <w:tcPr>
            <w:tcW w:w="970" w:type="dxa"/>
            <w:tcBorders>
              <w:top w:val="single" w:sz="5" w:space="0" w:color="000000"/>
              <w:left w:val="single" w:sz="5" w:space="0" w:color="000000"/>
              <w:bottom w:val="single" w:sz="12" w:space="0" w:color="000000"/>
              <w:right w:val="single" w:sz="5" w:space="0" w:color="000000"/>
            </w:tcBorders>
          </w:tcPr>
          <w:p w14:paraId="31322B1E" w14:textId="77777777" w:rsidR="00957F89" w:rsidRPr="00C73849" w:rsidRDefault="00D92D87">
            <w:pPr>
              <w:pStyle w:val="TableParagraph"/>
              <w:spacing w:line="222" w:lineRule="exact"/>
              <w:ind w:left="203"/>
              <w:rPr>
                <w:rFonts w:ascii="Times New Roman" w:eastAsia="Times New Roman" w:hAnsi="Times New Roman" w:cs="Times New Roman"/>
                <w:sz w:val="20"/>
                <w:szCs w:val="20"/>
              </w:rPr>
            </w:pPr>
            <w:r w:rsidRPr="00C73849">
              <w:rPr>
                <w:rFonts w:ascii="Times New Roman"/>
                <w:sz w:val="20"/>
              </w:rPr>
              <w:t>0 (0%)</w:t>
            </w:r>
          </w:p>
        </w:tc>
        <w:tc>
          <w:tcPr>
            <w:tcW w:w="967" w:type="dxa"/>
            <w:tcBorders>
              <w:top w:val="single" w:sz="5" w:space="0" w:color="000000"/>
              <w:left w:val="single" w:sz="5" w:space="0" w:color="000000"/>
              <w:bottom w:val="single" w:sz="12" w:space="0" w:color="000000"/>
              <w:right w:val="single" w:sz="5" w:space="0" w:color="000000"/>
            </w:tcBorders>
          </w:tcPr>
          <w:p w14:paraId="6CACDE42" w14:textId="77777777" w:rsidR="00957F89" w:rsidRPr="00C73849" w:rsidRDefault="00D92D87">
            <w:pPr>
              <w:pStyle w:val="TableParagraph"/>
              <w:spacing w:line="222" w:lineRule="exact"/>
              <w:ind w:right="1"/>
              <w:jc w:val="center"/>
              <w:rPr>
                <w:rFonts w:ascii="Times New Roman" w:eastAsia="Times New Roman" w:hAnsi="Times New Roman" w:cs="Times New Roman"/>
                <w:sz w:val="20"/>
                <w:szCs w:val="20"/>
              </w:rPr>
            </w:pPr>
            <w:r w:rsidRPr="00C73849">
              <w:rPr>
                <w:rFonts w:ascii="Times New Roman"/>
                <w:sz w:val="20"/>
              </w:rPr>
              <w:t>0</w:t>
            </w:r>
          </w:p>
        </w:tc>
        <w:tc>
          <w:tcPr>
            <w:tcW w:w="970" w:type="dxa"/>
            <w:tcBorders>
              <w:top w:val="single" w:sz="5" w:space="0" w:color="000000"/>
              <w:left w:val="single" w:sz="5" w:space="0" w:color="000000"/>
              <w:bottom w:val="single" w:sz="12" w:space="0" w:color="000000"/>
              <w:right w:val="single" w:sz="5" w:space="0" w:color="000000"/>
            </w:tcBorders>
          </w:tcPr>
          <w:p w14:paraId="3ED78B4E" w14:textId="77777777" w:rsidR="00957F89" w:rsidRPr="00C73849" w:rsidRDefault="00D92D87">
            <w:pPr>
              <w:pStyle w:val="TableParagraph"/>
              <w:spacing w:line="222" w:lineRule="exact"/>
              <w:ind w:left="204"/>
              <w:rPr>
                <w:rFonts w:ascii="Times New Roman" w:eastAsia="Times New Roman" w:hAnsi="Times New Roman" w:cs="Times New Roman"/>
                <w:sz w:val="20"/>
                <w:szCs w:val="20"/>
              </w:rPr>
            </w:pPr>
            <w:r w:rsidRPr="00C73849">
              <w:rPr>
                <w:rFonts w:ascii="Times New Roman"/>
                <w:sz w:val="20"/>
              </w:rPr>
              <w:t>0 (0%)</w:t>
            </w:r>
          </w:p>
        </w:tc>
        <w:tc>
          <w:tcPr>
            <w:tcW w:w="970" w:type="dxa"/>
            <w:tcBorders>
              <w:top w:val="single" w:sz="5" w:space="0" w:color="000000"/>
              <w:left w:val="single" w:sz="5" w:space="0" w:color="000000"/>
              <w:bottom w:val="single" w:sz="12" w:space="0" w:color="000000"/>
              <w:right w:val="single" w:sz="12" w:space="0" w:color="000000"/>
            </w:tcBorders>
          </w:tcPr>
          <w:p w14:paraId="6E07F697" w14:textId="77777777" w:rsidR="00957F89" w:rsidRPr="00C73849" w:rsidRDefault="00D92D87">
            <w:pPr>
              <w:pStyle w:val="TableParagraph"/>
              <w:spacing w:line="222" w:lineRule="exact"/>
              <w:ind w:left="11"/>
              <w:jc w:val="center"/>
              <w:rPr>
                <w:rFonts w:ascii="Times New Roman" w:eastAsia="Times New Roman" w:hAnsi="Times New Roman" w:cs="Times New Roman"/>
                <w:sz w:val="20"/>
                <w:szCs w:val="20"/>
              </w:rPr>
            </w:pPr>
            <w:r w:rsidRPr="00C73849">
              <w:rPr>
                <w:rFonts w:ascii="Times New Roman"/>
                <w:sz w:val="20"/>
              </w:rPr>
              <w:t>0</w:t>
            </w:r>
          </w:p>
        </w:tc>
      </w:tr>
    </w:tbl>
    <w:p w14:paraId="0E46657A" w14:textId="77777777" w:rsidR="00957F89" w:rsidRPr="00C73849" w:rsidRDefault="00D92D87">
      <w:pPr>
        <w:spacing w:line="213" w:lineRule="exact"/>
        <w:ind w:left="224"/>
        <w:rPr>
          <w:rFonts w:ascii="Times New Roman" w:eastAsia="Times New Roman" w:hAnsi="Times New Roman" w:cs="Times New Roman"/>
          <w:sz w:val="20"/>
          <w:szCs w:val="20"/>
        </w:rPr>
      </w:pPr>
      <w:r w:rsidRPr="00C73849">
        <w:rPr>
          <w:rFonts w:ascii="Times New Roman"/>
          <w:sz w:val="20"/>
        </w:rPr>
        <w:t>N = Total number of subjects in that treatment group.</w:t>
      </w:r>
    </w:p>
    <w:p w14:paraId="3DAF9EEF" w14:textId="77777777" w:rsidR="00957F89" w:rsidRPr="00C73849" w:rsidRDefault="00D92D87">
      <w:pPr>
        <w:spacing w:line="243" w:lineRule="exact"/>
        <w:ind w:left="224"/>
        <w:rPr>
          <w:rFonts w:ascii="Times New Roman" w:eastAsia="Times New Roman" w:hAnsi="Times New Roman" w:cs="Times New Roman"/>
          <w:sz w:val="20"/>
          <w:szCs w:val="20"/>
        </w:rPr>
      </w:pPr>
      <w:proofErr w:type="gramStart"/>
      <w:r w:rsidRPr="00C73849">
        <w:rPr>
          <w:rFonts w:ascii="Times New Roman"/>
          <w:position w:val="9"/>
          <w:sz w:val="13"/>
        </w:rPr>
        <w:t>a</w:t>
      </w:r>
      <w:r w:rsidR="001E1911">
        <w:rPr>
          <w:rFonts w:ascii="Times New Roman"/>
          <w:position w:val="9"/>
          <w:sz w:val="13"/>
        </w:rPr>
        <w:t xml:space="preserve">  </w:t>
      </w:r>
      <w:r w:rsidRPr="00C73849">
        <w:rPr>
          <w:rFonts w:ascii="Times New Roman"/>
          <w:sz w:val="20"/>
        </w:rPr>
        <w:t>Subjects</w:t>
      </w:r>
      <w:proofErr w:type="gramEnd"/>
      <w:r w:rsidRPr="00C73849">
        <w:rPr>
          <w:rFonts w:ascii="Times New Roman"/>
          <w:sz w:val="20"/>
        </w:rPr>
        <w:t xml:space="preserve"> may have experienced more than 1 AE.</w:t>
      </w:r>
    </w:p>
    <w:p w14:paraId="157117B6" w14:textId="1BCC46F6" w:rsidR="00957F89" w:rsidRDefault="00957F89">
      <w:pPr>
        <w:rPr>
          <w:rFonts w:ascii="Times New Roman" w:eastAsia="Times New Roman" w:hAnsi="Times New Roman" w:cs="Times New Roman"/>
          <w:sz w:val="20"/>
          <w:szCs w:val="20"/>
        </w:rPr>
      </w:pPr>
    </w:p>
    <w:p w14:paraId="0B297F48" w14:textId="77777777" w:rsidR="00373523" w:rsidRDefault="00373523">
      <w:pPr>
        <w:rPr>
          <w:rFonts w:ascii="Times New Roman" w:eastAsia="Times New Roman" w:hAnsi="Times New Roman" w:cs="Times New Roman"/>
          <w:sz w:val="20"/>
          <w:szCs w:val="20"/>
        </w:rPr>
        <w:sectPr w:rsidR="00373523" w:rsidSect="00373523">
          <w:pgSz w:w="16840" w:h="11900" w:orient="landscape" w:code="9"/>
          <w:pgMar w:top="1440" w:right="1440" w:bottom="1440" w:left="1440" w:header="720" w:footer="720" w:gutter="0"/>
          <w:cols w:space="720"/>
          <w:docGrid w:linePitch="299"/>
        </w:sectPr>
      </w:pPr>
    </w:p>
    <w:p w14:paraId="63990612" w14:textId="5204B5E9" w:rsidR="00957F89" w:rsidRPr="00C73849" w:rsidRDefault="00D92D87">
      <w:pPr>
        <w:rPr>
          <w:rFonts w:ascii="Times New Roman" w:eastAsia="Times New Roman" w:hAnsi="Times New Roman" w:cs="Times New Roman"/>
          <w:sz w:val="19"/>
          <w:szCs w:val="19"/>
        </w:rPr>
      </w:pPr>
      <w:r w:rsidRPr="00C73849">
        <w:lastRenderedPageBreak/>
        <w:t>Overall, 11 subjects (37%) experienced a total of 17 AEs. Of the 20 subjects given Pyruvate</w:t>
      </w:r>
      <w:r w:rsidRPr="00C73849">
        <w:rPr>
          <w:w w:val="99"/>
        </w:rPr>
        <w:t xml:space="preserve"> </w:t>
      </w:r>
      <w:r w:rsidRPr="00C73849">
        <w:t>Injection, 10 subjects (50%) experienced 15 AEs. Of the 10 subjects given placebo, 1 subject</w:t>
      </w:r>
      <w:r w:rsidRPr="00C73849">
        <w:rPr>
          <w:w w:val="99"/>
        </w:rPr>
        <w:t xml:space="preserve"> </w:t>
      </w:r>
      <w:r w:rsidRPr="00C73849">
        <w:t xml:space="preserve">(10%) experienced 2 AEs. No SAEs or deaths were </w:t>
      </w:r>
      <w:proofErr w:type="gramStart"/>
      <w:r w:rsidRPr="00C73849">
        <w:t>reported</w:t>
      </w:r>
      <w:proofErr w:type="gramEnd"/>
      <w:r w:rsidRPr="00C73849">
        <w:t xml:space="preserve"> and no subjects were withdrawn due to AEs.</w:t>
      </w:r>
    </w:p>
    <w:p w14:paraId="008AD1FC" w14:textId="77777777" w:rsidR="00957F89" w:rsidRPr="00C73849" w:rsidRDefault="00957F89">
      <w:pPr>
        <w:spacing w:before="8"/>
        <w:rPr>
          <w:rFonts w:ascii="Times New Roman" w:eastAsia="Times New Roman" w:hAnsi="Times New Roman" w:cs="Times New Roman"/>
          <w:sz w:val="31"/>
          <w:szCs w:val="31"/>
        </w:rPr>
      </w:pPr>
    </w:p>
    <w:p w14:paraId="68A6642C" w14:textId="77777777" w:rsidR="00957F89" w:rsidRPr="00C73849" w:rsidRDefault="00D92D87">
      <w:pPr>
        <w:ind w:left="1300" w:right="512" w:hanging="1078"/>
        <w:rPr>
          <w:rFonts w:ascii="Times New Roman" w:eastAsia="Times New Roman" w:hAnsi="Times New Roman" w:cs="Times New Roman"/>
          <w:sz w:val="24"/>
          <w:szCs w:val="24"/>
        </w:rPr>
      </w:pPr>
      <w:r w:rsidRPr="00C73849">
        <w:rPr>
          <w:rFonts w:ascii="Times New Roman"/>
          <w:b/>
          <w:sz w:val="24"/>
        </w:rPr>
        <w:t>Summary of AE Duration, Intensity, Relationship to Investigational Medicinal</w:t>
      </w:r>
      <w:r w:rsidRPr="00C73849">
        <w:rPr>
          <w:rFonts w:ascii="Times New Roman"/>
          <w:b/>
          <w:w w:val="99"/>
          <w:sz w:val="24"/>
        </w:rPr>
        <w:t xml:space="preserve"> </w:t>
      </w:r>
      <w:r w:rsidRPr="00C73849">
        <w:rPr>
          <w:rFonts w:ascii="Times New Roman"/>
          <w:b/>
          <w:sz w:val="24"/>
        </w:rPr>
        <w:t>Product, and Outcome, by Treatment Group</w:t>
      </w:r>
    </w:p>
    <w:p w14:paraId="525DCB98" w14:textId="77777777" w:rsidR="00957F89" w:rsidRPr="00C73849" w:rsidRDefault="00957F89">
      <w:pPr>
        <w:spacing w:before="7"/>
        <w:rPr>
          <w:rFonts w:ascii="Times New Roman" w:eastAsia="Times New Roman" w:hAnsi="Times New Roman" w:cs="Times New Roman"/>
          <w:b/>
          <w:bCs/>
          <w:sz w:val="10"/>
          <w:szCs w:val="10"/>
        </w:rPr>
      </w:pPr>
    </w:p>
    <w:tbl>
      <w:tblPr>
        <w:tblW w:w="0" w:type="auto"/>
        <w:tblInd w:w="99" w:type="dxa"/>
        <w:tblLayout w:type="fixed"/>
        <w:tblCellMar>
          <w:left w:w="0" w:type="dxa"/>
          <w:right w:w="0" w:type="dxa"/>
        </w:tblCellMar>
        <w:tblLook w:val="01E0" w:firstRow="1" w:lastRow="1" w:firstColumn="1" w:lastColumn="1" w:noHBand="0" w:noVBand="0"/>
      </w:tblPr>
      <w:tblGrid>
        <w:gridCol w:w="1243"/>
        <w:gridCol w:w="991"/>
        <w:gridCol w:w="1015"/>
        <w:gridCol w:w="1082"/>
        <w:gridCol w:w="1082"/>
        <w:gridCol w:w="1085"/>
        <w:gridCol w:w="1082"/>
        <w:gridCol w:w="1084"/>
      </w:tblGrid>
      <w:tr w:rsidR="00957F89" w:rsidRPr="00C73849" w14:paraId="5673E509" w14:textId="77777777">
        <w:trPr>
          <w:trHeight w:hRule="exact" w:val="937"/>
        </w:trPr>
        <w:tc>
          <w:tcPr>
            <w:tcW w:w="1243" w:type="dxa"/>
            <w:tcBorders>
              <w:top w:val="single" w:sz="13" w:space="0" w:color="000000"/>
              <w:left w:val="single" w:sz="12" w:space="0" w:color="000000"/>
              <w:bottom w:val="single" w:sz="5" w:space="0" w:color="000000"/>
              <w:right w:val="single" w:sz="5" w:space="0" w:color="000000"/>
            </w:tcBorders>
          </w:tcPr>
          <w:p w14:paraId="735862D4" w14:textId="77777777" w:rsidR="00957F89" w:rsidRPr="00C73849" w:rsidRDefault="00957F89">
            <w:pPr>
              <w:pStyle w:val="TableParagraph"/>
              <w:rPr>
                <w:rFonts w:ascii="Times New Roman" w:eastAsia="Times New Roman" w:hAnsi="Times New Roman" w:cs="Times New Roman"/>
                <w:b/>
                <w:bCs/>
                <w:sz w:val="20"/>
                <w:szCs w:val="20"/>
              </w:rPr>
            </w:pPr>
          </w:p>
          <w:p w14:paraId="20D44C57" w14:textId="77777777" w:rsidR="00957F89" w:rsidRPr="00C73849" w:rsidRDefault="00957F89">
            <w:pPr>
              <w:pStyle w:val="TableParagraph"/>
              <w:spacing w:before="7"/>
              <w:rPr>
                <w:rFonts w:ascii="Times New Roman" w:eastAsia="Times New Roman" w:hAnsi="Times New Roman" w:cs="Times New Roman"/>
                <w:b/>
                <w:bCs/>
                <w:sz w:val="19"/>
                <w:szCs w:val="19"/>
              </w:rPr>
            </w:pPr>
          </w:p>
          <w:p w14:paraId="0B8159AF" w14:textId="77777777" w:rsidR="00957F89" w:rsidRPr="00C73849" w:rsidRDefault="00D92D87">
            <w:pPr>
              <w:pStyle w:val="TableParagraph"/>
              <w:ind w:left="92" w:right="429"/>
              <w:rPr>
                <w:rFonts w:ascii="Times New Roman" w:eastAsia="Times New Roman" w:hAnsi="Times New Roman" w:cs="Times New Roman"/>
                <w:sz w:val="20"/>
                <w:szCs w:val="20"/>
              </w:rPr>
            </w:pPr>
            <w:r w:rsidRPr="00C73849">
              <w:rPr>
                <w:rFonts w:ascii="Times New Roman"/>
                <w:b/>
                <w:sz w:val="20"/>
              </w:rPr>
              <w:t>Adverse</w:t>
            </w:r>
            <w:r w:rsidRPr="00C73849">
              <w:rPr>
                <w:rFonts w:ascii="Times New Roman"/>
                <w:b/>
                <w:w w:val="99"/>
                <w:sz w:val="20"/>
              </w:rPr>
              <w:t xml:space="preserve"> </w:t>
            </w:r>
            <w:r w:rsidRPr="00C73849">
              <w:rPr>
                <w:rFonts w:ascii="Times New Roman"/>
                <w:b/>
                <w:sz w:val="20"/>
              </w:rPr>
              <w:t>Event</w:t>
            </w:r>
          </w:p>
        </w:tc>
        <w:tc>
          <w:tcPr>
            <w:tcW w:w="991" w:type="dxa"/>
            <w:tcBorders>
              <w:top w:val="single" w:sz="13" w:space="0" w:color="000000"/>
              <w:left w:val="single" w:sz="5" w:space="0" w:color="000000"/>
              <w:bottom w:val="single" w:sz="5" w:space="0" w:color="000000"/>
              <w:right w:val="single" w:sz="5" w:space="0" w:color="000000"/>
            </w:tcBorders>
          </w:tcPr>
          <w:p w14:paraId="7C5A4B43" w14:textId="77777777" w:rsidR="00957F89" w:rsidRPr="00C73849" w:rsidRDefault="00957F89">
            <w:pPr>
              <w:pStyle w:val="TableParagraph"/>
              <w:rPr>
                <w:rFonts w:ascii="Times New Roman" w:eastAsia="Times New Roman" w:hAnsi="Times New Roman" w:cs="Times New Roman"/>
                <w:b/>
                <w:bCs/>
                <w:sz w:val="20"/>
                <w:szCs w:val="20"/>
              </w:rPr>
            </w:pPr>
          </w:p>
          <w:p w14:paraId="2F064E7D" w14:textId="77777777" w:rsidR="00957F89" w:rsidRPr="00C73849" w:rsidRDefault="00957F89">
            <w:pPr>
              <w:pStyle w:val="TableParagraph"/>
              <w:spacing w:before="7"/>
              <w:rPr>
                <w:rFonts w:ascii="Times New Roman" w:eastAsia="Times New Roman" w:hAnsi="Times New Roman" w:cs="Times New Roman"/>
                <w:b/>
                <w:bCs/>
                <w:sz w:val="19"/>
                <w:szCs w:val="19"/>
              </w:rPr>
            </w:pPr>
          </w:p>
          <w:p w14:paraId="1FFDE2B6" w14:textId="77777777" w:rsidR="00957F89" w:rsidRPr="00C73849" w:rsidRDefault="00D92D87">
            <w:pPr>
              <w:pStyle w:val="TableParagraph"/>
              <w:ind w:left="102" w:right="167"/>
              <w:rPr>
                <w:rFonts w:ascii="Times New Roman" w:eastAsia="Times New Roman" w:hAnsi="Times New Roman" w:cs="Times New Roman"/>
                <w:sz w:val="20"/>
                <w:szCs w:val="20"/>
              </w:rPr>
            </w:pPr>
            <w:r w:rsidRPr="00C73849">
              <w:rPr>
                <w:rFonts w:ascii="Times New Roman"/>
                <w:b/>
                <w:sz w:val="20"/>
              </w:rPr>
              <w:t>Subject</w:t>
            </w:r>
            <w:r w:rsidRPr="00C73849">
              <w:rPr>
                <w:rFonts w:ascii="Times New Roman"/>
                <w:b/>
                <w:w w:val="99"/>
                <w:sz w:val="20"/>
              </w:rPr>
              <w:t xml:space="preserve"> </w:t>
            </w:r>
            <w:r w:rsidRPr="00C73849">
              <w:rPr>
                <w:rFonts w:ascii="Times New Roman"/>
                <w:b/>
                <w:sz w:val="20"/>
              </w:rPr>
              <w:t>Number</w:t>
            </w:r>
          </w:p>
        </w:tc>
        <w:tc>
          <w:tcPr>
            <w:tcW w:w="1015" w:type="dxa"/>
            <w:tcBorders>
              <w:top w:val="single" w:sz="13" w:space="0" w:color="000000"/>
              <w:left w:val="single" w:sz="5" w:space="0" w:color="000000"/>
              <w:bottom w:val="single" w:sz="5" w:space="0" w:color="000000"/>
              <w:right w:val="single" w:sz="5" w:space="0" w:color="000000"/>
            </w:tcBorders>
          </w:tcPr>
          <w:p w14:paraId="69EF16AA" w14:textId="77777777" w:rsidR="00957F89" w:rsidRPr="00C73849" w:rsidRDefault="00957F89">
            <w:pPr>
              <w:pStyle w:val="TableParagraph"/>
              <w:rPr>
                <w:rFonts w:ascii="Times New Roman" w:eastAsia="Times New Roman" w:hAnsi="Times New Roman" w:cs="Times New Roman"/>
                <w:b/>
                <w:bCs/>
                <w:sz w:val="20"/>
                <w:szCs w:val="20"/>
              </w:rPr>
            </w:pPr>
          </w:p>
          <w:p w14:paraId="14455A97" w14:textId="77777777" w:rsidR="00957F89" w:rsidRPr="00C73849" w:rsidRDefault="00957F89">
            <w:pPr>
              <w:pStyle w:val="TableParagraph"/>
              <w:spacing w:before="7"/>
              <w:rPr>
                <w:rFonts w:ascii="Times New Roman" w:eastAsia="Times New Roman" w:hAnsi="Times New Roman" w:cs="Times New Roman"/>
                <w:b/>
                <w:bCs/>
                <w:sz w:val="19"/>
                <w:szCs w:val="19"/>
              </w:rPr>
            </w:pPr>
          </w:p>
          <w:p w14:paraId="43B11CBC" w14:textId="77777777" w:rsidR="00957F89" w:rsidRPr="00C73849" w:rsidRDefault="00D92D87">
            <w:pPr>
              <w:pStyle w:val="TableParagraph"/>
              <w:ind w:left="102" w:right="233"/>
              <w:rPr>
                <w:rFonts w:ascii="Times New Roman" w:eastAsia="Times New Roman" w:hAnsi="Times New Roman" w:cs="Times New Roman"/>
                <w:sz w:val="20"/>
                <w:szCs w:val="20"/>
              </w:rPr>
            </w:pPr>
            <w:r w:rsidRPr="00C73849">
              <w:rPr>
                <w:rFonts w:ascii="Times New Roman"/>
                <w:b/>
                <w:sz w:val="20"/>
              </w:rPr>
              <w:t>Serious</w:t>
            </w:r>
            <w:r w:rsidRPr="00C73849">
              <w:rPr>
                <w:rFonts w:ascii="Times New Roman"/>
                <w:b/>
                <w:w w:val="99"/>
                <w:sz w:val="20"/>
              </w:rPr>
              <w:t xml:space="preserve"> </w:t>
            </w:r>
            <w:r w:rsidRPr="00C73849">
              <w:rPr>
                <w:rFonts w:ascii="Times New Roman"/>
                <w:b/>
                <w:sz w:val="20"/>
              </w:rPr>
              <w:t>(yes/no)</w:t>
            </w:r>
          </w:p>
        </w:tc>
        <w:tc>
          <w:tcPr>
            <w:tcW w:w="1082" w:type="dxa"/>
            <w:tcBorders>
              <w:top w:val="single" w:sz="13" w:space="0" w:color="000000"/>
              <w:left w:val="single" w:sz="5" w:space="0" w:color="000000"/>
              <w:bottom w:val="single" w:sz="5" w:space="0" w:color="000000"/>
              <w:right w:val="single" w:sz="5" w:space="0" w:color="000000"/>
            </w:tcBorders>
          </w:tcPr>
          <w:p w14:paraId="7CA835E1" w14:textId="77777777" w:rsidR="00957F89" w:rsidRPr="00C73849" w:rsidRDefault="00D92D87">
            <w:pPr>
              <w:pStyle w:val="TableParagraph"/>
              <w:spacing w:line="239" w:lineRule="auto"/>
              <w:ind w:left="102" w:right="201"/>
              <w:rPr>
                <w:rFonts w:ascii="Times New Roman" w:eastAsia="Times New Roman" w:hAnsi="Times New Roman" w:cs="Times New Roman"/>
                <w:sz w:val="20"/>
                <w:szCs w:val="20"/>
              </w:rPr>
            </w:pPr>
            <w:r w:rsidRPr="00C73849">
              <w:rPr>
                <w:rFonts w:ascii="Times New Roman"/>
                <w:b/>
                <w:sz w:val="20"/>
              </w:rPr>
              <w:t>Time</w:t>
            </w:r>
            <w:r w:rsidRPr="00C73849">
              <w:rPr>
                <w:rFonts w:ascii="Times New Roman"/>
                <w:b/>
                <w:w w:val="99"/>
                <w:sz w:val="20"/>
              </w:rPr>
              <w:t xml:space="preserve"> </w:t>
            </w:r>
            <w:r w:rsidRPr="00C73849">
              <w:rPr>
                <w:rFonts w:ascii="Times New Roman"/>
                <w:b/>
                <w:sz w:val="20"/>
              </w:rPr>
              <w:t>from</w:t>
            </w:r>
            <w:r w:rsidRPr="00C73849">
              <w:rPr>
                <w:rFonts w:ascii="Times New Roman"/>
                <w:b/>
                <w:w w:val="99"/>
                <w:sz w:val="20"/>
              </w:rPr>
              <w:t xml:space="preserve"> </w:t>
            </w:r>
            <w:r w:rsidRPr="00C73849">
              <w:rPr>
                <w:rFonts w:ascii="Times New Roman"/>
                <w:b/>
                <w:sz w:val="20"/>
              </w:rPr>
              <w:t>Injection</w:t>
            </w:r>
            <w:r w:rsidRPr="00C73849">
              <w:rPr>
                <w:rFonts w:ascii="Times New Roman"/>
                <w:b/>
                <w:w w:val="99"/>
                <w:sz w:val="20"/>
              </w:rPr>
              <w:t xml:space="preserve"> </w:t>
            </w:r>
            <w:r w:rsidRPr="00C73849">
              <w:rPr>
                <w:rFonts w:ascii="Times New Roman"/>
                <w:b/>
                <w:sz w:val="20"/>
              </w:rPr>
              <w:t>to Onset</w:t>
            </w:r>
          </w:p>
        </w:tc>
        <w:tc>
          <w:tcPr>
            <w:tcW w:w="1082" w:type="dxa"/>
            <w:tcBorders>
              <w:top w:val="single" w:sz="13" w:space="0" w:color="000000"/>
              <w:left w:val="single" w:sz="5" w:space="0" w:color="000000"/>
              <w:bottom w:val="single" w:sz="5" w:space="0" w:color="000000"/>
              <w:right w:val="single" w:sz="5" w:space="0" w:color="000000"/>
            </w:tcBorders>
          </w:tcPr>
          <w:p w14:paraId="5C27F3EB" w14:textId="77777777" w:rsidR="00957F89" w:rsidRPr="00C73849" w:rsidRDefault="00957F89">
            <w:pPr>
              <w:pStyle w:val="TableParagraph"/>
              <w:rPr>
                <w:rFonts w:ascii="Times New Roman" w:eastAsia="Times New Roman" w:hAnsi="Times New Roman" w:cs="Times New Roman"/>
                <w:b/>
                <w:bCs/>
                <w:sz w:val="20"/>
                <w:szCs w:val="20"/>
              </w:rPr>
            </w:pPr>
          </w:p>
          <w:p w14:paraId="03C56FE4" w14:textId="77777777" w:rsidR="00957F89" w:rsidRPr="00C73849" w:rsidRDefault="00957F89">
            <w:pPr>
              <w:pStyle w:val="TableParagraph"/>
              <w:spacing w:before="7"/>
              <w:rPr>
                <w:rFonts w:ascii="Times New Roman" w:eastAsia="Times New Roman" w:hAnsi="Times New Roman" w:cs="Times New Roman"/>
                <w:b/>
                <w:bCs/>
                <w:sz w:val="19"/>
                <w:szCs w:val="19"/>
              </w:rPr>
            </w:pPr>
          </w:p>
          <w:p w14:paraId="4862386C" w14:textId="77777777" w:rsidR="00957F89" w:rsidRPr="00C73849" w:rsidRDefault="00D92D87">
            <w:pPr>
              <w:pStyle w:val="TableParagraph"/>
              <w:ind w:left="102" w:right="188"/>
              <w:rPr>
                <w:rFonts w:ascii="Times New Roman" w:eastAsia="Times New Roman" w:hAnsi="Times New Roman" w:cs="Times New Roman"/>
                <w:sz w:val="20"/>
                <w:szCs w:val="20"/>
              </w:rPr>
            </w:pPr>
            <w:r w:rsidRPr="00C73849">
              <w:rPr>
                <w:rFonts w:ascii="Times New Roman"/>
                <w:b/>
                <w:w w:val="95"/>
                <w:sz w:val="20"/>
              </w:rPr>
              <w:t>Duration</w:t>
            </w:r>
            <w:r w:rsidRPr="00C73849">
              <w:rPr>
                <w:rFonts w:ascii="Times New Roman"/>
                <w:b/>
                <w:w w:val="99"/>
                <w:sz w:val="20"/>
              </w:rPr>
              <w:t xml:space="preserve"> </w:t>
            </w:r>
            <w:r w:rsidRPr="00C73849">
              <w:rPr>
                <w:rFonts w:ascii="Times New Roman"/>
                <w:b/>
                <w:sz w:val="20"/>
              </w:rPr>
              <w:t>of AE</w:t>
            </w:r>
          </w:p>
        </w:tc>
        <w:tc>
          <w:tcPr>
            <w:tcW w:w="1085" w:type="dxa"/>
            <w:tcBorders>
              <w:top w:val="single" w:sz="13" w:space="0" w:color="000000"/>
              <w:left w:val="single" w:sz="5" w:space="0" w:color="000000"/>
              <w:bottom w:val="single" w:sz="5" w:space="0" w:color="000000"/>
              <w:right w:val="single" w:sz="5" w:space="0" w:color="000000"/>
            </w:tcBorders>
          </w:tcPr>
          <w:p w14:paraId="7B1B62B8" w14:textId="77777777" w:rsidR="00957F89" w:rsidRPr="00C73849" w:rsidRDefault="00957F89">
            <w:pPr>
              <w:pStyle w:val="TableParagraph"/>
              <w:rPr>
                <w:rFonts w:ascii="Times New Roman" w:eastAsia="Times New Roman" w:hAnsi="Times New Roman" w:cs="Times New Roman"/>
                <w:b/>
                <w:bCs/>
                <w:sz w:val="20"/>
                <w:szCs w:val="20"/>
              </w:rPr>
            </w:pPr>
          </w:p>
          <w:p w14:paraId="64A724BA" w14:textId="77777777" w:rsidR="00957F89" w:rsidRPr="00C73849" w:rsidRDefault="00957F89">
            <w:pPr>
              <w:pStyle w:val="TableParagraph"/>
              <w:rPr>
                <w:rFonts w:ascii="Times New Roman" w:eastAsia="Times New Roman" w:hAnsi="Times New Roman" w:cs="Times New Roman"/>
                <w:b/>
                <w:bCs/>
                <w:sz w:val="20"/>
                <w:szCs w:val="20"/>
              </w:rPr>
            </w:pPr>
          </w:p>
          <w:p w14:paraId="7B38E562" w14:textId="77777777" w:rsidR="00957F89" w:rsidRPr="00C73849" w:rsidRDefault="00957F89">
            <w:pPr>
              <w:pStyle w:val="TableParagraph"/>
              <w:spacing w:before="8"/>
              <w:rPr>
                <w:rFonts w:ascii="Times New Roman" w:eastAsia="Times New Roman" w:hAnsi="Times New Roman" w:cs="Times New Roman"/>
                <w:b/>
                <w:bCs/>
                <w:sz w:val="19"/>
                <w:szCs w:val="19"/>
              </w:rPr>
            </w:pPr>
          </w:p>
          <w:p w14:paraId="50C4DD6E" w14:textId="77777777" w:rsidR="00957F89" w:rsidRPr="00C73849" w:rsidRDefault="00D92D87">
            <w:pPr>
              <w:pStyle w:val="TableParagraph"/>
              <w:spacing w:line="229" w:lineRule="exact"/>
              <w:ind w:left="101"/>
              <w:rPr>
                <w:rFonts w:ascii="Times New Roman" w:eastAsia="Times New Roman" w:hAnsi="Times New Roman" w:cs="Times New Roman"/>
                <w:sz w:val="20"/>
                <w:szCs w:val="20"/>
              </w:rPr>
            </w:pPr>
            <w:r w:rsidRPr="00C73849">
              <w:rPr>
                <w:rFonts w:ascii="Times New Roman"/>
                <w:b/>
                <w:sz w:val="20"/>
              </w:rPr>
              <w:t>Intensity</w:t>
            </w:r>
          </w:p>
        </w:tc>
        <w:tc>
          <w:tcPr>
            <w:tcW w:w="1082" w:type="dxa"/>
            <w:tcBorders>
              <w:top w:val="single" w:sz="13" w:space="0" w:color="000000"/>
              <w:left w:val="single" w:sz="5" w:space="0" w:color="000000"/>
              <w:bottom w:val="single" w:sz="5" w:space="0" w:color="000000"/>
              <w:right w:val="single" w:sz="5" w:space="0" w:color="000000"/>
            </w:tcBorders>
          </w:tcPr>
          <w:p w14:paraId="2B6FB67B" w14:textId="77777777" w:rsidR="00957F89" w:rsidRPr="00C73849" w:rsidRDefault="00957F89">
            <w:pPr>
              <w:pStyle w:val="TableParagraph"/>
              <w:spacing w:before="7"/>
              <w:rPr>
                <w:rFonts w:ascii="Times New Roman" w:eastAsia="Times New Roman" w:hAnsi="Times New Roman" w:cs="Times New Roman"/>
                <w:b/>
                <w:bCs/>
                <w:sz w:val="19"/>
                <w:szCs w:val="19"/>
              </w:rPr>
            </w:pPr>
          </w:p>
          <w:p w14:paraId="77B84746" w14:textId="77777777" w:rsidR="00957F89" w:rsidRPr="00C73849" w:rsidRDefault="00D92D87">
            <w:pPr>
              <w:pStyle w:val="TableParagraph"/>
              <w:ind w:left="102" w:right="178"/>
              <w:rPr>
                <w:rFonts w:ascii="Times New Roman" w:eastAsia="Times New Roman" w:hAnsi="Times New Roman" w:cs="Times New Roman"/>
                <w:sz w:val="20"/>
                <w:szCs w:val="20"/>
              </w:rPr>
            </w:pPr>
            <w:r w:rsidRPr="00C73849">
              <w:rPr>
                <w:rFonts w:ascii="Times New Roman"/>
                <w:b/>
                <w:w w:val="95"/>
                <w:sz w:val="20"/>
              </w:rPr>
              <w:t>Relation-</w:t>
            </w:r>
            <w:r w:rsidRPr="00C73849">
              <w:rPr>
                <w:rFonts w:ascii="Times New Roman"/>
                <w:b/>
                <w:w w:val="99"/>
                <w:sz w:val="20"/>
              </w:rPr>
              <w:t xml:space="preserve"> </w:t>
            </w:r>
            <w:r w:rsidRPr="00C73849">
              <w:rPr>
                <w:rFonts w:ascii="Times New Roman"/>
                <w:b/>
                <w:sz w:val="20"/>
              </w:rPr>
              <w:t>ship to</w:t>
            </w:r>
            <w:r w:rsidRPr="00C73849">
              <w:rPr>
                <w:rFonts w:ascii="Times New Roman"/>
                <w:b/>
                <w:w w:val="99"/>
                <w:sz w:val="20"/>
              </w:rPr>
              <w:t xml:space="preserve"> </w:t>
            </w:r>
            <w:r w:rsidRPr="00C73849">
              <w:rPr>
                <w:rFonts w:ascii="Times New Roman"/>
                <w:b/>
                <w:sz w:val="20"/>
              </w:rPr>
              <w:t>IMP</w:t>
            </w:r>
          </w:p>
        </w:tc>
        <w:tc>
          <w:tcPr>
            <w:tcW w:w="1082" w:type="dxa"/>
            <w:tcBorders>
              <w:top w:val="single" w:sz="13" w:space="0" w:color="000000"/>
              <w:left w:val="single" w:sz="5" w:space="0" w:color="000000"/>
              <w:bottom w:val="single" w:sz="5" w:space="0" w:color="000000"/>
              <w:right w:val="single" w:sz="12" w:space="0" w:color="000000"/>
            </w:tcBorders>
          </w:tcPr>
          <w:p w14:paraId="73934A47" w14:textId="77777777" w:rsidR="00957F89" w:rsidRPr="00C73849" w:rsidRDefault="00957F89">
            <w:pPr>
              <w:pStyle w:val="TableParagraph"/>
              <w:rPr>
                <w:rFonts w:ascii="Times New Roman" w:eastAsia="Times New Roman" w:hAnsi="Times New Roman" w:cs="Times New Roman"/>
                <w:b/>
                <w:bCs/>
                <w:sz w:val="20"/>
                <w:szCs w:val="20"/>
              </w:rPr>
            </w:pPr>
          </w:p>
          <w:p w14:paraId="74957DC0" w14:textId="77777777" w:rsidR="00957F89" w:rsidRPr="00C73849" w:rsidRDefault="00957F89">
            <w:pPr>
              <w:pStyle w:val="TableParagraph"/>
              <w:rPr>
                <w:rFonts w:ascii="Times New Roman" w:eastAsia="Times New Roman" w:hAnsi="Times New Roman" w:cs="Times New Roman"/>
                <w:b/>
                <w:bCs/>
                <w:sz w:val="20"/>
                <w:szCs w:val="20"/>
              </w:rPr>
            </w:pPr>
          </w:p>
          <w:p w14:paraId="2606279C" w14:textId="77777777" w:rsidR="00957F89" w:rsidRPr="00C73849" w:rsidRDefault="00957F89">
            <w:pPr>
              <w:pStyle w:val="TableParagraph"/>
              <w:spacing w:before="8"/>
              <w:rPr>
                <w:rFonts w:ascii="Times New Roman" w:eastAsia="Times New Roman" w:hAnsi="Times New Roman" w:cs="Times New Roman"/>
                <w:b/>
                <w:bCs/>
                <w:sz w:val="19"/>
                <w:szCs w:val="19"/>
              </w:rPr>
            </w:pPr>
          </w:p>
          <w:p w14:paraId="552A650F" w14:textId="77777777" w:rsidR="00957F89" w:rsidRPr="00C73849" w:rsidRDefault="00D92D87">
            <w:pPr>
              <w:pStyle w:val="TableParagraph"/>
              <w:spacing w:line="228" w:lineRule="exact"/>
              <w:ind w:left="102"/>
              <w:rPr>
                <w:rFonts w:ascii="Times New Roman" w:eastAsia="Times New Roman" w:hAnsi="Times New Roman" w:cs="Times New Roman"/>
                <w:sz w:val="20"/>
                <w:szCs w:val="20"/>
              </w:rPr>
            </w:pPr>
            <w:r w:rsidRPr="00C73849">
              <w:rPr>
                <w:rFonts w:ascii="Times New Roman"/>
                <w:b/>
                <w:sz w:val="20"/>
              </w:rPr>
              <w:t>Outcome</w:t>
            </w:r>
          </w:p>
        </w:tc>
      </w:tr>
      <w:tr w:rsidR="00957F89" w:rsidRPr="00C73849" w14:paraId="5A7EADF1" w14:textId="77777777">
        <w:trPr>
          <w:trHeight w:hRule="exact" w:val="240"/>
        </w:trPr>
        <w:tc>
          <w:tcPr>
            <w:tcW w:w="8664" w:type="dxa"/>
            <w:gridSpan w:val="8"/>
            <w:tcBorders>
              <w:top w:val="single" w:sz="5" w:space="0" w:color="000000"/>
              <w:left w:val="single" w:sz="12" w:space="0" w:color="000000"/>
              <w:bottom w:val="single" w:sz="5" w:space="0" w:color="000000"/>
              <w:right w:val="single" w:sz="12" w:space="0" w:color="000000"/>
            </w:tcBorders>
          </w:tcPr>
          <w:p w14:paraId="37267C63" w14:textId="77777777" w:rsidR="00957F89" w:rsidRPr="00C73849" w:rsidRDefault="00D92D87">
            <w:pPr>
              <w:pStyle w:val="TableParagraph"/>
              <w:spacing w:line="227" w:lineRule="exact"/>
              <w:ind w:left="92"/>
              <w:rPr>
                <w:rFonts w:ascii="Times New Roman" w:eastAsia="Times New Roman" w:hAnsi="Times New Roman" w:cs="Times New Roman"/>
                <w:sz w:val="20"/>
                <w:szCs w:val="20"/>
              </w:rPr>
            </w:pPr>
            <w:r w:rsidRPr="00C73849">
              <w:rPr>
                <w:rFonts w:ascii="Times New Roman"/>
                <w:b/>
                <w:sz w:val="20"/>
              </w:rPr>
              <w:t>0.14 ml/kg Pyruvate Injection</w:t>
            </w:r>
          </w:p>
        </w:tc>
      </w:tr>
      <w:tr w:rsidR="00957F89" w:rsidRPr="00C73849" w14:paraId="7E05944F" w14:textId="77777777">
        <w:trPr>
          <w:trHeight w:hRule="exact" w:val="240"/>
        </w:trPr>
        <w:tc>
          <w:tcPr>
            <w:tcW w:w="1243" w:type="dxa"/>
            <w:tcBorders>
              <w:top w:val="single" w:sz="5" w:space="0" w:color="000000"/>
              <w:left w:val="single" w:sz="12" w:space="0" w:color="000000"/>
              <w:bottom w:val="single" w:sz="5" w:space="0" w:color="000000"/>
              <w:right w:val="single" w:sz="5" w:space="0" w:color="000000"/>
            </w:tcBorders>
          </w:tcPr>
          <w:p w14:paraId="48E3D76F" w14:textId="77777777" w:rsidR="00957F89" w:rsidRPr="00C73849" w:rsidRDefault="00D92D87">
            <w:pPr>
              <w:pStyle w:val="TableParagraph"/>
              <w:spacing w:line="222" w:lineRule="exact"/>
              <w:ind w:left="92"/>
              <w:rPr>
                <w:rFonts w:ascii="Times New Roman" w:eastAsia="Times New Roman" w:hAnsi="Times New Roman" w:cs="Times New Roman"/>
                <w:sz w:val="20"/>
                <w:szCs w:val="20"/>
              </w:rPr>
            </w:pPr>
            <w:r w:rsidRPr="00C73849">
              <w:rPr>
                <w:rFonts w:ascii="Times New Roman"/>
                <w:sz w:val="20"/>
              </w:rPr>
              <w:t>Dyspepsia</w:t>
            </w:r>
          </w:p>
        </w:tc>
        <w:tc>
          <w:tcPr>
            <w:tcW w:w="991" w:type="dxa"/>
            <w:tcBorders>
              <w:top w:val="single" w:sz="5" w:space="0" w:color="000000"/>
              <w:left w:val="single" w:sz="5" w:space="0" w:color="000000"/>
              <w:bottom w:val="single" w:sz="5" w:space="0" w:color="000000"/>
              <w:right w:val="single" w:sz="5" w:space="0" w:color="000000"/>
            </w:tcBorders>
          </w:tcPr>
          <w:p w14:paraId="67CC91D7"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001-0004</w:t>
            </w:r>
          </w:p>
        </w:tc>
        <w:tc>
          <w:tcPr>
            <w:tcW w:w="1015" w:type="dxa"/>
            <w:tcBorders>
              <w:top w:val="single" w:sz="5" w:space="0" w:color="000000"/>
              <w:left w:val="single" w:sz="5" w:space="0" w:color="000000"/>
              <w:bottom w:val="single" w:sz="5" w:space="0" w:color="000000"/>
              <w:right w:val="single" w:sz="5" w:space="0" w:color="000000"/>
            </w:tcBorders>
          </w:tcPr>
          <w:p w14:paraId="2E03E11D"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No</w:t>
            </w:r>
          </w:p>
        </w:tc>
        <w:tc>
          <w:tcPr>
            <w:tcW w:w="1082" w:type="dxa"/>
            <w:tcBorders>
              <w:top w:val="single" w:sz="5" w:space="0" w:color="000000"/>
              <w:left w:val="single" w:sz="5" w:space="0" w:color="000000"/>
              <w:bottom w:val="single" w:sz="5" w:space="0" w:color="000000"/>
              <w:right w:val="single" w:sz="5" w:space="0" w:color="000000"/>
            </w:tcBorders>
          </w:tcPr>
          <w:p w14:paraId="65DFE09C"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7 min</w:t>
            </w:r>
          </w:p>
        </w:tc>
        <w:tc>
          <w:tcPr>
            <w:tcW w:w="1082" w:type="dxa"/>
            <w:tcBorders>
              <w:top w:val="single" w:sz="5" w:space="0" w:color="000000"/>
              <w:left w:val="single" w:sz="5" w:space="0" w:color="000000"/>
              <w:bottom w:val="single" w:sz="5" w:space="0" w:color="000000"/>
              <w:right w:val="single" w:sz="5" w:space="0" w:color="000000"/>
            </w:tcBorders>
          </w:tcPr>
          <w:p w14:paraId="58B8C106"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43 min</w:t>
            </w:r>
          </w:p>
        </w:tc>
        <w:tc>
          <w:tcPr>
            <w:tcW w:w="1085" w:type="dxa"/>
            <w:tcBorders>
              <w:top w:val="single" w:sz="5" w:space="0" w:color="000000"/>
              <w:left w:val="single" w:sz="5" w:space="0" w:color="000000"/>
              <w:bottom w:val="single" w:sz="5" w:space="0" w:color="000000"/>
              <w:right w:val="single" w:sz="5" w:space="0" w:color="000000"/>
            </w:tcBorders>
          </w:tcPr>
          <w:p w14:paraId="42D1E2CA" w14:textId="77777777" w:rsidR="00957F89" w:rsidRPr="00C73849" w:rsidRDefault="00D92D87">
            <w:pPr>
              <w:pStyle w:val="TableParagraph"/>
              <w:spacing w:line="222" w:lineRule="exact"/>
              <w:ind w:left="99"/>
              <w:rPr>
                <w:rFonts w:ascii="Times New Roman" w:eastAsia="Times New Roman" w:hAnsi="Times New Roman" w:cs="Times New Roman"/>
                <w:sz w:val="20"/>
                <w:szCs w:val="20"/>
              </w:rPr>
            </w:pPr>
            <w:r w:rsidRPr="00C73849">
              <w:rPr>
                <w:rFonts w:ascii="Times New Roman"/>
                <w:sz w:val="20"/>
              </w:rPr>
              <w:t>Moderate</w:t>
            </w:r>
          </w:p>
        </w:tc>
        <w:tc>
          <w:tcPr>
            <w:tcW w:w="1082" w:type="dxa"/>
            <w:tcBorders>
              <w:top w:val="single" w:sz="5" w:space="0" w:color="000000"/>
              <w:left w:val="single" w:sz="5" w:space="0" w:color="000000"/>
              <w:bottom w:val="single" w:sz="5" w:space="0" w:color="000000"/>
              <w:right w:val="single" w:sz="5" w:space="0" w:color="000000"/>
            </w:tcBorders>
          </w:tcPr>
          <w:p w14:paraId="08F63089"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Suspected</w:t>
            </w:r>
          </w:p>
        </w:tc>
        <w:tc>
          <w:tcPr>
            <w:tcW w:w="1082" w:type="dxa"/>
            <w:tcBorders>
              <w:top w:val="single" w:sz="5" w:space="0" w:color="000000"/>
              <w:left w:val="single" w:sz="5" w:space="0" w:color="000000"/>
              <w:bottom w:val="single" w:sz="5" w:space="0" w:color="000000"/>
              <w:right w:val="single" w:sz="12" w:space="0" w:color="000000"/>
            </w:tcBorders>
          </w:tcPr>
          <w:p w14:paraId="67B0A061"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Resolved</w:t>
            </w:r>
          </w:p>
        </w:tc>
      </w:tr>
      <w:tr w:rsidR="00957F89" w:rsidRPr="00C73849" w14:paraId="18F8EACA" w14:textId="77777777">
        <w:trPr>
          <w:trHeight w:hRule="exact" w:val="240"/>
        </w:trPr>
        <w:tc>
          <w:tcPr>
            <w:tcW w:w="1243" w:type="dxa"/>
            <w:tcBorders>
              <w:top w:val="single" w:sz="5" w:space="0" w:color="000000"/>
              <w:left w:val="single" w:sz="12" w:space="0" w:color="000000"/>
              <w:bottom w:val="single" w:sz="5" w:space="0" w:color="000000"/>
              <w:right w:val="single" w:sz="5" w:space="0" w:color="000000"/>
            </w:tcBorders>
          </w:tcPr>
          <w:p w14:paraId="37178A32" w14:textId="77777777" w:rsidR="00957F89" w:rsidRPr="00C73849" w:rsidRDefault="00D92D87">
            <w:pPr>
              <w:pStyle w:val="TableParagraph"/>
              <w:spacing w:line="222" w:lineRule="exact"/>
              <w:ind w:left="92"/>
              <w:rPr>
                <w:rFonts w:ascii="Times New Roman" w:eastAsia="Times New Roman" w:hAnsi="Times New Roman" w:cs="Times New Roman"/>
                <w:sz w:val="20"/>
                <w:szCs w:val="20"/>
              </w:rPr>
            </w:pPr>
            <w:r w:rsidRPr="00C73849">
              <w:rPr>
                <w:rFonts w:ascii="Times New Roman"/>
                <w:sz w:val="20"/>
              </w:rPr>
              <w:t>Dysgeusia</w:t>
            </w:r>
          </w:p>
        </w:tc>
        <w:tc>
          <w:tcPr>
            <w:tcW w:w="991" w:type="dxa"/>
            <w:tcBorders>
              <w:top w:val="single" w:sz="5" w:space="0" w:color="000000"/>
              <w:left w:val="single" w:sz="5" w:space="0" w:color="000000"/>
              <w:bottom w:val="single" w:sz="5" w:space="0" w:color="000000"/>
              <w:right w:val="single" w:sz="5" w:space="0" w:color="000000"/>
            </w:tcBorders>
          </w:tcPr>
          <w:p w14:paraId="1D1D5E6F"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001-0004</w:t>
            </w:r>
          </w:p>
        </w:tc>
        <w:tc>
          <w:tcPr>
            <w:tcW w:w="1015" w:type="dxa"/>
            <w:tcBorders>
              <w:top w:val="single" w:sz="5" w:space="0" w:color="000000"/>
              <w:left w:val="single" w:sz="5" w:space="0" w:color="000000"/>
              <w:bottom w:val="single" w:sz="5" w:space="0" w:color="000000"/>
              <w:right w:val="single" w:sz="5" w:space="0" w:color="000000"/>
            </w:tcBorders>
          </w:tcPr>
          <w:p w14:paraId="0ABC79A1"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No</w:t>
            </w:r>
          </w:p>
        </w:tc>
        <w:tc>
          <w:tcPr>
            <w:tcW w:w="1082" w:type="dxa"/>
            <w:tcBorders>
              <w:top w:val="single" w:sz="5" w:space="0" w:color="000000"/>
              <w:left w:val="single" w:sz="5" w:space="0" w:color="000000"/>
              <w:bottom w:val="single" w:sz="5" w:space="0" w:color="000000"/>
              <w:right w:val="single" w:sz="5" w:space="0" w:color="000000"/>
            </w:tcBorders>
          </w:tcPr>
          <w:p w14:paraId="7B92DCE4"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12 min</w:t>
            </w:r>
          </w:p>
        </w:tc>
        <w:tc>
          <w:tcPr>
            <w:tcW w:w="1082" w:type="dxa"/>
            <w:tcBorders>
              <w:top w:val="single" w:sz="5" w:space="0" w:color="000000"/>
              <w:left w:val="single" w:sz="5" w:space="0" w:color="000000"/>
              <w:bottom w:val="single" w:sz="5" w:space="0" w:color="000000"/>
              <w:right w:val="single" w:sz="5" w:space="0" w:color="000000"/>
            </w:tcBorders>
          </w:tcPr>
          <w:p w14:paraId="4C311B00" w14:textId="77777777" w:rsidR="00957F89" w:rsidRPr="00C73849" w:rsidRDefault="00D92D87">
            <w:pPr>
              <w:pStyle w:val="TableParagraph"/>
              <w:spacing w:line="222" w:lineRule="exact"/>
              <w:ind w:left="99"/>
              <w:rPr>
                <w:rFonts w:ascii="Times New Roman" w:eastAsia="Times New Roman" w:hAnsi="Times New Roman" w:cs="Times New Roman"/>
                <w:sz w:val="20"/>
                <w:szCs w:val="20"/>
              </w:rPr>
            </w:pPr>
            <w:r w:rsidRPr="00C73849">
              <w:rPr>
                <w:rFonts w:ascii="Times New Roman"/>
                <w:sz w:val="20"/>
              </w:rPr>
              <w:t>3 min</w:t>
            </w:r>
          </w:p>
        </w:tc>
        <w:tc>
          <w:tcPr>
            <w:tcW w:w="1085" w:type="dxa"/>
            <w:tcBorders>
              <w:top w:val="single" w:sz="5" w:space="0" w:color="000000"/>
              <w:left w:val="single" w:sz="5" w:space="0" w:color="000000"/>
              <w:bottom w:val="single" w:sz="5" w:space="0" w:color="000000"/>
              <w:right w:val="single" w:sz="5" w:space="0" w:color="000000"/>
            </w:tcBorders>
          </w:tcPr>
          <w:p w14:paraId="12E5B8BA" w14:textId="77777777" w:rsidR="00957F89" w:rsidRPr="00C73849" w:rsidRDefault="00D92D87">
            <w:pPr>
              <w:pStyle w:val="TableParagraph"/>
              <w:spacing w:line="222" w:lineRule="exact"/>
              <w:ind w:left="99"/>
              <w:rPr>
                <w:rFonts w:ascii="Times New Roman" w:eastAsia="Times New Roman" w:hAnsi="Times New Roman" w:cs="Times New Roman"/>
                <w:sz w:val="20"/>
                <w:szCs w:val="20"/>
              </w:rPr>
            </w:pPr>
            <w:r w:rsidRPr="00C73849">
              <w:rPr>
                <w:rFonts w:ascii="Times New Roman"/>
                <w:sz w:val="20"/>
              </w:rPr>
              <w:t>Mild</w:t>
            </w:r>
          </w:p>
        </w:tc>
        <w:tc>
          <w:tcPr>
            <w:tcW w:w="1082" w:type="dxa"/>
            <w:tcBorders>
              <w:top w:val="single" w:sz="5" w:space="0" w:color="000000"/>
              <w:left w:val="single" w:sz="5" w:space="0" w:color="000000"/>
              <w:bottom w:val="single" w:sz="5" w:space="0" w:color="000000"/>
              <w:right w:val="single" w:sz="5" w:space="0" w:color="000000"/>
            </w:tcBorders>
          </w:tcPr>
          <w:p w14:paraId="11EC765D" w14:textId="77777777" w:rsidR="00957F89" w:rsidRPr="00C73849" w:rsidRDefault="00D92D87">
            <w:pPr>
              <w:pStyle w:val="TableParagraph"/>
              <w:spacing w:line="222" w:lineRule="exact"/>
              <w:ind w:left="99"/>
              <w:rPr>
                <w:rFonts w:ascii="Times New Roman" w:eastAsia="Times New Roman" w:hAnsi="Times New Roman" w:cs="Times New Roman"/>
                <w:sz w:val="20"/>
                <w:szCs w:val="20"/>
              </w:rPr>
            </w:pPr>
            <w:r w:rsidRPr="00C73849">
              <w:rPr>
                <w:rFonts w:ascii="Times New Roman"/>
                <w:sz w:val="20"/>
              </w:rPr>
              <w:t>Suspected</w:t>
            </w:r>
          </w:p>
        </w:tc>
        <w:tc>
          <w:tcPr>
            <w:tcW w:w="1082" w:type="dxa"/>
            <w:tcBorders>
              <w:top w:val="single" w:sz="5" w:space="0" w:color="000000"/>
              <w:left w:val="single" w:sz="5" w:space="0" w:color="000000"/>
              <w:bottom w:val="single" w:sz="5" w:space="0" w:color="000000"/>
              <w:right w:val="single" w:sz="12" w:space="0" w:color="000000"/>
            </w:tcBorders>
          </w:tcPr>
          <w:p w14:paraId="37858981"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Resolved</w:t>
            </w:r>
          </w:p>
        </w:tc>
      </w:tr>
      <w:tr w:rsidR="00957F89" w:rsidRPr="00C73849" w14:paraId="357CFAC7" w14:textId="77777777">
        <w:trPr>
          <w:trHeight w:hRule="exact" w:val="470"/>
        </w:trPr>
        <w:tc>
          <w:tcPr>
            <w:tcW w:w="1243" w:type="dxa"/>
            <w:tcBorders>
              <w:top w:val="single" w:sz="5" w:space="0" w:color="000000"/>
              <w:left w:val="single" w:sz="12" w:space="0" w:color="000000"/>
              <w:bottom w:val="single" w:sz="5" w:space="0" w:color="000000"/>
              <w:right w:val="single" w:sz="5" w:space="0" w:color="000000"/>
            </w:tcBorders>
          </w:tcPr>
          <w:p w14:paraId="20540174" w14:textId="77777777" w:rsidR="00957F89" w:rsidRPr="00C73849" w:rsidRDefault="002C5A81">
            <w:pPr>
              <w:pStyle w:val="TableParagraph"/>
              <w:spacing w:line="222" w:lineRule="exact"/>
              <w:ind w:left="92"/>
              <w:rPr>
                <w:rFonts w:ascii="Times New Roman" w:eastAsia="Times New Roman" w:hAnsi="Times New Roman" w:cs="Times New Roman"/>
                <w:sz w:val="20"/>
                <w:szCs w:val="20"/>
              </w:rPr>
            </w:pPr>
            <w:r w:rsidRPr="00C73849">
              <w:rPr>
                <w:rFonts w:ascii="Times New Roman"/>
                <w:sz w:val="20"/>
              </w:rPr>
              <w:t>Diarrhea</w:t>
            </w:r>
          </w:p>
        </w:tc>
        <w:tc>
          <w:tcPr>
            <w:tcW w:w="991" w:type="dxa"/>
            <w:tcBorders>
              <w:top w:val="single" w:sz="5" w:space="0" w:color="000000"/>
              <w:left w:val="single" w:sz="5" w:space="0" w:color="000000"/>
              <w:bottom w:val="single" w:sz="5" w:space="0" w:color="000000"/>
              <w:right w:val="single" w:sz="5" w:space="0" w:color="000000"/>
            </w:tcBorders>
          </w:tcPr>
          <w:p w14:paraId="51C89036" w14:textId="77777777" w:rsidR="00957F89" w:rsidRPr="00C73849" w:rsidRDefault="00D92D87">
            <w:pPr>
              <w:pStyle w:val="TableParagraph"/>
              <w:spacing w:line="222" w:lineRule="exact"/>
              <w:ind w:left="103"/>
              <w:rPr>
                <w:rFonts w:ascii="Times New Roman" w:eastAsia="Times New Roman" w:hAnsi="Times New Roman" w:cs="Times New Roman"/>
                <w:sz w:val="20"/>
                <w:szCs w:val="20"/>
              </w:rPr>
            </w:pPr>
            <w:r w:rsidRPr="00C73849">
              <w:rPr>
                <w:rFonts w:ascii="Times New Roman"/>
                <w:sz w:val="20"/>
              </w:rPr>
              <w:t>001-0004</w:t>
            </w:r>
          </w:p>
        </w:tc>
        <w:tc>
          <w:tcPr>
            <w:tcW w:w="1015" w:type="dxa"/>
            <w:tcBorders>
              <w:top w:val="single" w:sz="5" w:space="0" w:color="000000"/>
              <w:left w:val="single" w:sz="5" w:space="0" w:color="000000"/>
              <w:bottom w:val="single" w:sz="5" w:space="0" w:color="000000"/>
              <w:right w:val="single" w:sz="5" w:space="0" w:color="000000"/>
            </w:tcBorders>
          </w:tcPr>
          <w:p w14:paraId="165155FD"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No</w:t>
            </w:r>
          </w:p>
        </w:tc>
        <w:tc>
          <w:tcPr>
            <w:tcW w:w="1082" w:type="dxa"/>
            <w:tcBorders>
              <w:top w:val="single" w:sz="5" w:space="0" w:color="000000"/>
              <w:left w:val="single" w:sz="5" w:space="0" w:color="000000"/>
              <w:bottom w:val="single" w:sz="5" w:space="0" w:color="000000"/>
              <w:right w:val="single" w:sz="5" w:space="0" w:color="000000"/>
            </w:tcBorders>
          </w:tcPr>
          <w:p w14:paraId="495C93BD"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8 h 35 min</w:t>
            </w:r>
          </w:p>
        </w:tc>
        <w:tc>
          <w:tcPr>
            <w:tcW w:w="1082" w:type="dxa"/>
            <w:tcBorders>
              <w:top w:val="single" w:sz="5" w:space="0" w:color="000000"/>
              <w:left w:val="single" w:sz="5" w:space="0" w:color="000000"/>
              <w:bottom w:val="single" w:sz="5" w:space="0" w:color="000000"/>
              <w:right w:val="single" w:sz="5" w:space="0" w:color="000000"/>
            </w:tcBorders>
          </w:tcPr>
          <w:p w14:paraId="7F9CA8C6"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16 min</w:t>
            </w:r>
          </w:p>
        </w:tc>
        <w:tc>
          <w:tcPr>
            <w:tcW w:w="1085" w:type="dxa"/>
            <w:tcBorders>
              <w:top w:val="single" w:sz="5" w:space="0" w:color="000000"/>
              <w:left w:val="single" w:sz="5" w:space="0" w:color="000000"/>
              <w:bottom w:val="single" w:sz="5" w:space="0" w:color="000000"/>
              <w:right w:val="single" w:sz="5" w:space="0" w:color="000000"/>
            </w:tcBorders>
          </w:tcPr>
          <w:p w14:paraId="3803C272"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Mild</w:t>
            </w:r>
          </w:p>
        </w:tc>
        <w:tc>
          <w:tcPr>
            <w:tcW w:w="1082" w:type="dxa"/>
            <w:tcBorders>
              <w:top w:val="single" w:sz="5" w:space="0" w:color="000000"/>
              <w:left w:val="single" w:sz="5" w:space="0" w:color="000000"/>
              <w:bottom w:val="single" w:sz="5" w:space="0" w:color="000000"/>
              <w:right w:val="single" w:sz="5" w:space="0" w:color="000000"/>
            </w:tcBorders>
          </w:tcPr>
          <w:p w14:paraId="0347557A" w14:textId="77777777" w:rsidR="00957F89" w:rsidRPr="00C73849" w:rsidRDefault="00D92D87">
            <w:pPr>
              <w:pStyle w:val="TableParagraph"/>
              <w:ind w:left="102" w:right="188" w:hanging="2"/>
              <w:rPr>
                <w:rFonts w:ascii="Times New Roman" w:eastAsia="Times New Roman" w:hAnsi="Times New Roman" w:cs="Times New Roman"/>
                <w:sz w:val="20"/>
                <w:szCs w:val="20"/>
              </w:rPr>
            </w:pPr>
            <w:r w:rsidRPr="00C73849">
              <w:rPr>
                <w:rFonts w:ascii="Times New Roman"/>
                <w:sz w:val="20"/>
              </w:rPr>
              <w:t>Not</w:t>
            </w:r>
            <w:r w:rsidRPr="00C73849">
              <w:rPr>
                <w:rFonts w:ascii="Times New Roman"/>
                <w:w w:val="99"/>
                <w:sz w:val="20"/>
              </w:rPr>
              <w:t xml:space="preserve"> </w:t>
            </w:r>
            <w:r w:rsidRPr="00C73849">
              <w:rPr>
                <w:rFonts w:ascii="Times New Roman"/>
                <w:w w:val="95"/>
                <w:sz w:val="20"/>
              </w:rPr>
              <w:t>suspected</w:t>
            </w:r>
          </w:p>
        </w:tc>
        <w:tc>
          <w:tcPr>
            <w:tcW w:w="1082" w:type="dxa"/>
            <w:tcBorders>
              <w:top w:val="single" w:sz="5" w:space="0" w:color="000000"/>
              <w:left w:val="single" w:sz="5" w:space="0" w:color="000000"/>
              <w:bottom w:val="single" w:sz="5" w:space="0" w:color="000000"/>
              <w:right w:val="single" w:sz="12" w:space="0" w:color="000000"/>
            </w:tcBorders>
          </w:tcPr>
          <w:p w14:paraId="62A6D66D"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Resolved</w:t>
            </w:r>
          </w:p>
        </w:tc>
      </w:tr>
      <w:tr w:rsidR="00957F89" w:rsidRPr="00C73849" w14:paraId="572484EB" w14:textId="77777777">
        <w:trPr>
          <w:trHeight w:hRule="exact" w:val="470"/>
        </w:trPr>
        <w:tc>
          <w:tcPr>
            <w:tcW w:w="1243" w:type="dxa"/>
            <w:tcBorders>
              <w:top w:val="single" w:sz="5" w:space="0" w:color="000000"/>
              <w:left w:val="single" w:sz="12" w:space="0" w:color="000000"/>
              <w:bottom w:val="single" w:sz="5" w:space="0" w:color="000000"/>
              <w:right w:val="single" w:sz="5" w:space="0" w:color="000000"/>
            </w:tcBorders>
          </w:tcPr>
          <w:p w14:paraId="16AD7358" w14:textId="77777777" w:rsidR="00957F89" w:rsidRPr="00C73849" w:rsidRDefault="00D92D87">
            <w:pPr>
              <w:pStyle w:val="TableParagraph"/>
              <w:ind w:left="92" w:right="179"/>
              <w:rPr>
                <w:rFonts w:ascii="Times New Roman" w:eastAsia="Times New Roman" w:hAnsi="Times New Roman" w:cs="Times New Roman"/>
                <w:sz w:val="20"/>
                <w:szCs w:val="20"/>
              </w:rPr>
            </w:pPr>
            <w:r w:rsidRPr="00C73849">
              <w:rPr>
                <w:rFonts w:ascii="Times New Roman"/>
                <w:sz w:val="20"/>
              </w:rPr>
              <w:t>Injection</w:t>
            </w:r>
            <w:r w:rsidRPr="00C73849">
              <w:rPr>
                <w:rFonts w:ascii="Times New Roman"/>
                <w:w w:val="99"/>
                <w:sz w:val="20"/>
              </w:rPr>
              <w:t xml:space="preserve"> </w:t>
            </w:r>
            <w:r w:rsidRPr="00C73849">
              <w:rPr>
                <w:rFonts w:ascii="Times New Roman"/>
                <w:sz w:val="20"/>
              </w:rPr>
              <w:t xml:space="preserve">site </w:t>
            </w:r>
            <w:r w:rsidR="002C5A81" w:rsidRPr="00C73849">
              <w:rPr>
                <w:rFonts w:ascii="Times New Roman"/>
                <w:sz w:val="20"/>
              </w:rPr>
              <w:t>edema</w:t>
            </w:r>
          </w:p>
        </w:tc>
        <w:tc>
          <w:tcPr>
            <w:tcW w:w="991" w:type="dxa"/>
            <w:tcBorders>
              <w:top w:val="single" w:sz="5" w:space="0" w:color="000000"/>
              <w:left w:val="single" w:sz="5" w:space="0" w:color="000000"/>
              <w:bottom w:val="single" w:sz="5" w:space="0" w:color="000000"/>
              <w:right w:val="single" w:sz="5" w:space="0" w:color="000000"/>
            </w:tcBorders>
          </w:tcPr>
          <w:p w14:paraId="172EC2A6"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001-0004</w:t>
            </w:r>
          </w:p>
        </w:tc>
        <w:tc>
          <w:tcPr>
            <w:tcW w:w="1015" w:type="dxa"/>
            <w:tcBorders>
              <w:top w:val="single" w:sz="5" w:space="0" w:color="000000"/>
              <w:left w:val="single" w:sz="5" w:space="0" w:color="000000"/>
              <w:bottom w:val="single" w:sz="5" w:space="0" w:color="000000"/>
              <w:right w:val="single" w:sz="5" w:space="0" w:color="000000"/>
            </w:tcBorders>
          </w:tcPr>
          <w:p w14:paraId="77EE1F50"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No</w:t>
            </w:r>
          </w:p>
        </w:tc>
        <w:tc>
          <w:tcPr>
            <w:tcW w:w="1082" w:type="dxa"/>
            <w:tcBorders>
              <w:top w:val="single" w:sz="5" w:space="0" w:color="000000"/>
              <w:left w:val="single" w:sz="5" w:space="0" w:color="000000"/>
              <w:bottom w:val="single" w:sz="5" w:space="0" w:color="000000"/>
              <w:right w:val="single" w:sz="5" w:space="0" w:color="000000"/>
            </w:tcBorders>
          </w:tcPr>
          <w:p w14:paraId="05342512"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9 h 20 min</w:t>
            </w:r>
          </w:p>
        </w:tc>
        <w:tc>
          <w:tcPr>
            <w:tcW w:w="1082" w:type="dxa"/>
            <w:tcBorders>
              <w:top w:val="single" w:sz="5" w:space="0" w:color="000000"/>
              <w:left w:val="single" w:sz="5" w:space="0" w:color="000000"/>
              <w:bottom w:val="single" w:sz="5" w:space="0" w:color="000000"/>
              <w:right w:val="single" w:sz="5" w:space="0" w:color="000000"/>
            </w:tcBorders>
          </w:tcPr>
          <w:p w14:paraId="3C7ED152"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Unknown</w:t>
            </w:r>
          </w:p>
        </w:tc>
        <w:tc>
          <w:tcPr>
            <w:tcW w:w="1085" w:type="dxa"/>
            <w:tcBorders>
              <w:top w:val="single" w:sz="5" w:space="0" w:color="000000"/>
              <w:left w:val="single" w:sz="5" w:space="0" w:color="000000"/>
              <w:bottom w:val="single" w:sz="5" w:space="0" w:color="000000"/>
              <w:right w:val="single" w:sz="5" w:space="0" w:color="000000"/>
            </w:tcBorders>
          </w:tcPr>
          <w:p w14:paraId="68310FF4"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Mild</w:t>
            </w:r>
          </w:p>
        </w:tc>
        <w:tc>
          <w:tcPr>
            <w:tcW w:w="1082" w:type="dxa"/>
            <w:tcBorders>
              <w:top w:val="single" w:sz="5" w:space="0" w:color="000000"/>
              <w:left w:val="single" w:sz="5" w:space="0" w:color="000000"/>
              <w:bottom w:val="single" w:sz="5" w:space="0" w:color="000000"/>
              <w:right w:val="single" w:sz="5" w:space="0" w:color="000000"/>
            </w:tcBorders>
          </w:tcPr>
          <w:p w14:paraId="3D3DE353" w14:textId="77777777" w:rsidR="00957F89" w:rsidRPr="00C73849" w:rsidRDefault="00D92D87">
            <w:pPr>
              <w:pStyle w:val="TableParagraph"/>
              <w:ind w:left="102" w:right="188" w:hanging="1"/>
              <w:rPr>
                <w:rFonts w:ascii="Times New Roman" w:eastAsia="Times New Roman" w:hAnsi="Times New Roman" w:cs="Times New Roman"/>
                <w:sz w:val="20"/>
                <w:szCs w:val="20"/>
              </w:rPr>
            </w:pPr>
            <w:r w:rsidRPr="00C73849">
              <w:rPr>
                <w:rFonts w:ascii="Times New Roman"/>
                <w:sz w:val="20"/>
              </w:rPr>
              <w:t>Not</w:t>
            </w:r>
            <w:r w:rsidRPr="00C73849">
              <w:rPr>
                <w:rFonts w:ascii="Times New Roman"/>
                <w:w w:val="99"/>
                <w:sz w:val="20"/>
              </w:rPr>
              <w:t xml:space="preserve"> </w:t>
            </w:r>
            <w:r w:rsidRPr="00C73849">
              <w:rPr>
                <w:rFonts w:ascii="Times New Roman"/>
                <w:w w:val="95"/>
                <w:sz w:val="20"/>
              </w:rPr>
              <w:t>suspected</w:t>
            </w:r>
          </w:p>
        </w:tc>
        <w:tc>
          <w:tcPr>
            <w:tcW w:w="1082" w:type="dxa"/>
            <w:tcBorders>
              <w:top w:val="single" w:sz="5" w:space="0" w:color="000000"/>
              <w:left w:val="single" w:sz="5" w:space="0" w:color="000000"/>
              <w:bottom w:val="single" w:sz="5" w:space="0" w:color="000000"/>
              <w:right w:val="single" w:sz="12" w:space="0" w:color="000000"/>
            </w:tcBorders>
          </w:tcPr>
          <w:p w14:paraId="0A46BF46"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Resolved</w:t>
            </w:r>
          </w:p>
        </w:tc>
      </w:tr>
      <w:tr w:rsidR="00957F89" w:rsidRPr="00C73849" w14:paraId="7DD43BE5" w14:textId="77777777">
        <w:trPr>
          <w:trHeight w:hRule="exact" w:val="240"/>
        </w:trPr>
        <w:tc>
          <w:tcPr>
            <w:tcW w:w="8664" w:type="dxa"/>
            <w:gridSpan w:val="8"/>
            <w:tcBorders>
              <w:top w:val="single" w:sz="5" w:space="0" w:color="000000"/>
              <w:left w:val="single" w:sz="12" w:space="0" w:color="000000"/>
              <w:bottom w:val="single" w:sz="5" w:space="0" w:color="000000"/>
              <w:right w:val="single" w:sz="12" w:space="0" w:color="000000"/>
            </w:tcBorders>
          </w:tcPr>
          <w:p w14:paraId="2F0C16D2" w14:textId="77777777" w:rsidR="00957F89" w:rsidRPr="00C73849" w:rsidRDefault="00D92D87">
            <w:pPr>
              <w:pStyle w:val="TableParagraph"/>
              <w:spacing w:line="227" w:lineRule="exact"/>
              <w:ind w:left="92"/>
              <w:rPr>
                <w:rFonts w:ascii="Times New Roman" w:eastAsia="Times New Roman" w:hAnsi="Times New Roman" w:cs="Times New Roman"/>
                <w:sz w:val="20"/>
                <w:szCs w:val="20"/>
              </w:rPr>
            </w:pPr>
            <w:r w:rsidRPr="00C73849">
              <w:rPr>
                <w:rFonts w:ascii="Times New Roman"/>
                <w:b/>
                <w:sz w:val="20"/>
              </w:rPr>
              <w:t>0.21 ml/kg Pyruvate Injection</w:t>
            </w:r>
          </w:p>
        </w:tc>
      </w:tr>
      <w:tr w:rsidR="00957F89" w:rsidRPr="00C73849" w14:paraId="7CA821FD" w14:textId="77777777">
        <w:trPr>
          <w:trHeight w:hRule="exact" w:val="240"/>
        </w:trPr>
        <w:tc>
          <w:tcPr>
            <w:tcW w:w="1243" w:type="dxa"/>
            <w:tcBorders>
              <w:top w:val="single" w:sz="5" w:space="0" w:color="000000"/>
              <w:left w:val="single" w:sz="12" w:space="0" w:color="000000"/>
              <w:bottom w:val="single" w:sz="5" w:space="0" w:color="000000"/>
              <w:right w:val="single" w:sz="5" w:space="0" w:color="000000"/>
            </w:tcBorders>
          </w:tcPr>
          <w:p w14:paraId="520AB694" w14:textId="77777777" w:rsidR="00957F89" w:rsidRPr="00C73849" w:rsidRDefault="00D92D87">
            <w:pPr>
              <w:pStyle w:val="TableParagraph"/>
              <w:spacing w:line="222" w:lineRule="exact"/>
              <w:ind w:left="92"/>
              <w:rPr>
                <w:rFonts w:ascii="Times New Roman" w:eastAsia="Times New Roman" w:hAnsi="Times New Roman" w:cs="Times New Roman"/>
                <w:sz w:val="20"/>
                <w:szCs w:val="20"/>
              </w:rPr>
            </w:pPr>
            <w:r w:rsidRPr="00C73849">
              <w:rPr>
                <w:rFonts w:ascii="Times New Roman"/>
                <w:sz w:val="20"/>
              </w:rPr>
              <w:t>Dysgeusia</w:t>
            </w:r>
          </w:p>
        </w:tc>
        <w:tc>
          <w:tcPr>
            <w:tcW w:w="991" w:type="dxa"/>
            <w:tcBorders>
              <w:top w:val="single" w:sz="5" w:space="0" w:color="000000"/>
              <w:left w:val="single" w:sz="5" w:space="0" w:color="000000"/>
              <w:bottom w:val="single" w:sz="5" w:space="0" w:color="000000"/>
              <w:right w:val="single" w:sz="5" w:space="0" w:color="000000"/>
            </w:tcBorders>
          </w:tcPr>
          <w:p w14:paraId="000B254F"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001-0010</w:t>
            </w:r>
          </w:p>
        </w:tc>
        <w:tc>
          <w:tcPr>
            <w:tcW w:w="1015" w:type="dxa"/>
            <w:tcBorders>
              <w:top w:val="single" w:sz="5" w:space="0" w:color="000000"/>
              <w:left w:val="single" w:sz="5" w:space="0" w:color="000000"/>
              <w:bottom w:val="single" w:sz="5" w:space="0" w:color="000000"/>
              <w:right w:val="single" w:sz="5" w:space="0" w:color="000000"/>
            </w:tcBorders>
          </w:tcPr>
          <w:p w14:paraId="46A2FD7F"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No</w:t>
            </w:r>
          </w:p>
        </w:tc>
        <w:tc>
          <w:tcPr>
            <w:tcW w:w="1082" w:type="dxa"/>
            <w:tcBorders>
              <w:top w:val="single" w:sz="5" w:space="0" w:color="000000"/>
              <w:left w:val="single" w:sz="5" w:space="0" w:color="000000"/>
              <w:bottom w:val="single" w:sz="5" w:space="0" w:color="000000"/>
              <w:right w:val="single" w:sz="5" w:space="0" w:color="000000"/>
            </w:tcBorders>
          </w:tcPr>
          <w:p w14:paraId="75E3DB02"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5 s</w:t>
            </w:r>
          </w:p>
        </w:tc>
        <w:tc>
          <w:tcPr>
            <w:tcW w:w="1082" w:type="dxa"/>
            <w:tcBorders>
              <w:top w:val="single" w:sz="5" w:space="0" w:color="000000"/>
              <w:left w:val="single" w:sz="5" w:space="0" w:color="000000"/>
              <w:bottom w:val="single" w:sz="5" w:space="0" w:color="000000"/>
              <w:right w:val="single" w:sz="5" w:space="0" w:color="000000"/>
            </w:tcBorders>
          </w:tcPr>
          <w:p w14:paraId="4155DC74" w14:textId="77777777" w:rsidR="00957F89" w:rsidRPr="00C73849" w:rsidRDefault="00D92D87">
            <w:pPr>
              <w:pStyle w:val="TableParagraph"/>
              <w:spacing w:line="222" w:lineRule="exact"/>
              <w:ind w:left="99"/>
              <w:rPr>
                <w:rFonts w:ascii="Times New Roman" w:eastAsia="Times New Roman" w:hAnsi="Times New Roman" w:cs="Times New Roman"/>
                <w:sz w:val="20"/>
                <w:szCs w:val="20"/>
              </w:rPr>
            </w:pPr>
            <w:r w:rsidRPr="00C73849">
              <w:rPr>
                <w:rFonts w:ascii="Times New Roman"/>
                <w:sz w:val="20"/>
              </w:rPr>
              <w:t>2 s</w:t>
            </w:r>
          </w:p>
        </w:tc>
        <w:tc>
          <w:tcPr>
            <w:tcW w:w="1085" w:type="dxa"/>
            <w:tcBorders>
              <w:top w:val="single" w:sz="5" w:space="0" w:color="000000"/>
              <w:left w:val="single" w:sz="5" w:space="0" w:color="000000"/>
              <w:bottom w:val="single" w:sz="5" w:space="0" w:color="000000"/>
              <w:right w:val="single" w:sz="5" w:space="0" w:color="000000"/>
            </w:tcBorders>
          </w:tcPr>
          <w:p w14:paraId="15F72A61" w14:textId="77777777" w:rsidR="00957F89" w:rsidRPr="00C73849" w:rsidRDefault="00D92D87">
            <w:pPr>
              <w:pStyle w:val="TableParagraph"/>
              <w:spacing w:line="222" w:lineRule="exact"/>
              <w:ind w:left="99"/>
              <w:rPr>
                <w:rFonts w:ascii="Times New Roman" w:eastAsia="Times New Roman" w:hAnsi="Times New Roman" w:cs="Times New Roman"/>
                <w:sz w:val="20"/>
                <w:szCs w:val="20"/>
              </w:rPr>
            </w:pPr>
            <w:r w:rsidRPr="00C73849">
              <w:rPr>
                <w:rFonts w:ascii="Times New Roman"/>
                <w:sz w:val="20"/>
              </w:rPr>
              <w:t>Mild</w:t>
            </w:r>
          </w:p>
        </w:tc>
        <w:tc>
          <w:tcPr>
            <w:tcW w:w="1082" w:type="dxa"/>
            <w:tcBorders>
              <w:top w:val="single" w:sz="5" w:space="0" w:color="000000"/>
              <w:left w:val="single" w:sz="5" w:space="0" w:color="000000"/>
              <w:bottom w:val="single" w:sz="5" w:space="0" w:color="000000"/>
              <w:right w:val="single" w:sz="5" w:space="0" w:color="000000"/>
            </w:tcBorders>
          </w:tcPr>
          <w:p w14:paraId="462195B8" w14:textId="77777777" w:rsidR="00957F89" w:rsidRPr="00C73849" w:rsidRDefault="00D92D87">
            <w:pPr>
              <w:pStyle w:val="TableParagraph"/>
              <w:spacing w:line="222" w:lineRule="exact"/>
              <w:ind w:left="99"/>
              <w:rPr>
                <w:rFonts w:ascii="Times New Roman" w:eastAsia="Times New Roman" w:hAnsi="Times New Roman" w:cs="Times New Roman"/>
                <w:sz w:val="20"/>
                <w:szCs w:val="20"/>
              </w:rPr>
            </w:pPr>
            <w:r w:rsidRPr="00C73849">
              <w:rPr>
                <w:rFonts w:ascii="Times New Roman"/>
                <w:sz w:val="20"/>
              </w:rPr>
              <w:t>Suspected</w:t>
            </w:r>
          </w:p>
        </w:tc>
        <w:tc>
          <w:tcPr>
            <w:tcW w:w="1082" w:type="dxa"/>
            <w:tcBorders>
              <w:top w:val="single" w:sz="5" w:space="0" w:color="000000"/>
              <w:left w:val="single" w:sz="5" w:space="0" w:color="000000"/>
              <w:bottom w:val="single" w:sz="5" w:space="0" w:color="000000"/>
              <w:right w:val="single" w:sz="12" w:space="0" w:color="000000"/>
            </w:tcBorders>
          </w:tcPr>
          <w:p w14:paraId="11797C74"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Resolved</w:t>
            </w:r>
          </w:p>
        </w:tc>
      </w:tr>
      <w:tr w:rsidR="00957F89" w:rsidRPr="00C73849" w14:paraId="28EAA975" w14:textId="77777777">
        <w:trPr>
          <w:trHeight w:hRule="exact" w:val="240"/>
        </w:trPr>
        <w:tc>
          <w:tcPr>
            <w:tcW w:w="8664" w:type="dxa"/>
            <w:gridSpan w:val="8"/>
            <w:tcBorders>
              <w:top w:val="single" w:sz="5" w:space="0" w:color="000000"/>
              <w:left w:val="single" w:sz="12" w:space="0" w:color="000000"/>
              <w:bottom w:val="single" w:sz="5" w:space="0" w:color="000000"/>
              <w:right w:val="single" w:sz="12" w:space="0" w:color="000000"/>
            </w:tcBorders>
          </w:tcPr>
          <w:p w14:paraId="592CDB6C" w14:textId="77777777" w:rsidR="00957F89" w:rsidRPr="00C73849" w:rsidRDefault="00D92D87">
            <w:pPr>
              <w:pStyle w:val="TableParagraph"/>
              <w:spacing w:line="227" w:lineRule="exact"/>
              <w:ind w:left="92"/>
              <w:rPr>
                <w:rFonts w:ascii="Times New Roman" w:eastAsia="Times New Roman" w:hAnsi="Times New Roman" w:cs="Times New Roman"/>
                <w:sz w:val="20"/>
                <w:szCs w:val="20"/>
              </w:rPr>
            </w:pPr>
            <w:r w:rsidRPr="00C73849">
              <w:rPr>
                <w:rFonts w:ascii="Times New Roman"/>
                <w:b/>
                <w:sz w:val="20"/>
              </w:rPr>
              <w:t>0.28 ml/kg Pyruvate Injection</w:t>
            </w:r>
          </w:p>
        </w:tc>
      </w:tr>
      <w:tr w:rsidR="00957F89" w:rsidRPr="00C73849" w14:paraId="44382C40" w14:textId="77777777">
        <w:trPr>
          <w:trHeight w:hRule="exact" w:val="701"/>
        </w:trPr>
        <w:tc>
          <w:tcPr>
            <w:tcW w:w="1243" w:type="dxa"/>
            <w:tcBorders>
              <w:top w:val="single" w:sz="5" w:space="0" w:color="000000"/>
              <w:left w:val="single" w:sz="12" w:space="0" w:color="000000"/>
              <w:bottom w:val="single" w:sz="5" w:space="0" w:color="000000"/>
              <w:right w:val="single" w:sz="5" w:space="0" w:color="000000"/>
            </w:tcBorders>
          </w:tcPr>
          <w:p w14:paraId="4D73C492" w14:textId="77777777" w:rsidR="00957F89" w:rsidRPr="00C73849" w:rsidRDefault="00D92D87">
            <w:pPr>
              <w:pStyle w:val="TableParagraph"/>
              <w:ind w:left="92" w:right="279"/>
              <w:rPr>
                <w:rFonts w:ascii="Times New Roman" w:eastAsia="Times New Roman" w:hAnsi="Times New Roman" w:cs="Times New Roman"/>
                <w:sz w:val="20"/>
                <w:szCs w:val="20"/>
              </w:rPr>
            </w:pPr>
            <w:r w:rsidRPr="00C73849">
              <w:rPr>
                <w:rFonts w:ascii="Times New Roman"/>
                <w:sz w:val="20"/>
              </w:rPr>
              <w:t>Medical</w:t>
            </w:r>
            <w:r w:rsidRPr="00C73849">
              <w:rPr>
                <w:rFonts w:ascii="Times New Roman"/>
                <w:w w:val="99"/>
                <w:sz w:val="20"/>
              </w:rPr>
              <w:t xml:space="preserve"> </w:t>
            </w:r>
            <w:r w:rsidRPr="00C73849">
              <w:rPr>
                <w:rFonts w:ascii="Times New Roman"/>
                <w:sz w:val="20"/>
              </w:rPr>
              <w:t>device site</w:t>
            </w:r>
            <w:r w:rsidRPr="00C73849">
              <w:rPr>
                <w:rFonts w:ascii="Times New Roman"/>
                <w:w w:val="99"/>
                <w:sz w:val="20"/>
              </w:rPr>
              <w:t xml:space="preserve"> </w:t>
            </w:r>
            <w:r w:rsidRPr="00C73849">
              <w:rPr>
                <w:rFonts w:ascii="Times New Roman"/>
                <w:sz w:val="20"/>
              </w:rPr>
              <w:t>reaction</w:t>
            </w:r>
          </w:p>
        </w:tc>
        <w:tc>
          <w:tcPr>
            <w:tcW w:w="991" w:type="dxa"/>
            <w:tcBorders>
              <w:top w:val="single" w:sz="5" w:space="0" w:color="000000"/>
              <w:left w:val="single" w:sz="5" w:space="0" w:color="000000"/>
              <w:bottom w:val="single" w:sz="5" w:space="0" w:color="000000"/>
              <w:right w:val="single" w:sz="5" w:space="0" w:color="000000"/>
            </w:tcBorders>
          </w:tcPr>
          <w:p w14:paraId="6D48F16C"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001-0014</w:t>
            </w:r>
          </w:p>
        </w:tc>
        <w:tc>
          <w:tcPr>
            <w:tcW w:w="1015" w:type="dxa"/>
            <w:tcBorders>
              <w:top w:val="single" w:sz="5" w:space="0" w:color="000000"/>
              <w:left w:val="single" w:sz="5" w:space="0" w:color="000000"/>
              <w:bottom w:val="single" w:sz="5" w:space="0" w:color="000000"/>
              <w:right w:val="single" w:sz="5" w:space="0" w:color="000000"/>
            </w:tcBorders>
          </w:tcPr>
          <w:p w14:paraId="2262BB04"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No</w:t>
            </w:r>
          </w:p>
        </w:tc>
        <w:tc>
          <w:tcPr>
            <w:tcW w:w="1082" w:type="dxa"/>
            <w:tcBorders>
              <w:top w:val="single" w:sz="5" w:space="0" w:color="000000"/>
              <w:left w:val="single" w:sz="5" w:space="0" w:color="000000"/>
              <w:bottom w:val="single" w:sz="5" w:space="0" w:color="000000"/>
              <w:right w:val="single" w:sz="5" w:space="0" w:color="000000"/>
            </w:tcBorders>
          </w:tcPr>
          <w:p w14:paraId="40AD48D1"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7 h 40 min</w:t>
            </w:r>
          </w:p>
        </w:tc>
        <w:tc>
          <w:tcPr>
            <w:tcW w:w="1082" w:type="dxa"/>
            <w:tcBorders>
              <w:top w:val="single" w:sz="5" w:space="0" w:color="000000"/>
              <w:left w:val="single" w:sz="5" w:space="0" w:color="000000"/>
              <w:bottom w:val="single" w:sz="5" w:space="0" w:color="000000"/>
              <w:right w:val="single" w:sz="5" w:space="0" w:color="000000"/>
            </w:tcBorders>
          </w:tcPr>
          <w:p w14:paraId="52CF54E3"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Unknown</w:t>
            </w:r>
          </w:p>
        </w:tc>
        <w:tc>
          <w:tcPr>
            <w:tcW w:w="1085" w:type="dxa"/>
            <w:tcBorders>
              <w:top w:val="single" w:sz="5" w:space="0" w:color="000000"/>
              <w:left w:val="single" w:sz="5" w:space="0" w:color="000000"/>
              <w:bottom w:val="single" w:sz="5" w:space="0" w:color="000000"/>
              <w:right w:val="single" w:sz="5" w:space="0" w:color="000000"/>
            </w:tcBorders>
          </w:tcPr>
          <w:p w14:paraId="76F875EF"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Mild</w:t>
            </w:r>
          </w:p>
        </w:tc>
        <w:tc>
          <w:tcPr>
            <w:tcW w:w="1082" w:type="dxa"/>
            <w:tcBorders>
              <w:top w:val="single" w:sz="5" w:space="0" w:color="000000"/>
              <w:left w:val="single" w:sz="5" w:space="0" w:color="000000"/>
              <w:bottom w:val="single" w:sz="5" w:space="0" w:color="000000"/>
              <w:right w:val="single" w:sz="5" w:space="0" w:color="000000"/>
            </w:tcBorders>
          </w:tcPr>
          <w:p w14:paraId="34D13A20" w14:textId="77777777" w:rsidR="00957F89" w:rsidRPr="00C73849" w:rsidRDefault="00D92D87">
            <w:pPr>
              <w:pStyle w:val="TableParagraph"/>
              <w:ind w:left="102" w:right="188" w:hanging="1"/>
              <w:rPr>
                <w:rFonts w:ascii="Times New Roman" w:eastAsia="Times New Roman" w:hAnsi="Times New Roman" w:cs="Times New Roman"/>
                <w:sz w:val="20"/>
                <w:szCs w:val="20"/>
              </w:rPr>
            </w:pPr>
            <w:r w:rsidRPr="00C73849">
              <w:rPr>
                <w:rFonts w:ascii="Times New Roman"/>
                <w:sz w:val="20"/>
              </w:rPr>
              <w:t>Not</w:t>
            </w:r>
            <w:r w:rsidRPr="00C73849">
              <w:rPr>
                <w:rFonts w:ascii="Times New Roman"/>
                <w:w w:val="99"/>
                <w:sz w:val="20"/>
              </w:rPr>
              <w:t xml:space="preserve"> </w:t>
            </w:r>
            <w:r w:rsidRPr="00C73849">
              <w:rPr>
                <w:rFonts w:ascii="Times New Roman"/>
                <w:w w:val="95"/>
                <w:sz w:val="20"/>
              </w:rPr>
              <w:t>suspected</w:t>
            </w:r>
          </w:p>
        </w:tc>
        <w:tc>
          <w:tcPr>
            <w:tcW w:w="1082" w:type="dxa"/>
            <w:tcBorders>
              <w:top w:val="single" w:sz="5" w:space="0" w:color="000000"/>
              <w:left w:val="single" w:sz="5" w:space="0" w:color="000000"/>
              <w:bottom w:val="single" w:sz="5" w:space="0" w:color="000000"/>
              <w:right w:val="single" w:sz="12" w:space="0" w:color="000000"/>
            </w:tcBorders>
          </w:tcPr>
          <w:p w14:paraId="59AFB178"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Resolved</w:t>
            </w:r>
          </w:p>
        </w:tc>
      </w:tr>
      <w:tr w:rsidR="00957F89" w:rsidRPr="00C73849" w14:paraId="3077AF28" w14:textId="77777777">
        <w:trPr>
          <w:trHeight w:hRule="exact" w:val="470"/>
        </w:trPr>
        <w:tc>
          <w:tcPr>
            <w:tcW w:w="1243" w:type="dxa"/>
            <w:tcBorders>
              <w:top w:val="single" w:sz="5" w:space="0" w:color="000000"/>
              <w:left w:val="single" w:sz="12" w:space="0" w:color="000000"/>
              <w:bottom w:val="single" w:sz="5" w:space="0" w:color="000000"/>
              <w:right w:val="single" w:sz="5" w:space="0" w:color="000000"/>
            </w:tcBorders>
          </w:tcPr>
          <w:p w14:paraId="3A065D0E" w14:textId="77777777" w:rsidR="00957F89" w:rsidRPr="00C73849" w:rsidRDefault="00D92D87">
            <w:pPr>
              <w:pStyle w:val="TableParagraph"/>
              <w:spacing w:line="222" w:lineRule="exact"/>
              <w:ind w:left="92"/>
              <w:rPr>
                <w:rFonts w:ascii="Times New Roman" w:eastAsia="Times New Roman" w:hAnsi="Times New Roman" w:cs="Times New Roman"/>
                <w:sz w:val="20"/>
                <w:szCs w:val="20"/>
              </w:rPr>
            </w:pPr>
            <w:r w:rsidRPr="00C73849">
              <w:rPr>
                <w:rFonts w:ascii="Times New Roman"/>
                <w:sz w:val="20"/>
              </w:rPr>
              <w:t>Dizziness</w:t>
            </w:r>
          </w:p>
        </w:tc>
        <w:tc>
          <w:tcPr>
            <w:tcW w:w="991" w:type="dxa"/>
            <w:tcBorders>
              <w:top w:val="single" w:sz="5" w:space="0" w:color="000000"/>
              <w:left w:val="single" w:sz="5" w:space="0" w:color="000000"/>
              <w:bottom w:val="single" w:sz="5" w:space="0" w:color="000000"/>
              <w:right w:val="single" w:sz="5" w:space="0" w:color="000000"/>
            </w:tcBorders>
          </w:tcPr>
          <w:p w14:paraId="212CB8B5" w14:textId="77777777" w:rsidR="00957F89" w:rsidRPr="00C73849" w:rsidRDefault="00D92D87">
            <w:pPr>
              <w:pStyle w:val="TableParagraph"/>
              <w:spacing w:line="222" w:lineRule="exact"/>
              <w:ind w:left="103"/>
              <w:rPr>
                <w:rFonts w:ascii="Times New Roman" w:eastAsia="Times New Roman" w:hAnsi="Times New Roman" w:cs="Times New Roman"/>
                <w:sz w:val="20"/>
                <w:szCs w:val="20"/>
              </w:rPr>
            </w:pPr>
            <w:r w:rsidRPr="00C73849">
              <w:rPr>
                <w:rFonts w:ascii="Times New Roman"/>
                <w:sz w:val="20"/>
              </w:rPr>
              <w:t>001-0016</w:t>
            </w:r>
          </w:p>
        </w:tc>
        <w:tc>
          <w:tcPr>
            <w:tcW w:w="1015" w:type="dxa"/>
            <w:tcBorders>
              <w:top w:val="single" w:sz="5" w:space="0" w:color="000000"/>
              <w:left w:val="single" w:sz="5" w:space="0" w:color="000000"/>
              <w:bottom w:val="single" w:sz="5" w:space="0" w:color="000000"/>
              <w:right w:val="single" w:sz="5" w:space="0" w:color="000000"/>
            </w:tcBorders>
          </w:tcPr>
          <w:p w14:paraId="4BB6AA55"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No</w:t>
            </w:r>
          </w:p>
        </w:tc>
        <w:tc>
          <w:tcPr>
            <w:tcW w:w="1082" w:type="dxa"/>
            <w:tcBorders>
              <w:top w:val="single" w:sz="5" w:space="0" w:color="000000"/>
              <w:left w:val="single" w:sz="5" w:space="0" w:color="000000"/>
              <w:bottom w:val="single" w:sz="5" w:space="0" w:color="000000"/>
              <w:right w:val="single" w:sz="5" w:space="0" w:color="000000"/>
            </w:tcBorders>
          </w:tcPr>
          <w:p w14:paraId="39B149A8" w14:textId="77777777" w:rsidR="00957F89" w:rsidRPr="00C73849" w:rsidRDefault="00D92D87">
            <w:pPr>
              <w:pStyle w:val="TableParagraph"/>
              <w:ind w:left="102" w:right="166"/>
              <w:rPr>
                <w:rFonts w:ascii="Times New Roman" w:eastAsia="Times New Roman" w:hAnsi="Times New Roman" w:cs="Times New Roman"/>
                <w:sz w:val="20"/>
                <w:szCs w:val="20"/>
              </w:rPr>
            </w:pPr>
            <w:r w:rsidRPr="00C73849">
              <w:rPr>
                <w:rFonts w:ascii="Times New Roman"/>
                <w:sz w:val="20"/>
              </w:rPr>
              <w:t>1 d 9 h 50</w:t>
            </w:r>
            <w:r w:rsidRPr="00C73849">
              <w:rPr>
                <w:rFonts w:ascii="Times New Roman"/>
                <w:w w:val="99"/>
                <w:sz w:val="20"/>
              </w:rPr>
              <w:t xml:space="preserve"> </w:t>
            </w:r>
            <w:r w:rsidRPr="00C73849">
              <w:rPr>
                <w:rFonts w:ascii="Times New Roman"/>
                <w:sz w:val="20"/>
              </w:rPr>
              <w:t>min</w:t>
            </w:r>
          </w:p>
        </w:tc>
        <w:tc>
          <w:tcPr>
            <w:tcW w:w="1082" w:type="dxa"/>
            <w:tcBorders>
              <w:top w:val="single" w:sz="5" w:space="0" w:color="000000"/>
              <w:left w:val="single" w:sz="5" w:space="0" w:color="000000"/>
              <w:bottom w:val="single" w:sz="5" w:space="0" w:color="000000"/>
              <w:right w:val="single" w:sz="5" w:space="0" w:color="000000"/>
            </w:tcBorders>
          </w:tcPr>
          <w:p w14:paraId="61639682"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15 min</w:t>
            </w:r>
          </w:p>
        </w:tc>
        <w:tc>
          <w:tcPr>
            <w:tcW w:w="1085" w:type="dxa"/>
            <w:tcBorders>
              <w:top w:val="single" w:sz="5" w:space="0" w:color="000000"/>
              <w:left w:val="single" w:sz="5" w:space="0" w:color="000000"/>
              <w:bottom w:val="single" w:sz="5" w:space="0" w:color="000000"/>
              <w:right w:val="single" w:sz="5" w:space="0" w:color="000000"/>
            </w:tcBorders>
          </w:tcPr>
          <w:p w14:paraId="4491E952"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Mild</w:t>
            </w:r>
          </w:p>
        </w:tc>
        <w:tc>
          <w:tcPr>
            <w:tcW w:w="1082" w:type="dxa"/>
            <w:tcBorders>
              <w:top w:val="single" w:sz="5" w:space="0" w:color="000000"/>
              <w:left w:val="single" w:sz="5" w:space="0" w:color="000000"/>
              <w:bottom w:val="single" w:sz="5" w:space="0" w:color="000000"/>
              <w:right w:val="single" w:sz="5" w:space="0" w:color="000000"/>
            </w:tcBorders>
          </w:tcPr>
          <w:p w14:paraId="2CB0BE70" w14:textId="77777777" w:rsidR="00957F89" w:rsidRPr="00C73849" w:rsidRDefault="00D92D87">
            <w:pPr>
              <w:pStyle w:val="TableParagraph"/>
              <w:ind w:left="102" w:right="188" w:hanging="1"/>
              <w:rPr>
                <w:rFonts w:ascii="Times New Roman" w:eastAsia="Times New Roman" w:hAnsi="Times New Roman" w:cs="Times New Roman"/>
                <w:sz w:val="20"/>
                <w:szCs w:val="20"/>
              </w:rPr>
            </w:pPr>
            <w:r w:rsidRPr="00C73849">
              <w:rPr>
                <w:rFonts w:ascii="Times New Roman"/>
                <w:sz w:val="20"/>
              </w:rPr>
              <w:t>Not</w:t>
            </w:r>
            <w:r w:rsidRPr="00C73849">
              <w:rPr>
                <w:rFonts w:ascii="Times New Roman"/>
                <w:w w:val="99"/>
                <w:sz w:val="20"/>
              </w:rPr>
              <w:t xml:space="preserve"> </w:t>
            </w:r>
            <w:r w:rsidRPr="00C73849">
              <w:rPr>
                <w:rFonts w:ascii="Times New Roman"/>
                <w:w w:val="95"/>
                <w:sz w:val="20"/>
              </w:rPr>
              <w:t>suspected</w:t>
            </w:r>
          </w:p>
        </w:tc>
        <w:tc>
          <w:tcPr>
            <w:tcW w:w="1082" w:type="dxa"/>
            <w:tcBorders>
              <w:top w:val="single" w:sz="5" w:space="0" w:color="000000"/>
              <w:left w:val="single" w:sz="5" w:space="0" w:color="000000"/>
              <w:bottom w:val="single" w:sz="5" w:space="0" w:color="000000"/>
              <w:right w:val="single" w:sz="12" w:space="0" w:color="000000"/>
            </w:tcBorders>
          </w:tcPr>
          <w:p w14:paraId="1386ABC0"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Resolved</w:t>
            </w:r>
          </w:p>
        </w:tc>
      </w:tr>
      <w:tr w:rsidR="00957F89" w:rsidRPr="00C73849" w14:paraId="52B342A0" w14:textId="77777777">
        <w:trPr>
          <w:trHeight w:hRule="exact" w:val="468"/>
        </w:trPr>
        <w:tc>
          <w:tcPr>
            <w:tcW w:w="1243" w:type="dxa"/>
            <w:tcBorders>
              <w:top w:val="single" w:sz="5" w:space="0" w:color="000000"/>
              <w:left w:val="single" w:sz="12" w:space="0" w:color="000000"/>
              <w:bottom w:val="single" w:sz="5" w:space="0" w:color="000000"/>
              <w:right w:val="single" w:sz="5" w:space="0" w:color="000000"/>
            </w:tcBorders>
          </w:tcPr>
          <w:p w14:paraId="7A87532A" w14:textId="77777777" w:rsidR="00957F89" w:rsidRPr="00C73849" w:rsidRDefault="00D92D87">
            <w:pPr>
              <w:pStyle w:val="TableParagraph"/>
              <w:spacing w:line="222" w:lineRule="exact"/>
              <w:ind w:left="92"/>
              <w:rPr>
                <w:rFonts w:ascii="Times New Roman" w:eastAsia="Times New Roman" w:hAnsi="Times New Roman" w:cs="Times New Roman"/>
                <w:sz w:val="20"/>
                <w:szCs w:val="20"/>
              </w:rPr>
            </w:pPr>
            <w:r w:rsidRPr="00C73849">
              <w:rPr>
                <w:rFonts w:ascii="Times New Roman"/>
                <w:sz w:val="20"/>
              </w:rPr>
              <w:t>Headache</w:t>
            </w:r>
          </w:p>
        </w:tc>
        <w:tc>
          <w:tcPr>
            <w:tcW w:w="991" w:type="dxa"/>
            <w:tcBorders>
              <w:top w:val="single" w:sz="5" w:space="0" w:color="000000"/>
              <w:left w:val="single" w:sz="5" w:space="0" w:color="000000"/>
              <w:bottom w:val="single" w:sz="5" w:space="0" w:color="000000"/>
              <w:right w:val="single" w:sz="5" w:space="0" w:color="000000"/>
            </w:tcBorders>
          </w:tcPr>
          <w:p w14:paraId="348E76F5" w14:textId="77777777" w:rsidR="00957F89" w:rsidRPr="00C73849" w:rsidRDefault="00D92D87">
            <w:pPr>
              <w:pStyle w:val="TableParagraph"/>
              <w:spacing w:line="222" w:lineRule="exact"/>
              <w:ind w:left="104"/>
              <w:rPr>
                <w:rFonts w:ascii="Times New Roman" w:eastAsia="Times New Roman" w:hAnsi="Times New Roman" w:cs="Times New Roman"/>
                <w:sz w:val="20"/>
                <w:szCs w:val="20"/>
              </w:rPr>
            </w:pPr>
            <w:r w:rsidRPr="00C73849">
              <w:rPr>
                <w:rFonts w:ascii="Times New Roman"/>
                <w:sz w:val="20"/>
              </w:rPr>
              <w:t>001-0018</w:t>
            </w:r>
          </w:p>
        </w:tc>
        <w:tc>
          <w:tcPr>
            <w:tcW w:w="1015" w:type="dxa"/>
            <w:tcBorders>
              <w:top w:val="single" w:sz="5" w:space="0" w:color="000000"/>
              <w:left w:val="single" w:sz="5" w:space="0" w:color="000000"/>
              <w:bottom w:val="single" w:sz="5" w:space="0" w:color="000000"/>
              <w:right w:val="single" w:sz="5" w:space="0" w:color="000000"/>
            </w:tcBorders>
          </w:tcPr>
          <w:p w14:paraId="587662DA" w14:textId="77777777" w:rsidR="00957F89" w:rsidRPr="00C73849" w:rsidRDefault="00D92D87">
            <w:pPr>
              <w:pStyle w:val="TableParagraph"/>
              <w:spacing w:line="222" w:lineRule="exact"/>
              <w:ind w:left="103"/>
              <w:rPr>
                <w:rFonts w:ascii="Times New Roman" w:eastAsia="Times New Roman" w:hAnsi="Times New Roman" w:cs="Times New Roman"/>
                <w:sz w:val="20"/>
                <w:szCs w:val="20"/>
              </w:rPr>
            </w:pPr>
            <w:r w:rsidRPr="00C73849">
              <w:rPr>
                <w:rFonts w:ascii="Times New Roman"/>
                <w:sz w:val="20"/>
              </w:rPr>
              <w:t>No</w:t>
            </w:r>
          </w:p>
        </w:tc>
        <w:tc>
          <w:tcPr>
            <w:tcW w:w="1082" w:type="dxa"/>
            <w:tcBorders>
              <w:top w:val="single" w:sz="5" w:space="0" w:color="000000"/>
              <w:left w:val="single" w:sz="5" w:space="0" w:color="000000"/>
              <w:bottom w:val="single" w:sz="5" w:space="0" w:color="000000"/>
              <w:right w:val="single" w:sz="5" w:space="0" w:color="000000"/>
            </w:tcBorders>
          </w:tcPr>
          <w:p w14:paraId="50BB3AD5"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9 h 30 min</w:t>
            </w:r>
          </w:p>
        </w:tc>
        <w:tc>
          <w:tcPr>
            <w:tcW w:w="1082" w:type="dxa"/>
            <w:tcBorders>
              <w:top w:val="single" w:sz="5" w:space="0" w:color="000000"/>
              <w:left w:val="single" w:sz="5" w:space="0" w:color="000000"/>
              <w:bottom w:val="single" w:sz="5" w:space="0" w:color="000000"/>
              <w:right w:val="single" w:sz="5" w:space="0" w:color="000000"/>
            </w:tcBorders>
          </w:tcPr>
          <w:p w14:paraId="39CCDDF6"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1 h</w:t>
            </w:r>
          </w:p>
        </w:tc>
        <w:tc>
          <w:tcPr>
            <w:tcW w:w="1085" w:type="dxa"/>
            <w:tcBorders>
              <w:top w:val="single" w:sz="5" w:space="0" w:color="000000"/>
              <w:left w:val="single" w:sz="5" w:space="0" w:color="000000"/>
              <w:bottom w:val="single" w:sz="5" w:space="0" w:color="000000"/>
              <w:right w:val="single" w:sz="5" w:space="0" w:color="000000"/>
            </w:tcBorders>
          </w:tcPr>
          <w:p w14:paraId="036C0561"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Mild</w:t>
            </w:r>
          </w:p>
        </w:tc>
        <w:tc>
          <w:tcPr>
            <w:tcW w:w="1082" w:type="dxa"/>
            <w:tcBorders>
              <w:top w:val="single" w:sz="5" w:space="0" w:color="000000"/>
              <w:left w:val="single" w:sz="5" w:space="0" w:color="000000"/>
              <w:bottom w:val="single" w:sz="5" w:space="0" w:color="000000"/>
              <w:right w:val="single" w:sz="5" w:space="0" w:color="000000"/>
            </w:tcBorders>
          </w:tcPr>
          <w:p w14:paraId="62171A00" w14:textId="77777777" w:rsidR="00957F89" w:rsidRPr="00C73849" w:rsidRDefault="00D92D87">
            <w:pPr>
              <w:pStyle w:val="TableParagraph"/>
              <w:spacing w:line="238" w:lineRule="auto"/>
              <w:ind w:left="102" w:right="188" w:hanging="1"/>
              <w:rPr>
                <w:rFonts w:ascii="Times New Roman" w:eastAsia="Times New Roman" w:hAnsi="Times New Roman" w:cs="Times New Roman"/>
                <w:sz w:val="20"/>
                <w:szCs w:val="20"/>
              </w:rPr>
            </w:pPr>
            <w:r w:rsidRPr="00C73849">
              <w:rPr>
                <w:rFonts w:ascii="Times New Roman"/>
                <w:sz w:val="20"/>
              </w:rPr>
              <w:t>Not</w:t>
            </w:r>
            <w:r w:rsidRPr="00C73849">
              <w:rPr>
                <w:rFonts w:ascii="Times New Roman"/>
                <w:w w:val="99"/>
                <w:sz w:val="20"/>
              </w:rPr>
              <w:t xml:space="preserve"> </w:t>
            </w:r>
            <w:r w:rsidRPr="00C73849">
              <w:rPr>
                <w:rFonts w:ascii="Times New Roman"/>
                <w:w w:val="95"/>
                <w:sz w:val="20"/>
              </w:rPr>
              <w:t>suspected</w:t>
            </w:r>
          </w:p>
        </w:tc>
        <w:tc>
          <w:tcPr>
            <w:tcW w:w="1082" w:type="dxa"/>
            <w:tcBorders>
              <w:top w:val="single" w:sz="5" w:space="0" w:color="000000"/>
              <w:left w:val="single" w:sz="5" w:space="0" w:color="000000"/>
              <w:bottom w:val="single" w:sz="5" w:space="0" w:color="000000"/>
              <w:right w:val="single" w:sz="12" w:space="0" w:color="000000"/>
            </w:tcBorders>
          </w:tcPr>
          <w:p w14:paraId="2B4D61F2"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Resolved</w:t>
            </w:r>
          </w:p>
        </w:tc>
      </w:tr>
      <w:tr w:rsidR="00957F89" w:rsidRPr="00C73849" w14:paraId="75151A9D" w14:textId="77777777">
        <w:trPr>
          <w:trHeight w:hRule="exact" w:val="240"/>
        </w:trPr>
        <w:tc>
          <w:tcPr>
            <w:tcW w:w="8664" w:type="dxa"/>
            <w:gridSpan w:val="8"/>
            <w:tcBorders>
              <w:top w:val="single" w:sz="5" w:space="0" w:color="000000"/>
              <w:left w:val="single" w:sz="12" w:space="0" w:color="000000"/>
              <w:bottom w:val="single" w:sz="5" w:space="0" w:color="000000"/>
              <w:right w:val="single" w:sz="12" w:space="0" w:color="000000"/>
            </w:tcBorders>
          </w:tcPr>
          <w:p w14:paraId="420FD96E" w14:textId="77777777" w:rsidR="00957F89" w:rsidRPr="00C73849" w:rsidRDefault="00D92D87">
            <w:pPr>
              <w:pStyle w:val="TableParagraph"/>
              <w:spacing w:line="227" w:lineRule="exact"/>
              <w:ind w:left="92"/>
              <w:rPr>
                <w:rFonts w:ascii="Times New Roman" w:eastAsia="Times New Roman" w:hAnsi="Times New Roman" w:cs="Times New Roman"/>
                <w:sz w:val="20"/>
                <w:szCs w:val="20"/>
              </w:rPr>
            </w:pPr>
            <w:r w:rsidRPr="00C73849">
              <w:rPr>
                <w:rFonts w:ascii="Times New Roman"/>
                <w:b/>
                <w:sz w:val="20"/>
              </w:rPr>
              <w:t>0.36 ml/kg Pyruvate Injection</w:t>
            </w:r>
          </w:p>
        </w:tc>
      </w:tr>
      <w:tr w:rsidR="00957F89" w:rsidRPr="00C73849" w14:paraId="5517C601" w14:textId="77777777">
        <w:trPr>
          <w:trHeight w:hRule="exact" w:val="470"/>
        </w:trPr>
        <w:tc>
          <w:tcPr>
            <w:tcW w:w="1243" w:type="dxa"/>
            <w:vMerge w:val="restart"/>
            <w:tcBorders>
              <w:top w:val="single" w:sz="5" w:space="0" w:color="000000"/>
              <w:left w:val="single" w:sz="12" w:space="0" w:color="000000"/>
              <w:right w:val="single" w:sz="5" w:space="0" w:color="000000"/>
            </w:tcBorders>
          </w:tcPr>
          <w:p w14:paraId="45AAE814" w14:textId="77777777" w:rsidR="00957F89" w:rsidRPr="00C73849" w:rsidRDefault="00D92D87">
            <w:pPr>
              <w:pStyle w:val="TableParagraph"/>
              <w:spacing w:line="222" w:lineRule="exact"/>
              <w:ind w:left="92"/>
              <w:rPr>
                <w:rFonts w:ascii="Times New Roman" w:eastAsia="Times New Roman" w:hAnsi="Times New Roman" w:cs="Times New Roman"/>
                <w:sz w:val="20"/>
                <w:szCs w:val="20"/>
              </w:rPr>
            </w:pPr>
            <w:r w:rsidRPr="00C73849">
              <w:rPr>
                <w:rFonts w:ascii="Times New Roman"/>
                <w:sz w:val="20"/>
              </w:rPr>
              <w:t>Headache</w:t>
            </w:r>
          </w:p>
        </w:tc>
        <w:tc>
          <w:tcPr>
            <w:tcW w:w="991" w:type="dxa"/>
            <w:tcBorders>
              <w:top w:val="single" w:sz="5" w:space="0" w:color="000000"/>
              <w:left w:val="single" w:sz="5" w:space="0" w:color="000000"/>
              <w:bottom w:val="single" w:sz="5" w:space="0" w:color="000000"/>
              <w:right w:val="single" w:sz="5" w:space="0" w:color="000000"/>
            </w:tcBorders>
          </w:tcPr>
          <w:p w14:paraId="48962899"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001-0019</w:t>
            </w:r>
          </w:p>
        </w:tc>
        <w:tc>
          <w:tcPr>
            <w:tcW w:w="1015" w:type="dxa"/>
            <w:tcBorders>
              <w:top w:val="single" w:sz="5" w:space="0" w:color="000000"/>
              <w:left w:val="single" w:sz="5" w:space="0" w:color="000000"/>
              <w:bottom w:val="single" w:sz="5" w:space="0" w:color="000000"/>
              <w:right w:val="single" w:sz="5" w:space="0" w:color="000000"/>
            </w:tcBorders>
          </w:tcPr>
          <w:p w14:paraId="43A04D8C"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No</w:t>
            </w:r>
          </w:p>
        </w:tc>
        <w:tc>
          <w:tcPr>
            <w:tcW w:w="1082" w:type="dxa"/>
            <w:tcBorders>
              <w:top w:val="single" w:sz="5" w:space="0" w:color="000000"/>
              <w:left w:val="single" w:sz="5" w:space="0" w:color="000000"/>
              <w:bottom w:val="single" w:sz="5" w:space="0" w:color="000000"/>
              <w:right w:val="single" w:sz="5" w:space="0" w:color="000000"/>
            </w:tcBorders>
          </w:tcPr>
          <w:p w14:paraId="77CBD723"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57 min</w:t>
            </w:r>
          </w:p>
        </w:tc>
        <w:tc>
          <w:tcPr>
            <w:tcW w:w="1082" w:type="dxa"/>
            <w:tcBorders>
              <w:top w:val="single" w:sz="5" w:space="0" w:color="000000"/>
              <w:left w:val="single" w:sz="5" w:space="0" w:color="000000"/>
              <w:bottom w:val="single" w:sz="5" w:space="0" w:color="000000"/>
              <w:right w:val="single" w:sz="5" w:space="0" w:color="000000"/>
            </w:tcBorders>
          </w:tcPr>
          <w:p w14:paraId="62094D67"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30 min</w:t>
            </w:r>
          </w:p>
        </w:tc>
        <w:tc>
          <w:tcPr>
            <w:tcW w:w="1085" w:type="dxa"/>
            <w:tcBorders>
              <w:top w:val="single" w:sz="5" w:space="0" w:color="000000"/>
              <w:left w:val="single" w:sz="5" w:space="0" w:color="000000"/>
              <w:bottom w:val="single" w:sz="5" w:space="0" w:color="000000"/>
              <w:right w:val="single" w:sz="5" w:space="0" w:color="000000"/>
            </w:tcBorders>
          </w:tcPr>
          <w:p w14:paraId="19EB53A5"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Mild</w:t>
            </w:r>
          </w:p>
        </w:tc>
        <w:tc>
          <w:tcPr>
            <w:tcW w:w="1082" w:type="dxa"/>
            <w:tcBorders>
              <w:top w:val="single" w:sz="5" w:space="0" w:color="000000"/>
              <w:left w:val="single" w:sz="5" w:space="0" w:color="000000"/>
              <w:bottom w:val="single" w:sz="5" w:space="0" w:color="000000"/>
              <w:right w:val="single" w:sz="5" w:space="0" w:color="000000"/>
            </w:tcBorders>
          </w:tcPr>
          <w:p w14:paraId="73F491A4" w14:textId="77777777" w:rsidR="00957F89" w:rsidRPr="00C73849" w:rsidRDefault="00D92D87">
            <w:pPr>
              <w:pStyle w:val="TableParagraph"/>
              <w:ind w:left="102" w:right="188" w:hanging="1"/>
              <w:rPr>
                <w:rFonts w:ascii="Times New Roman" w:eastAsia="Times New Roman" w:hAnsi="Times New Roman" w:cs="Times New Roman"/>
                <w:sz w:val="20"/>
                <w:szCs w:val="20"/>
              </w:rPr>
            </w:pPr>
            <w:r w:rsidRPr="00C73849">
              <w:rPr>
                <w:rFonts w:ascii="Times New Roman"/>
                <w:sz w:val="20"/>
              </w:rPr>
              <w:t>Not</w:t>
            </w:r>
            <w:r w:rsidRPr="00C73849">
              <w:rPr>
                <w:rFonts w:ascii="Times New Roman"/>
                <w:w w:val="99"/>
                <w:sz w:val="20"/>
              </w:rPr>
              <w:t xml:space="preserve"> </w:t>
            </w:r>
            <w:r w:rsidRPr="00C73849">
              <w:rPr>
                <w:rFonts w:ascii="Times New Roman"/>
                <w:w w:val="95"/>
                <w:sz w:val="20"/>
              </w:rPr>
              <w:t>suspected</w:t>
            </w:r>
          </w:p>
        </w:tc>
        <w:tc>
          <w:tcPr>
            <w:tcW w:w="1082" w:type="dxa"/>
            <w:tcBorders>
              <w:top w:val="single" w:sz="5" w:space="0" w:color="000000"/>
              <w:left w:val="single" w:sz="5" w:space="0" w:color="000000"/>
              <w:bottom w:val="single" w:sz="5" w:space="0" w:color="000000"/>
              <w:right w:val="single" w:sz="12" w:space="0" w:color="000000"/>
            </w:tcBorders>
          </w:tcPr>
          <w:p w14:paraId="08844355"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Resolved</w:t>
            </w:r>
          </w:p>
        </w:tc>
      </w:tr>
      <w:tr w:rsidR="00957F89" w:rsidRPr="00C73849" w14:paraId="7C2696CA" w14:textId="77777777">
        <w:trPr>
          <w:trHeight w:hRule="exact" w:val="470"/>
        </w:trPr>
        <w:tc>
          <w:tcPr>
            <w:tcW w:w="1243" w:type="dxa"/>
            <w:vMerge/>
            <w:tcBorders>
              <w:left w:val="single" w:sz="12" w:space="0" w:color="000000"/>
              <w:bottom w:val="single" w:sz="5" w:space="0" w:color="000000"/>
              <w:right w:val="single" w:sz="5" w:space="0" w:color="000000"/>
            </w:tcBorders>
          </w:tcPr>
          <w:p w14:paraId="0C140210" w14:textId="77777777" w:rsidR="00957F89" w:rsidRPr="00C73849" w:rsidRDefault="00957F89"/>
        </w:tc>
        <w:tc>
          <w:tcPr>
            <w:tcW w:w="991" w:type="dxa"/>
            <w:tcBorders>
              <w:top w:val="single" w:sz="5" w:space="0" w:color="000000"/>
              <w:left w:val="single" w:sz="5" w:space="0" w:color="000000"/>
              <w:bottom w:val="single" w:sz="5" w:space="0" w:color="000000"/>
              <w:right w:val="single" w:sz="5" w:space="0" w:color="000000"/>
            </w:tcBorders>
          </w:tcPr>
          <w:p w14:paraId="769FD04A"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001-0019</w:t>
            </w:r>
          </w:p>
        </w:tc>
        <w:tc>
          <w:tcPr>
            <w:tcW w:w="1015" w:type="dxa"/>
            <w:tcBorders>
              <w:top w:val="single" w:sz="5" w:space="0" w:color="000000"/>
              <w:left w:val="single" w:sz="5" w:space="0" w:color="000000"/>
              <w:bottom w:val="single" w:sz="5" w:space="0" w:color="000000"/>
              <w:right w:val="single" w:sz="5" w:space="0" w:color="000000"/>
            </w:tcBorders>
          </w:tcPr>
          <w:p w14:paraId="6C0694BA"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No</w:t>
            </w:r>
          </w:p>
        </w:tc>
        <w:tc>
          <w:tcPr>
            <w:tcW w:w="1082" w:type="dxa"/>
            <w:tcBorders>
              <w:top w:val="single" w:sz="5" w:space="0" w:color="000000"/>
              <w:left w:val="single" w:sz="5" w:space="0" w:color="000000"/>
              <w:bottom w:val="single" w:sz="5" w:space="0" w:color="000000"/>
              <w:right w:val="single" w:sz="5" w:space="0" w:color="000000"/>
            </w:tcBorders>
          </w:tcPr>
          <w:p w14:paraId="5384887F"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20 h 20</w:t>
            </w:r>
          </w:p>
          <w:p w14:paraId="1E7563C1" w14:textId="77777777" w:rsidR="00957F89" w:rsidRPr="00C73849" w:rsidRDefault="00D92D87">
            <w:pPr>
              <w:pStyle w:val="TableParagraph"/>
              <w:ind w:left="102"/>
              <w:rPr>
                <w:rFonts w:ascii="Times New Roman" w:eastAsia="Times New Roman" w:hAnsi="Times New Roman" w:cs="Times New Roman"/>
                <w:sz w:val="20"/>
                <w:szCs w:val="20"/>
              </w:rPr>
            </w:pPr>
            <w:r w:rsidRPr="00C73849">
              <w:rPr>
                <w:rFonts w:ascii="Times New Roman"/>
                <w:sz w:val="20"/>
              </w:rPr>
              <w:t>min</w:t>
            </w:r>
          </w:p>
        </w:tc>
        <w:tc>
          <w:tcPr>
            <w:tcW w:w="1082" w:type="dxa"/>
            <w:tcBorders>
              <w:top w:val="single" w:sz="5" w:space="0" w:color="000000"/>
              <w:left w:val="single" w:sz="5" w:space="0" w:color="000000"/>
              <w:bottom w:val="single" w:sz="5" w:space="0" w:color="000000"/>
              <w:right w:val="single" w:sz="5" w:space="0" w:color="000000"/>
            </w:tcBorders>
          </w:tcPr>
          <w:p w14:paraId="1880A102"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12 h 30</w:t>
            </w:r>
          </w:p>
          <w:p w14:paraId="19AD7E8E" w14:textId="77777777" w:rsidR="00957F89" w:rsidRPr="00C73849" w:rsidRDefault="00D92D87">
            <w:pPr>
              <w:pStyle w:val="TableParagraph"/>
              <w:ind w:left="102"/>
              <w:rPr>
                <w:rFonts w:ascii="Times New Roman" w:eastAsia="Times New Roman" w:hAnsi="Times New Roman" w:cs="Times New Roman"/>
                <w:sz w:val="20"/>
                <w:szCs w:val="20"/>
              </w:rPr>
            </w:pPr>
            <w:r w:rsidRPr="00C73849">
              <w:rPr>
                <w:rFonts w:ascii="Times New Roman"/>
                <w:sz w:val="20"/>
              </w:rPr>
              <w:t>min</w:t>
            </w:r>
          </w:p>
        </w:tc>
        <w:tc>
          <w:tcPr>
            <w:tcW w:w="1085" w:type="dxa"/>
            <w:tcBorders>
              <w:top w:val="single" w:sz="5" w:space="0" w:color="000000"/>
              <w:left w:val="single" w:sz="5" w:space="0" w:color="000000"/>
              <w:bottom w:val="single" w:sz="5" w:space="0" w:color="000000"/>
              <w:right w:val="single" w:sz="5" w:space="0" w:color="000000"/>
            </w:tcBorders>
          </w:tcPr>
          <w:p w14:paraId="2FDCC33C"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Mild</w:t>
            </w:r>
          </w:p>
        </w:tc>
        <w:tc>
          <w:tcPr>
            <w:tcW w:w="1082" w:type="dxa"/>
            <w:tcBorders>
              <w:top w:val="single" w:sz="5" w:space="0" w:color="000000"/>
              <w:left w:val="single" w:sz="5" w:space="0" w:color="000000"/>
              <w:bottom w:val="single" w:sz="5" w:space="0" w:color="000000"/>
              <w:right w:val="single" w:sz="5" w:space="0" w:color="000000"/>
            </w:tcBorders>
          </w:tcPr>
          <w:p w14:paraId="433AB0BC" w14:textId="77777777" w:rsidR="00957F89" w:rsidRPr="00C73849" w:rsidRDefault="00D92D87">
            <w:pPr>
              <w:pStyle w:val="TableParagraph"/>
              <w:ind w:left="102" w:right="188" w:hanging="1"/>
              <w:rPr>
                <w:rFonts w:ascii="Times New Roman" w:eastAsia="Times New Roman" w:hAnsi="Times New Roman" w:cs="Times New Roman"/>
                <w:sz w:val="20"/>
                <w:szCs w:val="20"/>
              </w:rPr>
            </w:pPr>
            <w:r w:rsidRPr="00C73849">
              <w:rPr>
                <w:rFonts w:ascii="Times New Roman"/>
                <w:sz w:val="20"/>
              </w:rPr>
              <w:t>Not</w:t>
            </w:r>
            <w:r w:rsidRPr="00C73849">
              <w:rPr>
                <w:rFonts w:ascii="Times New Roman"/>
                <w:w w:val="99"/>
                <w:sz w:val="20"/>
              </w:rPr>
              <w:t xml:space="preserve"> </w:t>
            </w:r>
            <w:r w:rsidRPr="00C73849">
              <w:rPr>
                <w:rFonts w:ascii="Times New Roman"/>
                <w:w w:val="95"/>
                <w:sz w:val="20"/>
              </w:rPr>
              <w:t>suspected</w:t>
            </w:r>
          </w:p>
        </w:tc>
        <w:tc>
          <w:tcPr>
            <w:tcW w:w="1082" w:type="dxa"/>
            <w:tcBorders>
              <w:top w:val="single" w:sz="5" w:space="0" w:color="000000"/>
              <w:left w:val="single" w:sz="5" w:space="0" w:color="000000"/>
              <w:bottom w:val="single" w:sz="5" w:space="0" w:color="000000"/>
              <w:right w:val="single" w:sz="12" w:space="0" w:color="000000"/>
            </w:tcBorders>
          </w:tcPr>
          <w:p w14:paraId="3D9AF144"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Resolved</w:t>
            </w:r>
          </w:p>
        </w:tc>
      </w:tr>
      <w:tr w:rsidR="00957F89" w:rsidRPr="00C73849" w14:paraId="6CF4EF26" w14:textId="77777777">
        <w:trPr>
          <w:trHeight w:hRule="exact" w:val="470"/>
        </w:trPr>
        <w:tc>
          <w:tcPr>
            <w:tcW w:w="1243" w:type="dxa"/>
            <w:tcBorders>
              <w:top w:val="single" w:sz="5" w:space="0" w:color="000000"/>
              <w:left w:val="single" w:sz="12" w:space="0" w:color="000000"/>
              <w:bottom w:val="single" w:sz="5" w:space="0" w:color="000000"/>
              <w:right w:val="single" w:sz="5" w:space="0" w:color="000000"/>
            </w:tcBorders>
          </w:tcPr>
          <w:p w14:paraId="6F73C275" w14:textId="77777777" w:rsidR="00957F89" w:rsidRPr="00C73849" w:rsidRDefault="00D92D87">
            <w:pPr>
              <w:pStyle w:val="TableParagraph"/>
              <w:ind w:left="92" w:right="182"/>
              <w:rPr>
                <w:rFonts w:ascii="Times New Roman" w:eastAsia="Times New Roman" w:hAnsi="Times New Roman" w:cs="Times New Roman"/>
                <w:sz w:val="20"/>
                <w:szCs w:val="20"/>
              </w:rPr>
            </w:pPr>
            <w:r w:rsidRPr="00C73849">
              <w:rPr>
                <w:rFonts w:ascii="Times New Roman"/>
                <w:sz w:val="20"/>
              </w:rPr>
              <w:t>Erectile</w:t>
            </w:r>
            <w:r w:rsidRPr="00C73849">
              <w:rPr>
                <w:rFonts w:ascii="Times New Roman"/>
                <w:w w:val="99"/>
                <w:sz w:val="20"/>
              </w:rPr>
              <w:t xml:space="preserve"> </w:t>
            </w:r>
            <w:r w:rsidRPr="00C73849">
              <w:rPr>
                <w:rFonts w:ascii="Times New Roman"/>
                <w:sz w:val="20"/>
              </w:rPr>
              <w:t>dysfunction</w:t>
            </w:r>
          </w:p>
        </w:tc>
        <w:tc>
          <w:tcPr>
            <w:tcW w:w="991" w:type="dxa"/>
            <w:tcBorders>
              <w:top w:val="single" w:sz="5" w:space="0" w:color="000000"/>
              <w:left w:val="single" w:sz="5" w:space="0" w:color="000000"/>
              <w:bottom w:val="single" w:sz="5" w:space="0" w:color="000000"/>
              <w:right w:val="single" w:sz="5" w:space="0" w:color="000000"/>
            </w:tcBorders>
          </w:tcPr>
          <w:p w14:paraId="46F8051B"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001-0019</w:t>
            </w:r>
          </w:p>
        </w:tc>
        <w:tc>
          <w:tcPr>
            <w:tcW w:w="1015" w:type="dxa"/>
            <w:tcBorders>
              <w:top w:val="single" w:sz="5" w:space="0" w:color="000000"/>
              <w:left w:val="single" w:sz="5" w:space="0" w:color="000000"/>
              <w:bottom w:val="single" w:sz="5" w:space="0" w:color="000000"/>
              <w:right w:val="single" w:sz="5" w:space="0" w:color="000000"/>
            </w:tcBorders>
          </w:tcPr>
          <w:p w14:paraId="33E8A75D"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No</w:t>
            </w:r>
          </w:p>
        </w:tc>
        <w:tc>
          <w:tcPr>
            <w:tcW w:w="1082" w:type="dxa"/>
            <w:tcBorders>
              <w:top w:val="single" w:sz="5" w:space="0" w:color="000000"/>
              <w:left w:val="single" w:sz="5" w:space="0" w:color="000000"/>
              <w:bottom w:val="single" w:sz="5" w:space="0" w:color="000000"/>
              <w:right w:val="single" w:sz="5" w:space="0" w:color="000000"/>
            </w:tcBorders>
          </w:tcPr>
          <w:p w14:paraId="7F696A5B"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5 h 20 min</w:t>
            </w:r>
          </w:p>
        </w:tc>
        <w:tc>
          <w:tcPr>
            <w:tcW w:w="1082" w:type="dxa"/>
            <w:tcBorders>
              <w:top w:val="single" w:sz="5" w:space="0" w:color="000000"/>
              <w:left w:val="single" w:sz="5" w:space="0" w:color="000000"/>
              <w:bottom w:val="single" w:sz="5" w:space="0" w:color="000000"/>
              <w:right w:val="single" w:sz="5" w:space="0" w:color="000000"/>
            </w:tcBorders>
          </w:tcPr>
          <w:p w14:paraId="0A222185"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Unknown</w:t>
            </w:r>
          </w:p>
        </w:tc>
        <w:tc>
          <w:tcPr>
            <w:tcW w:w="1085" w:type="dxa"/>
            <w:tcBorders>
              <w:top w:val="single" w:sz="5" w:space="0" w:color="000000"/>
              <w:left w:val="single" w:sz="5" w:space="0" w:color="000000"/>
              <w:bottom w:val="single" w:sz="5" w:space="0" w:color="000000"/>
              <w:right w:val="single" w:sz="5" w:space="0" w:color="000000"/>
            </w:tcBorders>
          </w:tcPr>
          <w:p w14:paraId="5A6C938D"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Mild</w:t>
            </w:r>
          </w:p>
        </w:tc>
        <w:tc>
          <w:tcPr>
            <w:tcW w:w="1082" w:type="dxa"/>
            <w:tcBorders>
              <w:top w:val="single" w:sz="5" w:space="0" w:color="000000"/>
              <w:left w:val="single" w:sz="5" w:space="0" w:color="000000"/>
              <w:bottom w:val="single" w:sz="5" w:space="0" w:color="000000"/>
              <w:right w:val="single" w:sz="5" w:space="0" w:color="000000"/>
            </w:tcBorders>
          </w:tcPr>
          <w:p w14:paraId="126576D2" w14:textId="77777777" w:rsidR="00957F89" w:rsidRPr="00C73849" w:rsidRDefault="00D92D87">
            <w:pPr>
              <w:pStyle w:val="TableParagraph"/>
              <w:ind w:left="102" w:right="188" w:hanging="1"/>
              <w:rPr>
                <w:rFonts w:ascii="Times New Roman" w:eastAsia="Times New Roman" w:hAnsi="Times New Roman" w:cs="Times New Roman"/>
                <w:sz w:val="20"/>
                <w:szCs w:val="20"/>
              </w:rPr>
            </w:pPr>
            <w:r w:rsidRPr="00C73849">
              <w:rPr>
                <w:rFonts w:ascii="Times New Roman"/>
                <w:sz w:val="20"/>
              </w:rPr>
              <w:t>Not</w:t>
            </w:r>
            <w:r w:rsidRPr="00C73849">
              <w:rPr>
                <w:rFonts w:ascii="Times New Roman"/>
                <w:w w:val="99"/>
                <w:sz w:val="20"/>
              </w:rPr>
              <w:t xml:space="preserve"> </w:t>
            </w:r>
            <w:r w:rsidRPr="00C73849">
              <w:rPr>
                <w:rFonts w:ascii="Times New Roman"/>
                <w:w w:val="95"/>
                <w:sz w:val="20"/>
              </w:rPr>
              <w:t>suspected</w:t>
            </w:r>
          </w:p>
        </w:tc>
        <w:tc>
          <w:tcPr>
            <w:tcW w:w="1082" w:type="dxa"/>
            <w:tcBorders>
              <w:top w:val="single" w:sz="5" w:space="0" w:color="000000"/>
              <w:left w:val="single" w:sz="5" w:space="0" w:color="000000"/>
              <w:bottom w:val="single" w:sz="5" w:space="0" w:color="000000"/>
              <w:right w:val="single" w:sz="12" w:space="0" w:color="000000"/>
            </w:tcBorders>
          </w:tcPr>
          <w:p w14:paraId="598C0DA9"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Resolved</w:t>
            </w:r>
          </w:p>
        </w:tc>
      </w:tr>
      <w:tr w:rsidR="00957F89" w:rsidRPr="00C73849" w14:paraId="1C7F633C" w14:textId="77777777">
        <w:trPr>
          <w:trHeight w:hRule="exact" w:val="240"/>
        </w:trPr>
        <w:tc>
          <w:tcPr>
            <w:tcW w:w="1243" w:type="dxa"/>
            <w:tcBorders>
              <w:top w:val="single" w:sz="5" w:space="0" w:color="000000"/>
              <w:left w:val="single" w:sz="12" w:space="0" w:color="000000"/>
              <w:bottom w:val="single" w:sz="5" w:space="0" w:color="000000"/>
              <w:right w:val="single" w:sz="5" w:space="0" w:color="000000"/>
            </w:tcBorders>
          </w:tcPr>
          <w:p w14:paraId="0B876E15" w14:textId="77777777" w:rsidR="00957F89" w:rsidRPr="00C73849" w:rsidRDefault="00D92D87">
            <w:pPr>
              <w:pStyle w:val="TableParagraph"/>
              <w:spacing w:line="222" w:lineRule="exact"/>
              <w:ind w:left="92"/>
              <w:rPr>
                <w:rFonts w:ascii="Times New Roman" w:eastAsia="Times New Roman" w:hAnsi="Times New Roman" w:cs="Times New Roman"/>
                <w:sz w:val="20"/>
                <w:szCs w:val="20"/>
              </w:rPr>
            </w:pPr>
            <w:r w:rsidRPr="00C73849">
              <w:rPr>
                <w:rFonts w:ascii="Times New Roman"/>
                <w:sz w:val="20"/>
              </w:rPr>
              <w:t>Feeling hot</w:t>
            </w:r>
          </w:p>
        </w:tc>
        <w:tc>
          <w:tcPr>
            <w:tcW w:w="991" w:type="dxa"/>
            <w:tcBorders>
              <w:top w:val="single" w:sz="5" w:space="0" w:color="000000"/>
              <w:left w:val="single" w:sz="5" w:space="0" w:color="000000"/>
              <w:bottom w:val="single" w:sz="5" w:space="0" w:color="000000"/>
              <w:right w:val="single" w:sz="5" w:space="0" w:color="000000"/>
            </w:tcBorders>
          </w:tcPr>
          <w:p w14:paraId="6596D70C" w14:textId="77777777" w:rsidR="00957F89" w:rsidRPr="00C73849" w:rsidRDefault="00D92D87">
            <w:pPr>
              <w:pStyle w:val="TableParagraph"/>
              <w:spacing w:line="222" w:lineRule="exact"/>
              <w:ind w:left="103"/>
              <w:rPr>
                <w:rFonts w:ascii="Times New Roman" w:eastAsia="Times New Roman" w:hAnsi="Times New Roman" w:cs="Times New Roman"/>
                <w:sz w:val="20"/>
                <w:szCs w:val="20"/>
              </w:rPr>
            </w:pPr>
            <w:r w:rsidRPr="00C73849">
              <w:rPr>
                <w:rFonts w:ascii="Times New Roman"/>
                <w:sz w:val="20"/>
              </w:rPr>
              <w:t>001-0022</w:t>
            </w:r>
          </w:p>
        </w:tc>
        <w:tc>
          <w:tcPr>
            <w:tcW w:w="1015" w:type="dxa"/>
            <w:tcBorders>
              <w:top w:val="single" w:sz="5" w:space="0" w:color="000000"/>
              <w:left w:val="single" w:sz="5" w:space="0" w:color="000000"/>
              <w:bottom w:val="single" w:sz="5" w:space="0" w:color="000000"/>
              <w:right w:val="single" w:sz="5" w:space="0" w:color="000000"/>
            </w:tcBorders>
          </w:tcPr>
          <w:p w14:paraId="66C4C2C5"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No</w:t>
            </w:r>
          </w:p>
        </w:tc>
        <w:tc>
          <w:tcPr>
            <w:tcW w:w="1082" w:type="dxa"/>
            <w:tcBorders>
              <w:top w:val="single" w:sz="5" w:space="0" w:color="000000"/>
              <w:left w:val="single" w:sz="5" w:space="0" w:color="000000"/>
              <w:bottom w:val="single" w:sz="5" w:space="0" w:color="000000"/>
              <w:right w:val="single" w:sz="5" w:space="0" w:color="000000"/>
            </w:tcBorders>
          </w:tcPr>
          <w:p w14:paraId="2570F07C"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Immediate</w:t>
            </w:r>
          </w:p>
        </w:tc>
        <w:tc>
          <w:tcPr>
            <w:tcW w:w="1082" w:type="dxa"/>
            <w:tcBorders>
              <w:top w:val="single" w:sz="5" w:space="0" w:color="000000"/>
              <w:left w:val="single" w:sz="5" w:space="0" w:color="000000"/>
              <w:bottom w:val="single" w:sz="5" w:space="0" w:color="000000"/>
              <w:right w:val="single" w:sz="5" w:space="0" w:color="000000"/>
            </w:tcBorders>
          </w:tcPr>
          <w:p w14:paraId="78C6949E"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1 min</w:t>
            </w:r>
          </w:p>
        </w:tc>
        <w:tc>
          <w:tcPr>
            <w:tcW w:w="1085" w:type="dxa"/>
            <w:tcBorders>
              <w:top w:val="single" w:sz="5" w:space="0" w:color="000000"/>
              <w:left w:val="single" w:sz="5" w:space="0" w:color="000000"/>
              <w:bottom w:val="single" w:sz="5" w:space="0" w:color="000000"/>
              <w:right w:val="single" w:sz="5" w:space="0" w:color="000000"/>
            </w:tcBorders>
          </w:tcPr>
          <w:p w14:paraId="75406DDA"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Mild</w:t>
            </w:r>
          </w:p>
        </w:tc>
        <w:tc>
          <w:tcPr>
            <w:tcW w:w="1082" w:type="dxa"/>
            <w:tcBorders>
              <w:top w:val="single" w:sz="5" w:space="0" w:color="000000"/>
              <w:left w:val="single" w:sz="5" w:space="0" w:color="000000"/>
              <w:bottom w:val="single" w:sz="5" w:space="0" w:color="000000"/>
              <w:right w:val="single" w:sz="5" w:space="0" w:color="000000"/>
            </w:tcBorders>
          </w:tcPr>
          <w:p w14:paraId="43C33929"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Suspected</w:t>
            </w:r>
          </w:p>
        </w:tc>
        <w:tc>
          <w:tcPr>
            <w:tcW w:w="1082" w:type="dxa"/>
            <w:tcBorders>
              <w:top w:val="single" w:sz="5" w:space="0" w:color="000000"/>
              <w:left w:val="single" w:sz="5" w:space="0" w:color="000000"/>
              <w:bottom w:val="single" w:sz="5" w:space="0" w:color="000000"/>
              <w:right w:val="single" w:sz="12" w:space="0" w:color="000000"/>
            </w:tcBorders>
          </w:tcPr>
          <w:p w14:paraId="3374A234"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Resolved</w:t>
            </w:r>
          </w:p>
        </w:tc>
      </w:tr>
      <w:tr w:rsidR="00957F89" w:rsidRPr="00C73849" w14:paraId="74124ED2" w14:textId="77777777">
        <w:trPr>
          <w:trHeight w:hRule="exact" w:val="240"/>
        </w:trPr>
        <w:tc>
          <w:tcPr>
            <w:tcW w:w="8664" w:type="dxa"/>
            <w:gridSpan w:val="8"/>
            <w:tcBorders>
              <w:top w:val="single" w:sz="5" w:space="0" w:color="000000"/>
              <w:left w:val="single" w:sz="12" w:space="0" w:color="000000"/>
              <w:bottom w:val="single" w:sz="5" w:space="0" w:color="000000"/>
              <w:right w:val="single" w:sz="12" w:space="0" w:color="000000"/>
            </w:tcBorders>
          </w:tcPr>
          <w:p w14:paraId="5E0EAD11" w14:textId="77777777" w:rsidR="00957F89" w:rsidRPr="00C73849" w:rsidRDefault="00D92D87">
            <w:pPr>
              <w:pStyle w:val="TableParagraph"/>
              <w:spacing w:line="227" w:lineRule="exact"/>
              <w:ind w:left="92"/>
              <w:rPr>
                <w:rFonts w:ascii="Times New Roman" w:eastAsia="Times New Roman" w:hAnsi="Times New Roman" w:cs="Times New Roman"/>
                <w:sz w:val="20"/>
                <w:szCs w:val="20"/>
              </w:rPr>
            </w:pPr>
            <w:r w:rsidRPr="00C73849">
              <w:rPr>
                <w:rFonts w:ascii="Times New Roman"/>
                <w:b/>
                <w:sz w:val="20"/>
              </w:rPr>
              <w:t>0.43 ml/kg Pyruvate Injection</w:t>
            </w:r>
          </w:p>
        </w:tc>
      </w:tr>
      <w:tr w:rsidR="00957F89" w:rsidRPr="00C73849" w14:paraId="2951B1ED" w14:textId="77777777">
        <w:trPr>
          <w:trHeight w:hRule="exact" w:val="698"/>
        </w:trPr>
        <w:tc>
          <w:tcPr>
            <w:tcW w:w="1243" w:type="dxa"/>
            <w:tcBorders>
              <w:top w:val="single" w:sz="5" w:space="0" w:color="000000"/>
              <w:left w:val="single" w:sz="12" w:space="0" w:color="000000"/>
              <w:bottom w:val="single" w:sz="5" w:space="0" w:color="000000"/>
              <w:right w:val="single" w:sz="5" w:space="0" w:color="000000"/>
            </w:tcBorders>
          </w:tcPr>
          <w:p w14:paraId="7D66D2D5" w14:textId="77777777" w:rsidR="00957F89" w:rsidRPr="00C73849" w:rsidRDefault="00D92D87">
            <w:pPr>
              <w:pStyle w:val="TableParagraph"/>
              <w:spacing w:line="239" w:lineRule="auto"/>
              <w:ind w:left="92" w:right="262"/>
              <w:rPr>
                <w:rFonts w:ascii="Times New Roman" w:eastAsia="Times New Roman" w:hAnsi="Times New Roman" w:cs="Times New Roman"/>
                <w:sz w:val="20"/>
                <w:szCs w:val="20"/>
              </w:rPr>
            </w:pPr>
            <w:r w:rsidRPr="00C73849">
              <w:rPr>
                <w:rFonts w:ascii="Times New Roman"/>
                <w:sz w:val="20"/>
              </w:rPr>
              <w:t>Pharyngo-</w:t>
            </w:r>
            <w:r w:rsidRPr="00C73849">
              <w:rPr>
                <w:rFonts w:ascii="Times New Roman"/>
                <w:w w:val="99"/>
                <w:sz w:val="20"/>
              </w:rPr>
              <w:t xml:space="preserve"> </w:t>
            </w:r>
            <w:r w:rsidRPr="00C73849">
              <w:rPr>
                <w:rFonts w:ascii="Times New Roman"/>
                <w:sz w:val="20"/>
              </w:rPr>
              <w:t>laryngeal</w:t>
            </w:r>
            <w:r w:rsidRPr="00C73849">
              <w:rPr>
                <w:rFonts w:ascii="Times New Roman"/>
                <w:w w:val="99"/>
                <w:sz w:val="20"/>
              </w:rPr>
              <w:t xml:space="preserve"> </w:t>
            </w:r>
            <w:r w:rsidRPr="00C73849">
              <w:rPr>
                <w:rFonts w:ascii="Times New Roman"/>
                <w:sz w:val="20"/>
              </w:rPr>
              <w:t>discomfort</w:t>
            </w:r>
          </w:p>
        </w:tc>
        <w:tc>
          <w:tcPr>
            <w:tcW w:w="991" w:type="dxa"/>
            <w:tcBorders>
              <w:top w:val="single" w:sz="5" w:space="0" w:color="000000"/>
              <w:left w:val="single" w:sz="5" w:space="0" w:color="000000"/>
              <w:bottom w:val="single" w:sz="5" w:space="0" w:color="000000"/>
              <w:right w:val="single" w:sz="5" w:space="0" w:color="000000"/>
            </w:tcBorders>
          </w:tcPr>
          <w:p w14:paraId="6CB34204"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001-0026</w:t>
            </w:r>
          </w:p>
        </w:tc>
        <w:tc>
          <w:tcPr>
            <w:tcW w:w="1015" w:type="dxa"/>
            <w:tcBorders>
              <w:top w:val="single" w:sz="5" w:space="0" w:color="000000"/>
              <w:left w:val="single" w:sz="5" w:space="0" w:color="000000"/>
              <w:bottom w:val="single" w:sz="5" w:space="0" w:color="000000"/>
              <w:right w:val="single" w:sz="5" w:space="0" w:color="000000"/>
            </w:tcBorders>
          </w:tcPr>
          <w:p w14:paraId="33F89169"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No</w:t>
            </w:r>
          </w:p>
        </w:tc>
        <w:tc>
          <w:tcPr>
            <w:tcW w:w="1082" w:type="dxa"/>
            <w:tcBorders>
              <w:top w:val="single" w:sz="5" w:space="0" w:color="000000"/>
              <w:left w:val="single" w:sz="5" w:space="0" w:color="000000"/>
              <w:bottom w:val="single" w:sz="5" w:space="0" w:color="000000"/>
              <w:right w:val="single" w:sz="5" w:space="0" w:color="000000"/>
            </w:tcBorders>
          </w:tcPr>
          <w:p w14:paraId="61EF29A8"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Immediate</w:t>
            </w:r>
          </w:p>
        </w:tc>
        <w:tc>
          <w:tcPr>
            <w:tcW w:w="1082" w:type="dxa"/>
            <w:tcBorders>
              <w:top w:val="single" w:sz="5" w:space="0" w:color="000000"/>
              <w:left w:val="single" w:sz="5" w:space="0" w:color="000000"/>
              <w:bottom w:val="single" w:sz="5" w:space="0" w:color="000000"/>
              <w:right w:val="single" w:sz="5" w:space="0" w:color="000000"/>
            </w:tcBorders>
          </w:tcPr>
          <w:p w14:paraId="2F1DFAEF"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15 s</w:t>
            </w:r>
          </w:p>
        </w:tc>
        <w:tc>
          <w:tcPr>
            <w:tcW w:w="1085" w:type="dxa"/>
            <w:tcBorders>
              <w:top w:val="single" w:sz="5" w:space="0" w:color="000000"/>
              <w:left w:val="single" w:sz="5" w:space="0" w:color="000000"/>
              <w:bottom w:val="single" w:sz="5" w:space="0" w:color="000000"/>
              <w:right w:val="single" w:sz="5" w:space="0" w:color="000000"/>
            </w:tcBorders>
          </w:tcPr>
          <w:p w14:paraId="2C3061B1"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Mild</w:t>
            </w:r>
          </w:p>
        </w:tc>
        <w:tc>
          <w:tcPr>
            <w:tcW w:w="1082" w:type="dxa"/>
            <w:tcBorders>
              <w:top w:val="single" w:sz="5" w:space="0" w:color="000000"/>
              <w:left w:val="single" w:sz="5" w:space="0" w:color="000000"/>
              <w:bottom w:val="single" w:sz="5" w:space="0" w:color="000000"/>
              <w:right w:val="single" w:sz="5" w:space="0" w:color="000000"/>
            </w:tcBorders>
          </w:tcPr>
          <w:p w14:paraId="572085FC"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Suspected</w:t>
            </w:r>
          </w:p>
        </w:tc>
        <w:tc>
          <w:tcPr>
            <w:tcW w:w="1082" w:type="dxa"/>
            <w:tcBorders>
              <w:top w:val="single" w:sz="5" w:space="0" w:color="000000"/>
              <w:left w:val="single" w:sz="5" w:space="0" w:color="000000"/>
              <w:bottom w:val="single" w:sz="5" w:space="0" w:color="000000"/>
              <w:right w:val="single" w:sz="12" w:space="0" w:color="000000"/>
            </w:tcBorders>
          </w:tcPr>
          <w:p w14:paraId="15C107B7"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Resolved</w:t>
            </w:r>
          </w:p>
        </w:tc>
      </w:tr>
      <w:tr w:rsidR="00957F89" w:rsidRPr="00C73849" w14:paraId="4506D180" w14:textId="77777777">
        <w:trPr>
          <w:trHeight w:hRule="exact" w:val="470"/>
        </w:trPr>
        <w:tc>
          <w:tcPr>
            <w:tcW w:w="1243" w:type="dxa"/>
            <w:tcBorders>
              <w:top w:val="single" w:sz="5" w:space="0" w:color="000000"/>
              <w:left w:val="single" w:sz="12" w:space="0" w:color="000000"/>
              <w:bottom w:val="single" w:sz="5" w:space="0" w:color="000000"/>
              <w:right w:val="single" w:sz="5" w:space="0" w:color="000000"/>
            </w:tcBorders>
          </w:tcPr>
          <w:p w14:paraId="3E239EA6" w14:textId="77777777" w:rsidR="00957F89" w:rsidRPr="00C73849" w:rsidRDefault="002C5A81">
            <w:pPr>
              <w:pStyle w:val="TableParagraph"/>
              <w:spacing w:line="222" w:lineRule="exact"/>
              <w:ind w:left="92"/>
              <w:rPr>
                <w:rFonts w:ascii="Times New Roman" w:eastAsia="Times New Roman" w:hAnsi="Times New Roman" w:cs="Times New Roman"/>
                <w:sz w:val="20"/>
                <w:szCs w:val="20"/>
              </w:rPr>
            </w:pPr>
            <w:r w:rsidRPr="00C73849">
              <w:rPr>
                <w:rFonts w:ascii="Times New Roman"/>
                <w:sz w:val="20"/>
              </w:rPr>
              <w:t>Diarrhea</w:t>
            </w:r>
          </w:p>
        </w:tc>
        <w:tc>
          <w:tcPr>
            <w:tcW w:w="991" w:type="dxa"/>
            <w:tcBorders>
              <w:top w:val="single" w:sz="5" w:space="0" w:color="000000"/>
              <w:left w:val="single" w:sz="5" w:space="0" w:color="000000"/>
              <w:bottom w:val="single" w:sz="5" w:space="0" w:color="000000"/>
              <w:right w:val="single" w:sz="5" w:space="0" w:color="000000"/>
            </w:tcBorders>
          </w:tcPr>
          <w:p w14:paraId="778A2011" w14:textId="77777777" w:rsidR="00957F89" w:rsidRPr="00C73849" w:rsidRDefault="00D92D87">
            <w:pPr>
              <w:pStyle w:val="TableParagraph"/>
              <w:spacing w:line="222" w:lineRule="exact"/>
              <w:ind w:left="104"/>
              <w:rPr>
                <w:rFonts w:ascii="Times New Roman" w:eastAsia="Times New Roman" w:hAnsi="Times New Roman" w:cs="Times New Roman"/>
                <w:sz w:val="20"/>
                <w:szCs w:val="20"/>
              </w:rPr>
            </w:pPr>
            <w:r w:rsidRPr="00C73849">
              <w:rPr>
                <w:rFonts w:ascii="Times New Roman"/>
                <w:sz w:val="20"/>
              </w:rPr>
              <w:t>001-0029</w:t>
            </w:r>
          </w:p>
        </w:tc>
        <w:tc>
          <w:tcPr>
            <w:tcW w:w="1015" w:type="dxa"/>
            <w:tcBorders>
              <w:top w:val="single" w:sz="5" w:space="0" w:color="000000"/>
              <w:left w:val="single" w:sz="5" w:space="0" w:color="000000"/>
              <w:bottom w:val="single" w:sz="5" w:space="0" w:color="000000"/>
              <w:right w:val="single" w:sz="5" w:space="0" w:color="000000"/>
            </w:tcBorders>
          </w:tcPr>
          <w:p w14:paraId="08FD1D3F"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No</w:t>
            </w:r>
          </w:p>
        </w:tc>
        <w:tc>
          <w:tcPr>
            <w:tcW w:w="1082" w:type="dxa"/>
            <w:tcBorders>
              <w:top w:val="single" w:sz="5" w:space="0" w:color="000000"/>
              <w:left w:val="single" w:sz="5" w:space="0" w:color="000000"/>
              <w:bottom w:val="single" w:sz="5" w:space="0" w:color="000000"/>
              <w:right w:val="single" w:sz="5" w:space="0" w:color="000000"/>
            </w:tcBorders>
          </w:tcPr>
          <w:p w14:paraId="7157B11B"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5 h 10 min</w:t>
            </w:r>
          </w:p>
        </w:tc>
        <w:tc>
          <w:tcPr>
            <w:tcW w:w="1082" w:type="dxa"/>
            <w:tcBorders>
              <w:top w:val="single" w:sz="5" w:space="0" w:color="000000"/>
              <w:left w:val="single" w:sz="5" w:space="0" w:color="000000"/>
              <w:bottom w:val="single" w:sz="5" w:space="0" w:color="000000"/>
              <w:right w:val="single" w:sz="5" w:space="0" w:color="000000"/>
            </w:tcBorders>
          </w:tcPr>
          <w:p w14:paraId="4C3253FE"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1 min</w:t>
            </w:r>
          </w:p>
        </w:tc>
        <w:tc>
          <w:tcPr>
            <w:tcW w:w="1085" w:type="dxa"/>
            <w:tcBorders>
              <w:top w:val="single" w:sz="5" w:space="0" w:color="000000"/>
              <w:left w:val="single" w:sz="5" w:space="0" w:color="000000"/>
              <w:bottom w:val="single" w:sz="5" w:space="0" w:color="000000"/>
              <w:right w:val="single" w:sz="5" w:space="0" w:color="000000"/>
            </w:tcBorders>
          </w:tcPr>
          <w:p w14:paraId="41CD026D"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Mild</w:t>
            </w:r>
          </w:p>
        </w:tc>
        <w:tc>
          <w:tcPr>
            <w:tcW w:w="1082" w:type="dxa"/>
            <w:tcBorders>
              <w:top w:val="single" w:sz="5" w:space="0" w:color="000000"/>
              <w:left w:val="single" w:sz="5" w:space="0" w:color="000000"/>
              <w:bottom w:val="single" w:sz="5" w:space="0" w:color="000000"/>
              <w:right w:val="single" w:sz="5" w:space="0" w:color="000000"/>
            </w:tcBorders>
          </w:tcPr>
          <w:p w14:paraId="70E2F08D" w14:textId="77777777" w:rsidR="00957F89" w:rsidRPr="00C73849" w:rsidRDefault="00D92D87">
            <w:pPr>
              <w:pStyle w:val="TableParagraph"/>
              <w:ind w:left="102" w:right="188" w:hanging="1"/>
              <w:rPr>
                <w:rFonts w:ascii="Times New Roman" w:eastAsia="Times New Roman" w:hAnsi="Times New Roman" w:cs="Times New Roman"/>
                <w:sz w:val="20"/>
                <w:szCs w:val="20"/>
              </w:rPr>
            </w:pPr>
            <w:r w:rsidRPr="00C73849">
              <w:rPr>
                <w:rFonts w:ascii="Times New Roman"/>
                <w:sz w:val="20"/>
              </w:rPr>
              <w:t>Not</w:t>
            </w:r>
            <w:r w:rsidRPr="00C73849">
              <w:rPr>
                <w:rFonts w:ascii="Times New Roman"/>
                <w:w w:val="99"/>
                <w:sz w:val="20"/>
              </w:rPr>
              <w:t xml:space="preserve"> </w:t>
            </w:r>
            <w:r w:rsidRPr="00C73849">
              <w:rPr>
                <w:rFonts w:ascii="Times New Roman"/>
                <w:w w:val="95"/>
                <w:sz w:val="20"/>
              </w:rPr>
              <w:t>suspected</w:t>
            </w:r>
          </w:p>
        </w:tc>
        <w:tc>
          <w:tcPr>
            <w:tcW w:w="1082" w:type="dxa"/>
            <w:tcBorders>
              <w:top w:val="single" w:sz="5" w:space="0" w:color="000000"/>
              <w:left w:val="single" w:sz="5" w:space="0" w:color="000000"/>
              <w:bottom w:val="single" w:sz="5" w:space="0" w:color="000000"/>
              <w:right w:val="single" w:sz="12" w:space="0" w:color="000000"/>
            </w:tcBorders>
          </w:tcPr>
          <w:p w14:paraId="4D335313"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Resolved</w:t>
            </w:r>
          </w:p>
        </w:tc>
      </w:tr>
      <w:tr w:rsidR="00957F89" w:rsidRPr="00C73849" w14:paraId="09987187" w14:textId="77777777">
        <w:trPr>
          <w:trHeight w:hRule="exact" w:val="240"/>
        </w:trPr>
        <w:tc>
          <w:tcPr>
            <w:tcW w:w="1243" w:type="dxa"/>
            <w:tcBorders>
              <w:top w:val="single" w:sz="5" w:space="0" w:color="000000"/>
              <w:left w:val="single" w:sz="12" w:space="0" w:color="000000"/>
              <w:bottom w:val="single" w:sz="5" w:space="0" w:color="000000"/>
              <w:right w:val="single" w:sz="5" w:space="0" w:color="000000"/>
            </w:tcBorders>
          </w:tcPr>
          <w:p w14:paraId="319FEDEC" w14:textId="77777777" w:rsidR="00957F89" w:rsidRPr="00C73849" w:rsidRDefault="00D92D87">
            <w:pPr>
              <w:pStyle w:val="TableParagraph"/>
              <w:spacing w:line="222" w:lineRule="exact"/>
              <w:ind w:left="92"/>
              <w:rPr>
                <w:rFonts w:ascii="Times New Roman" w:eastAsia="Times New Roman" w:hAnsi="Times New Roman" w:cs="Times New Roman"/>
                <w:sz w:val="20"/>
                <w:szCs w:val="20"/>
              </w:rPr>
            </w:pPr>
            <w:r w:rsidRPr="00C73849">
              <w:rPr>
                <w:rFonts w:ascii="Times New Roman"/>
                <w:sz w:val="20"/>
              </w:rPr>
              <w:t>Flushing</w:t>
            </w:r>
          </w:p>
        </w:tc>
        <w:tc>
          <w:tcPr>
            <w:tcW w:w="991" w:type="dxa"/>
            <w:tcBorders>
              <w:top w:val="single" w:sz="5" w:space="0" w:color="000000"/>
              <w:left w:val="single" w:sz="5" w:space="0" w:color="000000"/>
              <w:bottom w:val="single" w:sz="5" w:space="0" w:color="000000"/>
              <w:right w:val="single" w:sz="5" w:space="0" w:color="000000"/>
            </w:tcBorders>
          </w:tcPr>
          <w:p w14:paraId="5F774914"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001-0030</w:t>
            </w:r>
          </w:p>
        </w:tc>
        <w:tc>
          <w:tcPr>
            <w:tcW w:w="1015" w:type="dxa"/>
            <w:tcBorders>
              <w:top w:val="single" w:sz="5" w:space="0" w:color="000000"/>
              <w:left w:val="single" w:sz="5" w:space="0" w:color="000000"/>
              <w:bottom w:val="single" w:sz="5" w:space="0" w:color="000000"/>
              <w:right w:val="single" w:sz="5" w:space="0" w:color="000000"/>
            </w:tcBorders>
          </w:tcPr>
          <w:p w14:paraId="7E3B7601"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No</w:t>
            </w:r>
          </w:p>
        </w:tc>
        <w:tc>
          <w:tcPr>
            <w:tcW w:w="1082" w:type="dxa"/>
            <w:tcBorders>
              <w:top w:val="single" w:sz="5" w:space="0" w:color="000000"/>
              <w:left w:val="single" w:sz="5" w:space="0" w:color="000000"/>
              <w:bottom w:val="single" w:sz="5" w:space="0" w:color="000000"/>
              <w:right w:val="single" w:sz="5" w:space="0" w:color="000000"/>
            </w:tcBorders>
          </w:tcPr>
          <w:p w14:paraId="4A2AFA3A"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10 s</w:t>
            </w:r>
          </w:p>
        </w:tc>
        <w:tc>
          <w:tcPr>
            <w:tcW w:w="1082" w:type="dxa"/>
            <w:tcBorders>
              <w:top w:val="single" w:sz="5" w:space="0" w:color="000000"/>
              <w:left w:val="single" w:sz="5" w:space="0" w:color="000000"/>
              <w:bottom w:val="single" w:sz="5" w:space="0" w:color="000000"/>
              <w:right w:val="single" w:sz="5" w:space="0" w:color="000000"/>
            </w:tcBorders>
          </w:tcPr>
          <w:p w14:paraId="6DCE5244"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5 s</w:t>
            </w:r>
          </w:p>
        </w:tc>
        <w:tc>
          <w:tcPr>
            <w:tcW w:w="1085" w:type="dxa"/>
            <w:tcBorders>
              <w:top w:val="single" w:sz="5" w:space="0" w:color="000000"/>
              <w:left w:val="single" w:sz="5" w:space="0" w:color="000000"/>
              <w:bottom w:val="single" w:sz="5" w:space="0" w:color="000000"/>
              <w:right w:val="single" w:sz="5" w:space="0" w:color="000000"/>
            </w:tcBorders>
          </w:tcPr>
          <w:p w14:paraId="1F36FAAF" w14:textId="77777777" w:rsidR="00957F89" w:rsidRPr="00C73849" w:rsidRDefault="00D92D87">
            <w:pPr>
              <w:pStyle w:val="TableParagraph"/>
              <w:spacing w:line="222" w:lineRule="exact"/>
              <w:ind w:left="99"/>
              <w:rPr>
                <w:rFonts w:ascii="Times New Roman" w:eastAsia="Times New Roman" w:hAnsi="Times New Roman" w:cs="Times New Roman"/>
                <w:sz w:val="20"/>
                <w:szCs w:val="20"/>
              </w:rPr>
            </w:pPr>
            <w:r w:rsidRPr="00C73849">
              <w:rPr>
                <w:rFonts w:ascii="Times New Roman"/>
                <w:sz w:val="20"/>
              </w:rPr>
              <w:t>Mild</w:t>
            </w:r>
          </w:p>
        </w:tc>
        <w:tc>
          <w:tcPr>
            <w:tcW w:w="1082" w:type="dxa"/>
            <w:tcBorders>
              <w:top w:val="single" w:sz="5" w:space="0" w:color="000000"/>
              <w:left w:val="single" w:sz="5" w:space="0" w:color="000000"/>
              <w:bottom w:val="single" w:sz="5" w:space="0" w:color="000000"/>
              <w:right w:val="single" w:sz="5" w:space="0" w:color="000000"/>
            </w:tcBorders>
          </w:tcPr>
          <w:p w14:paraId="1B3BC858"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Suspected</w:t>
            </w:r>
          </w:p>
        </w:tc>
        <w:tc>
          <w:tcPr>
            <w:tcW w:w="1082" w:type="dxa"/>
            <w:tcBorders>
              <w:top w:val="single" w:sz="5" w:space="0" w:color="000000"/>
              <w:left w:val="single" w:sz="5" w:space="0" w:color="000000"/>
              <w:bottom w:val="single" w:sz="5" w:space="0" w:color="000000"/>
              <w:right w:val="single" w:sz="12" w:space="0" w:color="000000"/>
            </w:tcBorders>
          </w:tcPr>
          <w:p w14:paraId="5F81975B"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Resolved</w:t>
            </w:r>
          </w:p>
        </w:tc>
      </w:tr>
      <w:tr w:rsidR="00957F89" w:rsidRPr="00C73849" w14:paraId="3C01D511" w14:textId="77777777">
        <w:trPr>
          <w:trHeight w:hRule="exact" w:val="240"/>
        </w:trPr>
        <w:tc>
          <w:tcPr>
            <w:tcW w:w="8664" w:type="dxa"/>
            <w:gridSpan w:val="8"/>
            <w:tcBorders>
              <w:top w:val="single" w:sz="5" w:space="0" w:color="000000"/>
              <w:left w:val="single" w:sz="12" w:space="0" w:color="000000"/>
              <w:bottom w:val="single" w:sz="5" w:space="0" w:color="000000"/>
              <w:right w:val="single" w:sz="12" w:space="0" w:color="000000"/>
            </w:tcBorders>
          </w:tcPr>
          <w:p w14:paraId="3847F7FF" w14:textId="77777777" w:rsidR="00957F89" w:rsidRPr="00C73849" w:rsidRDefault="00D92D87">
            <w:pPr>
              <w:pStyle w:val="TableParagraph"/>
              <w:spacing w:line="227" w:lineRule="exact"/>
              <w:ind w:left="92"/>
              <w:rPr>
                <w:rFonts w:ascii="Times New Roman" w:eastAsia="Times New Roman" w:hAnsi="Times New Roman" w:cs="Times New Roman"/>
                <w:sz w:val="20"/>
                <w:szCs w:val="20"/>
              </w:rPr>
            </w:pPr>
            <w:r w:rsidRPr="00C73849">
              <w:rPr>
                <w:rFonts w:ascii="Times New Roman"/>
                <w:b/>
                <w:sz w:val="20"/>
              </w:rPr>
              <w:t>Placebo</w:t>
            </w:r>
          </w:p>
        </w:tc>
      </w:tr>
      <w:tr w:rsidR="00957F89" w:rsidRPr="00C73849" w14:paraId="04171358" w14:textId="77777777">
        <w:trPr>
          <w:trHeight w:hRule="exact" w:val="470"/>
        </w:trPr>
        <w:tc>
          <w:tcPr>
            <w:tcW w:w="1243" w:type="dxa"/>
            <w:tcBorders>
              <w:top w:val="single" w:sz="5" w:space="0" w:color="000000"/>
              <w:left w:val="single" w:sz="12" w:space="0" w:color="000000"/>
              <w:bottom w:val="single" w:sz="5" w:space="0" w:color="000000"/>
              <w:right w:val="single" w:sz="5" w:space="0" w:color="000000"/>
            </w:tcBorders>
          </w:tcPr>
          <w:p w14:paraId="2D57C871" w14:textId="77777777" w:rsidR="00957F89" w:rsidRPr="00C73849" w:rsidRDefault="00D92D87">
            <w:pPr>
              <w:pStyle w:val="TableParagraph"/>
              <w:ind w:left="92" w:right="110"/>
              <w:rPr>
                <w:rFonts w:ascii="Times New Roman" w:eastAsia="Times New Roman" w:hAnsi="Times New Roman" w:cs="Times New Roman"/>
                <w:sz w:val="20"/>
                <w:szCs w:val="20"/>
              </w:rPr>
            </w:pPr>
            <w:r w:rsidRPr="00C73849">
              <w:rPr>
                <w:rFonts w:ascii="Times New Roman"/>
                <w:sz w:val="20"/>
              </w:rPr>
              <w:t>Injection</w:t>
            </w:r>
            <w:r w:rsidRPr="00C73849">
              <w:rPr>
                <w:rFonts w:ascii="Times New Roman"/>
                <w:w w:val="99"/>
                <w:sz w:val="20"/>
              </w:rPr>
              <w:t xml:space="preserve"> </w:t>
            </w:r>
            <w:r w:rsidRPr="00C73849">
              <w:rPr>
                <w:rFonts w:ascii="Times New Roman"/>
                <w:sz w:val="20"/>
              </w:rPr>
              <w:t>site coldness</w:t>
            </w:r>
          </w:p>
        </w:tc>
        <w:tc>
          <w:tcPr>
            <w:tcW w:w="991" w:type="dxa"/>
            <w:tcBorders>
              <w:top w:val="single" w:sz="5" w:space="0" w:color="000000"/>
              <w:left w:val="single" w:sz="5" w:space="0" w:color="000000"/>
              <w:bottom w:val="single" w:sz="5" w:space="0" w:color="000000"/>
              <w:right w:val="single" w:sz="5" w:space="0" w:color="000000"/>
            </w:tcBorders>
          </w:tcPr>
          <w:p w14:paraId="1BB153AC"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001-0023</w:t>
            </w:r>
          </w:p>
        </w:tc>
        <w:tc>
          <w:tcPr>
            <w:tcW w:w="1015" w:type="dxa"/>
            <w:tcBorders>
              <w:top w:val="single" w:sz="5" w:space="0" w:color="000000"/>
              <w:left w:val="single" w:sz="5" w:space="0" w:color="000000"/>
              <w:bottom w:val="single" w:sz="5" w:space="0" w:color="000000"/>
              <w:right w:val="single" w:sz="5" w:space="0" w:color="000000"/>
            </w:tcBorders>
          </w:tcPr>
          <w:p w14:paraId="7CE39EEF"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No</w:t>
            </w:r>
          </w:p>
        </w:tc>
        <w:tc>
          <w:tcPr>
            <w:tcW w:w="1082" w:type="dxa"/>
            <w:tcBorders>
              <w:top w:val="single" w:sz="5" w:space="0" w:color="000000"/>
              <w:left w:val="single" w:sz="5" w:space="0" w:color="000000"/>
              <w:bottom w:val="single" w:sz="5" w:space="0" w:color="000000"/>
              <w:right w:val="single" w:sz="5" w:space="0" w:color="000000"/>
            </w:tcBorders>
          </w:tcPr>
          <w:p w14:paraId="43553288"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Immediate</w:t>
            </w:r>
          </w:p>
        </w:tc>
        <w:tc>
          <w:tcPr>
            <w:tcW w:w="1082" w:type="dxa"/>
            <w:tcBorders>
              <w:top w:val="single" w:sz="5" w:space="0" w:color="000000"/>
              <w:left w:val="single" w:sz="5" w:space="0" w:color="000000"/>
              <w:bottom w:val="single" w:sz="5" w:space="0" w:color="000000"/>
              <w:right w:val="single" w:sz="5" w:space="0" w:color="000000"/>
            </w:tcBorders>
          </w:tcPr>
          <w:p w14:paraId="3680610D"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1 min</w:t>
            </w:r>
          </w:p>
        </w:tc>
        <w:tc>
          <w:tcPr>
            <w:tcW w:w="1085" w:type="dxa"/>
            <w:tcBorders>
              <w:top w:val="single" w:sz="5" w:space="0" w:color="000000"/>
              <w:left w:val="single" w:sz="5" w:space="0" w:color="000000"/>
              <w:bottom w:val="single" w:sz="5" w:space="0" w:color="000000"/>
              <w:right w:val="single" w:sz="5" w:space="0" w:color="000000"/>
            </w:tcBorders>
          </w:tcPr>
          <w:p w14:paraId="7617FACC" w14:textId="77777777" w:rsidR="00957F89" w:rsidRPr="00C73849" w:rsidRDefault="00D92D87">
            <w:pPr>
              <w:pStyle w:val="TableParagraph"/>
              <w:spacing w:line="222" w:lineRule="exact"/>
              <w:ind w:left="100"/>
              <w:rPr>
                <w:rFonts w:ascii="Times New Roman" w:eastAsia="Times New Roman" w:hAnsi="Times New Roman" w:cs="Times New Roman"/>
                <w:sz w:val="20"/>
                <w:szCs w:val="20"/>
              </w:rPr>
            </w:pPr>
            <w:r w:rsidRPr="00C73849">
              <w:rPr>
                <w:rFonts w:ascii="Times New Roman"/>
                <w:sz w:val="20"/>
              </w:rPr>
              <w:t>Mild</w:t>
            </w:r>
          </w:p>
        </w:tc>
        <w:tc>
          <w:tcPr>
            <w:tcW w:w="1082" w:type="dxa"/>
            <w:tcBorders>
              <w:top w:val="single" w:sz="5" w:space="0" w:color="000000"/>
              <w:left w:val="single" w:sz="5" w:space="0" w:color="000000"/>
              <w:bottom w:val="single" w:sz="5" w:space="0" w:color="000000"/>
              <w:right w:val="single" w:sz="5" w:space="0" w:color="000000"/>
            </w:tcBorders>
          </w:tcPr>
          <w:p w14:paraId="10FD6477"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Suspected</w:t>
            </w:r>
          </w:p>
        </w:tc>
        <w:tc>
          <w:tcPr>
            <w:tcW w:w="1082" w:type="dxa"/>
            <w:tcBorders>
              <w:top w:val="single" w:sz="5" w:space="0" w:color="000000"/>
              <w:left w:val="single" w:sz="5" w:space="0" w:color="000000"/>
              <w:bottom w:val="single" w:sz="5" w:space="0" w:color="000000"/>
              <w:right w:val="single" w:sz="12" w:space="0" w:color="000000"/>
            </w:tcBorders>
          </w:tcPr>
          <w:p w14:paraId="6403E28C"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Resolved</w:t>
            </w:r>
          </w:p>
        </w:tc>
      </w:tr>
      <w:tr w:rsidR="00957F89" w:rsidRPr="00C73849" w14:paraId="49657235" w14:textId="77777777">
        <w:trPr>
          <w:trHeight w:hRule="exact" w:val="480"/>
        </w:trPr>
        <w:tc>
          <w:tcPr>
            <w:tcW w:w="1243" w:type="dxa"/>
            <w:tcBorders>
              <w:top w:val="single" w:sz="5" w:space="0" w:color="000000"/>
              <w:left w:val="single" w:sz="12" w:space="0" w:color="000000"/>
              <w:bottom w:val="single" w:sz="12" w:space="0" w:color="000000"/>
              <w:right w:val="single" w:sz="5" w:space="0" w:color="000000"/>
            </w:tcBorders>
          </w:tcPr>
          <w:p w14:paraId="044DBB76" w14:textId="77777777" w:rsidR="00957F89" w:rsidRPr="00C73849" w:rsidRDefault="00D92D87">
            <w:pPr>
              <w:pStyle w:val="TableParagraph"/>
              <w:spacing w:line="222" w:lineRule="exact"/>
              <w:ind w:left="92"/>
              <w:rPr>
                <w:rFonts w:ascii="Times New Roman" w:eastAsia="Times New Roman" w:hAnsi="Times New Roman" w:cs="Times New Roman"/>
                <w:sz w:val="20"/>
                <w:szCs w:val="20"/>
              </w:rPr>
            </w:pPr>
            <w:r w:rsidRPr="00C73849">
              <w:rPr>
                <w:rFonts w:ascii="Times New Roman"/>
                <w:sz w:val="20"/>
              </w:rPr>
              <w:t>Somnolence</w:t>
            </w:r>
          </w:p>
        </w:tc>
        <w:tc>
          <w:tcPr>
            <w:tcW w:w="991" w:type="dxa"/>
            <w:tcBorders>
              <w:top w:val="single" w:sz="5" w:space="0" w:color="000000"/>
              <w:left w:val="single" w:sz="5" w:space="0" w:color="000000"/>
              <w:bottom w:val="single" w:sz="12" w:space="0" w:color="000000"/>
              <w:right w:val="single" w:sz="5" w:space="0" w:color="000000"/>
            </w:tcBorders>
          </w:tcPr>
          <w:p w14:paraId="351D62F4" w14:textId="77777777" w:rsidR="00957F89" w:rsidRPr="00C73849" w:rsidRDefault="00D92D87">
            <w:pPr>
              <w:pStyle w:val="TableParagraph"/>
              <w:spacing w:line="222" w:lineRule="exact"/>
              <w:ind w:left="103"/>
              <w:rPr>
                <w:rFonts w:ascii="Times New Roman" w:eastAsia="Times New Roman" w:hAnsi="Times New Roman" w:cs="Times New Roman"/>
                <w:sz w:val="20"/>
                <w:szCs w:val="20"/>
              </w:rPr>
            </w:pPr>
            <w:r w:rsidRPr="00C73849">
              <w:rPr>
                <w:rFonts w:ascii="Times New Roman"/>
                <w:sz w:val="20"/>
              </w:rPr>
              <w:t>001-0023</w:t>
            </w:r>
          </w:p>
        </w:tc>
        <w:tc>
          <w:tcPr>
            <w:tcW w:w="1015" w:type="dxa"/>
            <w:tcBorders>
              <w:top w:val="single" w:sz="5" w:space="0" w:color="000000"/>
              <w:left w:val="single" w:sz="5" w:space="0" w:color="000000"/>
              <w:bottom w:val="single" w:sz="12" w:space="0" w:color="000000"/>
              <w:right w:val="single" w:sz="5" w:space="0" w:color="000000"/>
            </w:tcBorders>
          </w:tcPr>
          <w:p w14:paraId="4369F040"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No</w:t>
            </w:r>
          </w:p>
        </w:tc>
        <w:tc>
          <w:tcPr>
            <w:tcW w:w="1082" w:type="dxa"/>
            <w:tcBorders>
              <w:top w:val="single" w:sz="5" w:space="0" w:color="000000"/>
              <w:left w:val="single" w:sz="5" w:space="0" w:color="000000"/>
              <w:bottom w:val="single" w:sz="12" w:space="0" w:color="000000"/>
              <w:right w:val="single" w:sz="5" w:space="0" w:color="000000"/>
            </w:tcBorders>
          </w:tcPr>
          <w:p w14:paraId="52329746"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4 h 40 min</w:t>
            </w:r>
          </w:p>
        </w:tc>
        <w:tc>
          <w:tcPr>
            <w:tcW w:w="1082" w:type="dxa"/>
            <w:tcBorders>
              <w:top w:val="single" w:sz="5" w:space="0" w:color="000000"/>
              <w:left w:val="single" w:sz="5" w:space="0" w:color="000000"/>
              <w:bottom w:val="single" w:sz="12" w:space="0" w:color="000000"/>
              <w:right w:val="single" w:sz="5" w:space="0" w:color="000000"/>
            </w:tcBorders>
          </w:tcPr>
          <w:p w14:paraId="79E231F7"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2 h</w:t>
            </w:r>
          </w:p>
        </w:tc>
        <w:tc>
          <w:tcPr>
            <w:tcW w:w="1085" w:type="dxa"/>
            <w:tcBorders>
              <w:top w:val="single" w:sz="5" w:space="0" w:color="000000"/>
              <w:left w:val="single" w:sz="5" w:space="0" w:color="000000"/>
              <w:bottom w:val="single" w:sz="12" w:space="0" w:color="000000"/>
              <w:right w:val="single" w:sz="5" w:space="0" w:color="000000"/>
            </w:tcBorders>
          </w:tcPr>
          <w:p w14:paraId="75A3D341" w14:textId="77777777" w:rsidR="00957F89" w:rsidRPr="00C73849" w:rsidRDefault="00D92D87">
            <w:pPr>
              <w:pStyle w:val="TableParagraph"/>
              <w:spacing w:line="222" w:lineRule="exact"/>
              <w:ind w:left="101"/>
              <w:rPr>
                <w:rFonts w:ascii="Times New Roman" w:eastAsia="Times New Roman" w:hAnsi="Times New Roman" w:cs="Times New Roman"/>
                <w:sz w:val="20"/>
                <w:szCs w:val="20"/>
              </w:rPr>
            </w:pPr>
            <w:r w:rsidRPr="00C73849">
              <w:rPr>
                <w:rFonts w:ascii="Times New Roman"/>
                <w:sz w:val="20"/>
              </w:rPr>
              <w:t>Mild</w:t>
            </w:r>
          </w:p>
        </w:tc>
        <w:tc>
          <w:tcPr>
            <w:tcW w:w="1082" w:type="dxa"/>
            <w:tcBorders>
              <w:top w:val="single" w:sz="5" w:space="0" w:color="000000"/>
              <w:left w:val="single" w:sz="5" w:space="0" w:color="000000"/>
              <w:bottom w:val="single" w:sz="12" w:space="0" w:color="000000"/>
              <w:right w:val="single" w:sz="5" w:space="0" w:color="000000"/>
            </w:tcBorders>
          </w:tcPr>
          <w:p w14:paraId="28EC4EA3" w14:textId="77777777" w:rsidR="00957F89" w:rsidRPr="00C73849" w:rsidRDefault="00D92D87">
            <w:pPr>
              <w:pStyle w:val="TableParagraph"/>
              <w:ind w:left="102" w:right="188" w:hanging="1"/>
              <w:rPr>
                <w:rFonts w:ascii="Times New Roman" w:eastAsia="Times New Roman" w:hAnsi="Times New Roman" w:cs="Times New Roman"/>
                <w:sz w:val="20"/>
                <w:szCs w:val="20"/>
              </w:rPr>
            </w:pPr>
            <w:r w:rsidRPr="00C73849">
              <w:rPr>
                <w:rFonts w:ascii="Times New Roman"/>
                <w:sz w:val="20"/>
              </w:rPr>
              <w:t>Not</w:t>
            </w:r>
            <w:r w:rsidRPr="00C73849">
              <w:rPr>
                <w:rFonts w:ascii="Times New Roman"/>
                <w:w w:val="99"/>
                <w:sz w:val="20"/>
              </w:rPr>
              <w:t xml:space="preserve"> </w:t>
            </w:r>
            <w:r w:rsidRPr="00C73849">
              <w:rPr>
                <w:rFonts w:ascii="Times New Roman"/>
                <w:w w:val="95"/>
                <w:sz w:val="20"/>
              </w:rPr>
              <w:t>suspected</w:t>
            </w:r>
          </w:p>
        </w:tc>
        <w:tc>
          <w:tcPr>
            <w:tcW w:w="1082" w:type="dxa"/>
            <w:tcBorders>
              <w:top w:val="single" w:sz="5" w:space="0" w:color="000000"/>
              <w:left w:val="single" w:sz="5" w:space="0" w:color="000000"/>
              <w:bottom w:val="single" w:sz="12" w:space="0" w:color="000000"/>
              <w:right w:val="single" w:sz="12" w:space="0" w:color="000000"/>
            </w:tcBorders>
          </w:tcPr>
          <w:p w14:paraId="0C919DF5" w14:textId="77777777" w:rsidR="00957F89" w:rsidRPr="00C73849" w:rsidRDefault="00D92D87">
            <w:pPr>
              <w:pStyle w:val="TableParagraph"/>
              <w:spacing w:line="222" w:lineRule="exact"/>
              <w:ind w:left="102"/>
              <w:rPr>
                <w:rFonts w:ascii="Times New Roman" w:eastAsia="Times New Roman" w:hAnsi="Times New Roman" w:cs="Times New Roman"/>
                <w:sz w:val="20"/>
                <w:szCs w:val="20"/>
              </w:rPr>
            </w:pPr>
            <w:r w:rsidRPr="00C73849">
              <w:rPr>
                <w:rFonts w:ascii="Times New Roman"/>
                <w:sz w:val="20"/>
              </w:rPr>
              <w:t>Resolved</w:t>
            </w:r>
          </w:p>
        </w:tc>
      </w:tr>
    </w:tbl>
    <w:p w14:paraId="53DB298E" w14:textId="77777777" w:rsidR="00957F89" w:rsidRPr="00C73849" w:rsidRDefault="00D92D87">
      <w:pPr>
        <w:spacing w:line="225" w:lineRule="exact"/>
        <w:ind w:left="222"/>
        <w:rPr>
          <w:rFonts w:ascii="Times New Roman" w:eastAsia="Times New Roman" w:hAnsi="Times New Roman" w:cs="Times New Roman"/>
          <w:sz w:val="20"/>
          <w:szCs w:val="20"/>
        </w:rPr>
      </w:pPr>
      <w:r w:rsidRPr="00C73849">
        <w:rPr>
          <w:rFonts w:ascii="Times New Roman"/>
          <w:sz w:val="20"/>
        </w:rPr>
        <w:t>d = day; h = hour; min = minute; s = second.</w:t>
      </w:r>
    </w:p>
    <w:p w14:paraId="19D5FF4F" w14:textId="77777777" w:rsidR="00957F89" w:rsidRPr="00C73849" w:rsidRDefault="00957F89">
      <w:pPr>
        <w:spacing w:before="7"/>
        <w:rPr>
          <w:rFonts w:ascii="Times New Roman" w:eastAsia="Times New Roman" w:hAnsi="Times New Roman" w:cs="Times New Roman"/>
          <w:sz w:val="14"/>
          <w:szCs w:val="14"/>
        </w:rPr>
      </w:pPr>
    </w:p>
    <w:p w14:paraId="41B0418E" w14:textId="77777777" w:rsidR="00957F89" w:rsidRPr="00C73849" w:rsidRDefault="00D92D87" w:rsidP="002131A0">
      <w:pPr>
        <w:pStyle w:val="BodyText"/>
        <w:spacing w:before="69"/>
      </w:pPr>
      <w:r w:rsidRPr="00C73849">
        <w:t>All but 1 of the AEs (16 of 17 AEs) was mild in intensity. One AE was of moderate intensity.</w:t>
      </w:r>
    </w:p>
    <w:p w14:paraId="21CFC5D8" w14:textId="77777777" w:rsidR="00957F89" w:rsidRPr="00C73849" w:rsidRDefault="00D92D87" w:rsidP="002131A0">
      <w:pPr>
        <w:pStyle w:val="BodyText"/>
        <w:spacing w:before="69"/>
        <w:ind w:right="151"/>
      </w:pPr>
      <w:r w:rsidRPr="00C73849">
        <w:t>A total of 7 AEs (41%) were suspected to be related to IMP, 6 of 15 AEs (40%) in the Pyruvate</w:t>
      </w:r>
      <w:r w:rsidRPr="00C73849">
        <w:rPr>
          <w:w w:val="99"/>
        </w:rPr>
        <w:t xml:space="preserve"> </w:t>
      </w:r>
      <w:r w:rsidRPr="00C73849">
        <w:t>Injection dose groups and 1 of 2 AEs (50%) in the placebo group. The proportion of subjects</w:t>
      </w:r>
      <w:r w:rsidRPr="00C73849">
        <w:rPr>
          <w:w w:val="99"/>
        </w:rPr>
        <w:t xml:space="preserve"> </w:t>
      </w:r>
      <w:r w:rsidRPr="00C73849">
        <w:t>experiencing AEs classified as related to IMP appeared to be slightly higher in the 0.43 ml/kg</w:t>
      </w:r>
      <w:r w:rsidRPr="00C73849">
        <w:rPr>
          <w:w w:val="99"/>
        </w:rPr>
        <w:t xml:space="preserve"> </w:t>
      </w:r>
      <w:r w:rsidRPr="00C73849">
        <w:t>dose group (50% of the subjects) than in the other groups (0.14 ml/kg: 25%, 0.21 ml/kg: 25%,</w:t>
      </w:r>
      <w:r w:rsidR="0087360C">
        <w:t xml:space="preserve"> </w:t>
      </w:r>
      <w:r w:rsidRPr="00C73849">
        <w:t xml:space="preserve">0.28 </w:t>
      </w:r>
      <w:r w:rsidRPr="00C73849">
        <w:lastRenderedPageBreak/>
        <w:t>ml/kg: 0%, 0.36 ml/kg: 25% and placebo: 10%).</w:t>
      </w:r>
    </w:p>
    <w:p w14:paraId="3AE5C078" w14:textId="77777777" w:rsidR="00957F89" w:rsidRPr="00C73849" w:rsidRDefault="00957F89">
      <w:pPr>
        <w:spacing w:before="10"/>
        <w:rPr>
          <w:rFonts w:ascii="Times New Roman" w:eastAsia="Times New Roman" w:hAnsi="Times New Roman" w:cs="Times New Roman"/>
          <w:sz w:val="20"/>
          <w:szCs w:val="20"/>
        </w:rPr>
      </w:pPr>
    </w:p>
    <w:p w14:paraId="1B157CA2" w14:textId="77777777" w:rsidR="00957F89" w:rsidRPr="00C73849" w:rsidRDefault="00D92D87">
      <w:pPr>
        <w:pStyle w:val="BodyText"/>
        <w:ind w:right="311"/>
      </w:pPr>
      <w:r w:rsidRPr="00C73849">
        <w:t>All AEs resolved before final follow-up. Treatment was given for 2 AEs. Subject 001-0014 was given hydrocortisone for a medical device site reaction and subject 001-0018 was given</w:t>
      </w:r>
      <w:r w:rsidRPr="00C73849">
        <w:rPr>
          <w:w w:val="99"/>
        </w:rPr>
        <w:t xml:space="preserve"> </w:t>
      </w:r>
      <w:r w:rsidRPr="00C73849">
        <w:t xml:space="preserve">ibuprofen for a headache. An additional subject contact was arranged for subject 001-0004 (injection site </w:t>
      </w:r>
      <w:r w:rsidR="002C5A81" w:rsidRPr="00C73849">
        <w:t>edema</w:t>
      </w:r>
      <w:r w:rsidRPr="00C73849">
        <w:t>). No safety concerns were raised over any of the AEs.</w:t>
      </w:r>
    </w:p>
    <w:p w14:paraId="225B1FCE" w14:textId="77777777" w:rsidR="00957F89" w:rsidRPr="00C73849" w:rsidRDefault="00957F89">
      <w:pPr>
        <w:rPr>
          <w:rFonts w:ascii="Times New Roman" w:eastAsia="Times New Roman" w:hAnsi="Times New Roman" w:cs="Times New Roman"/>
          <w:sz w:val="24"/>
          <w:szCs w:val="24"/>
        </w:rPr>
      </w:pPr>
    </w:p>
    <w:p w14:paraId="1CDFEA38" w14:textId="77777777" w:rsidR="00957F89" w:rsidRPr="00C73849" w:rsidRDefault="00D92D87">
      <w:pPr>
        <w:spacing w:before="209"/>
        <w:ind w:left="142"/>
        <w:rPr>
          <w:rFonts w:ascii="Times New Roman" w:eastAsia="Times New Roman" w:hAnsi="Times New Roman" w:cs="Times New Roman"/>
          <w:sz w:val="24"/>
          <w:szCs w:val="24"/>
        </w:rPr>
      </w:pPr>
      <w:r w:rsidRPr="00C73849">
        <w:rPr>
          <w:rFonts w:ascii="Times New Roman"/>
          <w:b/>
          <w:sz w:val="24"/>
        </w:rPr>
        <w:t>Safety conclusions</w:t>
      </w:r>
    </w:p>
    <w:p w14:paraId="55292BA7" w14:textId="77777777" w:rsidR="00957F89" w:rsidRPr="00C73849" w:rsidRDefault="00957F89">
      <w:pPr>
        <w:spacing w:before="7"/>
        <w:rPr>
          <w:rFonts w:ascii="Times New Roman" w:eastAsia="Times New Roman" w:hAnsi="Times New Roman" w:cs="Times New Roman"/>
          <w:b/>
          <w:bCs/>
          <w:sz w:val="20"/>
          <w:szCs w:val="20"/>
        </w:rPr>
      </w:pPr>
    </w:p>
    <w:p w14:paraId="277C802F" w14:textId="77777777" w:rsidR="00957F89" w:rsidRPr="00C73849" w:rsidRDefault="00D92D87" w:rsidP="00F670E8">
      <w:pPr>
        <w:pStyle w:val="BodyText"/>
        <w:numPr>
          <w:ilvl w:val="0"/>
          <w:numId w:val="4"/>
        </w:numPr>
        <w:tabs>
          <w:tab w:val="left" w:pos="863"/>
        </w:tabs>
        <w:spacing w:line="292" w:lineRule="exact"/>
      </w:pPr>
      <w:r w:rsidRPr="00C73849">
        <w:t>Of the 30 subjects enrolled in the study, 11 subjects (37%) experienced a total of</w:t>
      </w:r>
    </w:p>
    <w:p w14:paraId="6E4E4EBB" w14:textId="77777777" w:rsidR="00957F89" w:rsidRPr="00C73849" w:rsidRDefault="00D92D87">
      <w:pPr>
        <w:pStyle w:val="BodyText"/>
        <w:ind w:left="862" w:right="311"/>
      </w:pPr>
      <w:r w:rsidRPr="00C73849">
        <w:t>17 AEs. Of these, 10 out of 20 subjects (50%) in the Pyruvate Injection dose groups experienced 15 AEs and 1 out of 10 subjects (10%) in the placebo dose group experienced 2 AEs. All but 1 of the AEs was mild in intensity (16, 94%). No deaths,</w:t>
      </w:r>
      <w:r w:rsidRPr="00C73849">
        <w:rPr>
          <w:w w:val="99"/>
        </w:rPr>
        <w:t xml:space="preserve"> </w:t>
      </w:r>
      <w:r w:rsidRPr="00C73849">
        <w:t>SAEs or withdrawals due to AEs occurred during the study. A total of 7 AEs (41%) were suspected to be related to IMP, 6 of 15 AEs (40%) in the Pyruvate Injection dose groups (dyspepsia, dysgeusia - 2 events, feeling hot, pharyngeal discomfort, and</w:t>
      </w:r>
      <w:r w:rsidRPr="00C73849">
        <w:rPr>
          <w:w w:val="99"/>
        </w:rPr>
        <w:t xml:space="preserve"> </w:t>
      </w:r>
      <w:r w:rsidRPr="00C73849">
        <w:t>flushing) and 1 of 2 AEs (50%) in the placebo group (injection site coldness). While it</w:t>
      </w:r>
      <w:r w:rsidRPr="00C73849">
        <w:rPr>
          <w:w w:val="99"/>
        </w:rPr>
        <w:t xml:space="preserve"> </w:t>
      </w:r>
      <w:r w:rsidRPr="00C73849">
        <w:t>is apparent that the percentage of AEs attributed to IMP is higher in subjects given</w:t>
      </w:r>
      <w:r w:rsidRPr="00C73849">
        <w:rPr>
          <w:w w:val="99"/>
        </w:rPr>
        <w:t xml:space="preserve"> </w:t>
      </w:r>
      <w:r w:rsidRPr="00C73849">
        <w:t>Pyruvate Injection than those given placebo, most of these events (e.g., dysgeusia,</w:t>
      </w:r>
      <w:r w:rsidRPr="00C73849">
        <w:rPr>
          <w:w w:val="99"/>
        </w:rPr>
        <w:t xml:space="preserve"> </w:t>
      </w:r>
      <w:r w:rsidRPr="00C73849">
        <w:t>feeling hot, pharyngeal discomfort and flushing) were mild, short-lasting symptomatic</w:t>
      </w:r>
      <w:r w:rsidRPr="00C73849">
        <w:rPr>
          <w:w w:val="99"/>
        </w:rPr>
        <w:t xml:space="preserve"> </w:t>
      </w:r>
      <w:r w:rsidRPr="00C73849">
        <w:t>reactions that are commonly reported after intravenous injection of 10 ml or more of other types of contrast agents, e.g., those used for X-ray and MRI examinations.</w:t>
      </w:r>
    </w:p>
    <w:p w14:paraId="4D2F5CF6" w14:textId="77777777" w:rsidR="00957F89" w:rsidRPr="00C73849" w:rsidRDefault="00957F89">
      <w:pPr>
        <w:spacing w:before="2"/>
        <w:rPr>
          <w:rFonts w:ascii="Times New Roman" w:eastAsia="Times New Roman" w:hAnsi="Times New Roman" w:cs="Times New Roman"/>
          <w:sz w:val="21"/>
          <w:szCs w:val="21"/>
        </w:rPr>
      </w:pPr>
    </w:p>
    <w:p w14:paraId="2D0E1B1E" w14:textId="77777777" w:rsidR="00957F89" w:rsidRDefault="00D92D87" w:rsidP="00F670E8">
      <w:pPr>
        <w:pStyle w:val="BodyText"/>
        <w:numPr>
          <w:ilvl w:val="0"/>
          <w:numId w:val="4"/>
        </w:numPr>
        <w:tabs>
          <w:tab w:val="left" w:pos="863"/>
        </w:tabs>
        <w:spacing w:line="238" w:lineRule="auto"/>
        <w:ind w:right="977"/>
      </w:pPr>
      <w:r w:rsidRPr="00C73849">
        <w:t xml:space="preserve">There was overall stability throughout the follow-up period for all parameters, including serum biochemistry, </w:t>
      </w:r>
      <w:r w:rsidR="0087360C" w:rsidRPr="00C73849">
        <w:t>hematology</w:t>
      </w:r>
      <w:r w:rsidRPr="00C73849">
        <w:t>, vital signs and ECG variables. No clinically important trends or safety signals were noted.</w:t>
      </w:r>
    </w:p>
    <w:p w14:paraId="113307E5" w14:textId="77777777" w:rsidR="001654A4" w:rsidRPr="001654A4" w:rsidRDefault="001654A4" w:rsidP="001654A4">
      <w:pPr>
        <w:spacing w:before="209"/>
        <w:ind w:left="142"/>
        <w:rPr>
          <w:rFonts w:ascii="Times New Roman" w:eastAsia="Times New Roman" w:hAnsi="Times New Roman" w:cs="Times New Roman"/>
          <w:sz w:val="24"/>
          <w:szCs w:val="24"/>
        </w:rPr>
      </w:pPr>
      <w:r w:rsidRPr="001654A4">
        <w:rPr>
          <w:rFonts w:ascii="Times New Roman"/>
          <w:b/>
          <w:sz w:val="24"/>
        </w:rPr>
        <w:t>Overall safety conclusion</w:t>
      </w:r>
    </w:p>
    <w:p w14:paraId="6DC2A64B" w14:textId="77777777" w:rsidR="001654A4" w:rsidRPr="001654A4" w:rsidRDefault="001654A4" w:rsidP="001654A4">
      <w:pPr>
        <w:spacing w:before="5"/>
        <w:ind w:left="142"/>
        <w:rPr>
          <w:rFonts w:ascii="Times New Roman" w:eastAsia="Times New Roman" w:hAnsi="Times New Roman" w:cs="Times New Roman"/>
          <w:b/>
          <w:bCs/>
          <w:sz w:val="20"/>
          <w:szCs w:val="20"/>
        </w:rPr>
      </w:pPr>
    </w:p>
    <w:p w14:paraId="5F727DBC" w14:textId="77777777" w:rsidR="001654A4" w:rsidRPr="00C73849" w:rsidRDefault="001654A4" w:rsidP="001654A4">
      <w:pPr>
        <w:pStyle w:val="BodyText"/>
        <w:ind w:left="142" w:right="260"/>
      </w:pPr>
      <w:r w:rsidRPr="00C73849">
        <w:t>In this study, the most common AEs were headache, dysgeusia and diarrhea, each experienced by 10% of the subjects who received Pyruvate Injection and none of the subjects</w:t>
      </w:r>
      <w:r>
        <w:t xml:space="preserve"> </w:t>
      </w:r>
      <w:r w:rsidRPr="00C73849">
        <w:t>who received placebo. In a previous study in young healthy volunteers, the most common AEs were flushing and dizziness (see study GE-101-001 above). Given that the number of subjects</w:t>
      </w:r>
      <w:r w:rsidRPr="00C73849">
        <w:rPr>
          <w:w w:val="99"/>
        </w:rPr>
        <w:t xml:space="preserve"> </w:t>
      </w:r>
      <w:r w:rsidRPr="00C73849">
        <w:t>included in each study was low and that all these events were mild, short-lasting symptomatic</w:t>
      </w:r>
      <w:r w:rsidRPr="00C73849">
        <w:rPr>
          <w:w w:val="99"/>
        </w:rPr>
        <w:t xml:space="preserve"> </w:t>
      </w:r>
      <w:r w:rsidRPr="00C73849">
        <w:t>events that are commonly seen in clinical studies with intravenous contrast agents, this</w:t>
      </w:r>
      <w:r w:rsidRPr="00C73849">
        <w:rPr>
          <w:w w:val="99"/>
        </w:rPr>
        <w:t xml:space="preserve"> </w:t>
      </w:r>
      <w:r w:rsidRPr="00C73849">
        <w:t>difference is neither surprising nor concerning.</w:t>
      </w:r>
    </w:p>
    <w:p w14:paraId="464E841E" w14:textId="77777777" w:rsidR="001654A4" w:rsidRPr="001654A4" w:rsidRDefault="001654A4" w:rsidP="001654A4">
      <w:pPr>
        <w:spacing w:before="10"/>
        <w:ind w:left="142"/>
        <w:rPr>
          <w:rFonts w:ascii="Times New Roman" w:eastAsia="Times New Roman" w:hAnsi="Times New Roman" w:cs="Times New Roman"/>
          <w:sz w:val="20"/>
          <w:szCs w:val="20"/>
        </w:rPr>
      </w:pPr>
    </w:p>
    <w:p w14:paraId="4D2F3F2D" w14:textId="77777777" w:rsidR="001654A4" w:rsidRPr="00C73849" w:rsidRDefault="001654A4" w:rsidP="001654A4">
      <w:pPr>
        <w:pStyle w:val="BodyText"/>
        <w:ind w:left="142" w:right="562"/>
      </w:pPr>
      <w:r w:rsidRPr="00C73849">
        <w:t>Throughout the study, serum biochemistry, hematology, vital signs and ECG variables</w:t>
      </w:r>
      <w:r w:rsidRPr="00C73849">
        <w:rPr>
          <w:w w:val="99"/>
        </w:rPr>
        <w:t xml:space="preserve"> </w:t>
      </w:r>
      <w:r w:rsidRPr="00C73849">
        <w:t>showed overall stability and no dose-related tendencies. No clinically important trends or safety signals were noted.</w:t>
      </w:r>
    </w:p>
    <w:p w14:paraId="289777BE" w14:textId="77777777" w:rsidR="001654A4" w:rsidRPr="00C73849" w:rsidRDefault="001654A4" w:rsidP="001654A4">
      <w:pPr>
        <w:pStyle w:val="BodyText"/>
        <w:spacing w:before="69"/>
        <w:ind w:left="142" w:right="311"/>
      </w:pPr>
    </w:p>
    <w:p w14:paraId="55D9780F" w14:textId="77777777" w:rsidR="001654A4" w:rsidRPr="00C73849" w:rsidRDefault="001654A4" w:rsidP="001654A4">
      <w:pPr>
        <w:pStyle w:val="BodyText"/>
        <w:spacing w:before="69"/>
        <w:ind w:left="142" w:right="311"/>
      </w:pPr>
      <w:r w:rsidRPr="00C73849">
        <w:t>While it is apparent that the percentage of AEs attributed to IMP is higher in subjects given</w:t>
      </w:r>
      <w:r w:rsidRPr="00C73849">
        <w:rPr>
          <w:w w:val="99"/>
        </w:rPr>
        <w:t xml:space="preserve"> </w:t>
      </w:r>
      <w:r w:rsidRPr="00C73849">
        <w:t>Pyruvate Injection than those given placebo, most of these events (e.g., dysgeusia, feeling hot,</w:t>
      </w:r>
      <w:r w:rsidRPr="00C73849">
        <w:rPr>
          <w:w w:val="99"/>
        </w:rPr>
        <w:t xml:space="preserve"> </w:t>
      </w:r>
      <w:r w:rsidRPr="00C73849">
        <w:t>pharyngeal discomfort and flushing) were mild, short-lasting symptomatic reactions that are</w:t>
      </w:r>
      <w:r w:rsidRPr="00C73849">
        <w:rPr>
          <w:w w:val="99"/>
        </w:rPr>
        <w:t xml:space="preserve"> </w:t>
      </w:r>
      <w:r w:rsidRPr="00C73849">
        <w:t>commonly reported after intravenous injection of 10 ml or more of other types of contrast</w:t>
      </w:r>
      <w:r w:rsidRPr="00C73849">
        <w:rPr>
          <w:w w:val="99"/>
        </w:rPr>
        <w:t xml:space="preserve"> </w:t>
      </w:r>
      <w:r w:rsidRPr="00C73849">
        <w:t>agents, e.g., those used for X-ray and MRI examinations. Therefore, this difference does not</w:t>
      </w:r>
      <w:r w:rsidRPr="00C73849">
        <w:rPr>
          <w:w w:val="99"/>
        </w:rPr>
        <w:t xml:space="preserve"> </w:t>
      </w:r>
      <w:r w:rsidRPr="00C73849">
        <w:t>raise any concerns.</w:t>
      </w:r>
    </w:p>
    <w:p w14:paraId="2A39BA36" w14:textId="77777777" w:rsidR="00261981" w:rsidRPr="00261981" w:rsidRDefault="00261981" w:rsidP="00650CAE">
      <w:pPr>
        <w:pStyle w:val="Heading3"/>
      </w:pPr>
      <w:bookmarkStart w:id="179" w:name="_Toc34900001"/>
      <w:bookmarkStart w:id="180" w:name="_Toc33702530"/>
      <w:bookmarkStart w:id="181" w:name="_Toc176276957"/>
      <w:r w:rsidRPr="00261981">
        <w:rPr>
          <w:rFonts w:cs="AdvTTaf7f9f4f.B"/>
          <w:color w:val="0070C0"/>
        </w:rPr>
        <w:lastRenderedPageBreak/>
        <w:t xml:space="preserve">6.3.3 </w:t>
      </w:r>
      <w:r w:rsidRPr="00261981">
        <w:rPr>
          <w:rFonts w:cs="AdvTTaf7f9f4f.B"/>
          <w:color w:val="0070C0"/>
        </w:rPr>
        <w:tab/>
      </w:r>
      <w:r w:rsidRPr="00261981">
        <w:rPr>
          <w:rFonts w:cs="AdvTTaf7f9f4f.B"/>
        </w:rPr>
        <w:t xml:space="preserve">A </w:t>
      </w:r>
      <w:r w:rsidR="001654A4">
        <w:rPr>
          <w:rFonts w:cs="AdvTTaf7f9f4f.B"/>
        </w:rPr>
        <w:t>P</w:t>
      </w:r>
      <w:r w:rsidR="009927A8">
        <w:rPr>
          <w:rFonts w:cs="AdvTTaf7f9f4f.B"/>
        </w:rPr>
        <w:t>hase 1/</w:t>
      </w:r>
      <w:r w:rsidRPr="00261981">
        <w:rPr>
          <w:rFonts w:cs="AdvTTaf7f9f4f.B"/>
        </w:rPr>
        <w:t xml:space="preserve">2, </w:t>
      </w:r>
      <w:r w:rsidR="001654A4">
        <w:t>M</w:t>
      </w:r>
      <w:r w:rsidR="001654A4" w:rsidRPr="00261981">
        <w:t xml:space="preserve">etabolic </w:t>
      </w:r>
      <w:r w:rsidRPr="00261981">
        <w:t>Imaging of patients with prostate cancer using</w:t>
      </w:r>
      <w:r w:rsidR="001654A4">
        <w:t xml:space="preserve"> </w:t>
      </w:r>
      <w:r w:rsidR="001654A4" w:rsidRPr="00650CAE">
        <w:rPr>
          <w:color w:val="4F81BD"/>
        </w:rPr>
        <w:t>hyperpolarized [1-13</w:t>
      </w:r>
      <w:proofErr w:type="gramStart"/>
      <w:r w:rsidR="001654A4" w:rsidRPr="00650CAE">
        <w:rPr>
          <w:color w:val="4F81BD"/>
        </w:rPr>
        <w:t>C]pyruvate</w:t>
      </w:r>
      <w:proofErr w:type="gramEnd"/>
      <w:r w:rsidR="001654A4" w:rsidRPr="00650CAE">
        <w:rPr>
          <w:color w:val="4F81BD"/>
        </w:rPr>
        <w:t xml:space="preserve"> (NCT01229618)</w:t>
      </w:r>
      <w:bookmarkEnd w:id="179"/>
      <w:bookmarkEnd w:id="180"/>
      <w:bookmarkEnd w:id="181"/>
    </w:p>
    <w:p w14:paraId="03A97DEA" w14:textId="77777777" w:rsidR="00261981" w:rsidRDefault="00261981" w:rsidP="00650CAE">
      <w:pPr>
        <w:autoSpaceDE w:val="0"/>
        <w:autoSpaceDN w:val="0"/>
        <w:adjustRightInd w:val="0"/>
        <w:ind w:left="142"/>
      </w:pPr>
      <w:r w:rsidRPr="00650CAE">
        <w:rPr>
          <w:b/>
          <w:color w:val="4F81BD"/>
        </w:rPr>
        <w:t>.</w:t>
      </w:r>
    </w:p>
    <w:p w14:paraId="18503AC0" w14:textId="2FDB0ED0" w:rsidR="00261981" w:rsidRPr="00650CAE" w:rsidRDefault="00261981" w:rsidP="00650CAE">
      <w:pPr>
        <w:autoSpaceDE w:val="0"/>
        <w:autoSpaceDN w:val="0"/>
        <w:adjustRightInd w:val="0"/>
        <w:ind w:left="142"/>
        <w:rPr>
          <w:rFonts w:cs="AdvTT78ea841c"/>
        </w:rPr>
      </w:pPr>
      <w:r w:rsidRPr="00650CAE">
        <w:rPr>
          <w:bCs/>
          <w:color w:val="000000"/>
        </w:rPr>
        <w:t xml:space="preserve">The primary objective of </w:t>
      </w:r>
      <w:r w:rsidRPr="00650CAE">
        <w:rPr>
          <w:rFonts w:cs="AdvTT78ea841c"/>
        </w:rPr>
        <w:t>this study</w:t>
      </w:r>
      <w:r w:rsidR="009927A8" w:rsidRPr="009927A8">
        <w:rPr>
          <w:rFonts w:cs="AdvTT78ea841c"/>
        </w:rPr>
        <w:t xml:space="preserve"> </w:t>
      </w:r>
      <w:r w:rsidR="009927A8">
        <w:rPr>
          <w:rFonts w:cs="AdvTT78ea841c"/>
        </w:rPr>
        <w:t xml:space="preserve">of the hyperpolarized </w:t>
      </w:r>
      <w:r w:rsidR="009927A8" w:rsidRPr="00650CAE">
        <w:rPr>
          <w:rFonts w:cs="AdvTT78ea841c"/>
        </w:rPr>
        <w:t>[1-13</w:t>
      </w:r>
      <w:proofErr w:type="gramStart"/>
      <w:r w:rsidR="009927A8" w:rsidRPr="00650CAE">
        <w:rPr>
          <w:rFonts w:cs="AdvTT78ea841c"/>
        </w:rPr>
        <w:t>C]pyruvat</w:t>
      </w:r>
      <w:r w:rsidR="009927A8">
        <w:rPr>
          <w:rFonts w:cs="AdvTT78ea841c"/>
        </w:rPr>
        <w:t>e</w:t>
      </w:r>
      <w:proofErr w:type="gramEnd"/>
      <w:r w:rsidR="008C609E">
        <w:rPr>
          <w:rFonts w:cs="AdvTT78ea841c"/>
        </w:rPr>
        <w:t xml:space="preserve"> performed at UCSF (Nelson, 2013), </w:t>
      </w:r>
      <w:r w:rsidRPr="00650CAE">
        <w:rPr>
          <w:rFonts w:cs="AdvTT78ea841c"/>
        </w:rPr>
        <w:t>was to demonstrate the safety and feasibility of hyperpolarized [1-13C]pyruvate (HP-[1-13C]</w:t>
      </w:r>
      <w:proofErr w:type="spellStart"/>
      <w:r w:rsidRPr="00650CAE">
        <w:rPr>
          <w:rFonts w:cs="AdvTT78ea841c"/>
        </w:rPr>
        <w:t>pyr</w:t>
      </w:r>
      <w:proofErr w:type="spellEnd"/>
      <w:r w:rsidRPr="00650CAE">
        <w:rPr>
          <w:rFonts w:cs="AdvTT78ea841c"/>
        </w:rPr>
        <w:t>) injections in men with prostate cancer. The safety of hyperpolarized [1-13</w:t>
      </w:r>
      <w:proofErr w:type="gramStart"/>
      <w:r w:rsidRPr="00650CAE">
        <w:rPr>
          <w:rFonts w:cs="AdvTT78ea841c"/>
        </w:rPr>
        <w:t>C]</w:t>
      </w:r>
      <w:proofErr w:type="spellStart"/>
      <w:r w:rsidRPr="00650CAE">
        <w:rPr>
          <w:rFonts w:cs="AdvTT78ea841c"/>
        </w:rPr>
        <w:t>pyr</w:t>
      </w:r>
      <w:proofErr w:type="spellEnd"/>
      <w:proofErr w:type="gramEnd"/>
      <w:r w:rsidRPr="00650CAE">
        <w:rPr>
          <w:rFonts w:cs="AdvTT78ea841c"/>
        </w:rPr>
        <w:t xml:space="preserve"> injection was assessed in a dose-ascending manner (0. 14, 0.28, 043 ml/kg body weight), six patients at each dos</w:t>
      </w:r>
      <w:r w:rsidR="008C609E">
        <w:rPr>
          <w:rFonts w:cs="AdvTT78ea841c"/>
        </w:rPr>
        <w:t>e</w:t>
      </w:r>
      <w:r w:rsidRPr="00650CAE">
        <w:rPr>
          <w:rFonts w:cs="AdvTT78ea841c"/>
        </w:rPr>
        <w:t>, see</w:t>
      </w:r>
      <w:r w:rsidR="0078540C">
        <w:rPr>
          <w:rFonts w:cs="AdvTT78ea841c"/>
        </w:rPr>
        <w:t xml:space="preserve"> </w:t>
      </w:r>
      <w:r w:rsidR="0078540C">
        <w:rPr>
          <w:rFonts w:cs="AdvTT78ea841c"/>
        </w:rPr>
        <w:fldChar w:fldCharType="begin"/>
      </w:r>
      <w:r w:rsidR="0078540C">
        <w:rPr>
          <w:rFonts w:cs="AdvTT78ea841c"/>
        </w:rPr>
        <w:instrText xml:space="preserve"> REF _Ref502140390 \h </w:instrText>
      </w:r>
      <w:r w:rsidR="0078540C">
        <w:rPr>
          <w:rFonts w:cs="AdvTT78ea841c"/>
        </w:rPr>
      </w:r>
      <w:r w:rsidR="0078540C">
        <w:rPr>
          <w:rFonts w:cs="AdvTT78ea841c"/>
        </w:rPr>
        <w:fldChar w:fldCharType="separate"/>
      </w:r>
      <w:r w:rsidR="00B263AB" w:rsidRPr="00FB6BBF">
        <w:t xml:space="preserve">Table </w:t>
      </w:r>
      <w:r w:rsidR="0078540C">
        <w:rPr>
          <w:rFonts w:cs="AdvTT78ea841c"/>
        </w:rPr>
        <w:fldChar w:fldCharType="end"/>
      </w:r>
      <w:r w:rsidR="0078540C">
        <w:rPr>
          <w:rFonts w:cs="AdvTT78ea841c"/>
        </w:rPr>
        <w:t xml:space="preserve"> </w:t>
      </w:r>
      <w:r w:rsidRPr="00650CAE">
        <w:rPr>
          <w:rFonts w:cs="AdvTT78ea841c"/>
        </w:rPr>
        <w:t>below.  After establishing the maximum of dose level (0.43</w:t>
      </w:r>
      <w:r w:rsidR="009927A8">
        <w:rPr>
          <w:rFonts w:cs="AdvTT78ea841c"/>
        </w:rPr>
        <w:t xml:space="preserve"> ml/kg body weight), the second phase of the</w:t>
      </w:r>
      <w:r w:rsidRPr="00650CAE">
        <w:rPr>
          <w:rFonts w:cs="AdvTT78ea841c"/>
        </w:rPr>
        <w:t xml:space="preserve"> study was to refine MR methods as to evaluate the kinetics of delivery to the prostate and assess differences in [1-13</w:t>
      </w:r>
      <w:proofErr w:type="gramStart"/>
      <w:r w:rsidRPr="00650CAE">
        <w:rPr>
          <w:rFonts w:cs="AdvTT78ea841c"/>
        </w:rPr>
        <w:t>C]lactate</w:t>
      </w:r>
      <w:proofErr w:type="gramEnd"/>
      <w:r w:rsidRPr="00650CAE">
        <w:rPr>
          <w:rFonts w:cs="AdvTT78ea841c"/>
        </w:rPr>
        <w:t xml:space="preserve">/[1-13C]pyruvate for regions of cancer versus other tissues in 13 patients. </w:t>
      </w:r>
    </w:p>
    <w:p w14:paraId="58EA88D4" w14:textId="77777777" w:rsidR="00261981" w:rsidRPr="00650CAE" w:rsidRDefault="00261981" w:rsidP="00650CAE">
      <w:pPr>
        <w:autoSpaceDE w:val="0"/>
        <w:autoSpaceDN w:val="0"/>
        <w:adjustRightInd w:val="0"/>
        <w:ind w:left="142"/>
        <w:rPr>
          <w:rFonts w:ascii="AdvTTaf7f9f4f.B" w:hAnsi="AdvTTaf7f9f4f.B" w:cs="AdvTTaf7f9f4f.B"/>
          <w:sz w:val="17"/>
          <w:szCs w:val="17"/>
        </w:rPr>
      </w:pPr>
    </w:p>
    <w:p w14:paraId="389005E2" w14:textId="6D4A4C83" w:rsidR="00261981" w:rsidRPr="00650CAE" w:rsidRDefault="0078540C" w:rsidP="000819C5">
      <w:pPr>
        <w:pStyle w:val="Caption"/>
        <w:rPr>
          <w:rFonts w:cs="AdvTTe45e47d2"/>
          <w:b w:val="0"/>
        </w:rPr>
      </w:pPr>
      <w:bookmarkStart w:id="182" w:name="_Ref502140390"/>
      <w:r w:rsidRPr="00FB6BBF">
        <w:t xml:space="preserve">Table </w:t>
      </w:r>
      <w:bookmarkEnd w:id="182"/>
      <w:r w:rsidR="009D220C" w:rsidRPr="00FB6BBF">
        <w:t>5</w:t>
      </w:r>
      <w:r w:rsidRPr="006B5FA0">
        <w:t xml:space="preserve">.  </w:t>
      </w:r>
      <w:r w:rsidR="00261981" w:rsidRPr="006B5FA0">
        <w:t>Summary of study design</w:t>
      </w:r>
      <w:r w:rsidR="009D220C" w:rsidRPr="006B5FA0">
        <w:t xml:space="preserve"> NCT 01229618</w:t>
      </w:r>
      <w:r w:rsidR="00261981" w:rsidRPr="006B5FA0">
        <w:rPr>
          <w:rFonts w:cs="AdvTTe45e47d2"/>
          <w:bCs/>
        </w:rPr>
        <w:t>.</w:t>
      </w:r>
    </w:p>
    <w:tbl>
      <w:tblPr>
        <w:tblStyle w:val="LightGrid-Accent5"/>
        <w:tblW w:w="0" w:type="auto"/>
        <w:jc w:val="center"/>
        <w:tblLook w:val="06A0" w:firstRow="1" w:lastRow="0" w:firstColumn="1" w:lastColumn="0" w:noHBand="1" w:noVBand="1"/>
      </w:tblPr>
      <w:tblGrid>
        <w:gridCol w:w="3462"/>
        <w:gridCol w:w="1350"/>
        <w:gridCol w:w="1170"/>
        <w:gridCol w:w="1890"/>
      </w:tblGrid>
      <w:tr w:rsidR="008C609E" w:rsidRPr="00FB6BBF" w14:paraId="0B2EE1A1" w14:textId="77777777" w:rsidTr="00B02AE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62" w:type="dxa"/>
          </w:tcPr>
          <w:p w14:paraId="5ECB3D3E" w14:textId="730CF04C" w:rsidR="008C609E" w:rsidRPr="006B5FA0" w:rsidRDefault="00DB63FB" w:rsidP="001654A4">
            <w:pPr>
              <w:keepNext/>
              <w:autoSpaceDE w:val="0"/>
              <w:autoSpaceDN w:val="0"/>
              <w:adjustRightInd w:val="0"/>
              <w:rPr>
                <w:rFonts w:asciiTheme="minorHAnsi" w:hAnsiTheme="minorHAnsi" w:cstheme="minorHAnsi"/>
              </w:rPr>
            </w:pPr>
            <w:r>
              <w:rPr>
                <w:rFonts w:asciiTheme="minorHAnsi" w:hAnsiTheme="minorHAnsi" w:cstheme="minorHAnsi"/>
              </w:rPr>
              <w:t xml:space="preserve">I got </w:t>
            </w:r>
            <w:r w:rsidR="008C609E" w:rsidRPr="00A0349F">
              <w:rPr>
                <w:rFonts w:cstheme="minorHAnsi"/>
              </w:rPr>
              <w:t>Study Component</w:t>
            </w:r>
          </w:p>
        </w:tc>
        <w:tc>
          <w:tcPr>
            <w:tcW w:w="1350" w:type="dxa"/>
          </w:tcPr>
          <w:p w14:paraId="35F9633E" w14:textId="77777777" w:rsidR="008C609E" w:rsidRPr="006B5FA0" w:rsidRDefault="008C609E" w:rsidP="008C609E">
            <w:pPr>
              <w:keepNext/>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0349F">
              <w:rPr>
                <w:rFonts w:cstheme="minorHAnsi"/>
              </w:rPr>
              <w:t>Dose (ml/kg)</w:t>
            </w:r>
          </w:p>
        </w:tc>
        <w:tc>
          <w:tcPr>
            <w:tcW w:w="1170" w:type="dxa"/>
          </w:tcPr>
          <w:p w14:paraId="3B6114B2" w14:textId="77777777" w:rsidR="008C609E" w:rsidRPr="006B5FA0" w:rsidRDefault="008C609E" w:rsidP="008C609E">
            <w:pPr>
              <w:keepNext/>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0349F">
              <w:rPr>
                <w:rFonts w:cstheme="minorHAnsi"/>
              </w:rPr>
              <w:t>N Patients</w:t>
            </w:r>
          </w:p>
        </w:tc>
        <w:tc>
          <w:tcPr>
            <w:tcW w:w="1890" w:type="dxa"/>
          </w:tcPr>
          <w:p w14:paraId="1663BBF8" w14:textId="77777777" w:rsidR="008C609E" w:rsidRPr="006B5FA0" w:rsidRDefault="008C609E" w:rsidP="008C609E">
            <w:pPr>
              <w:keepNext/>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0349F">
              <w:rPr>
                <w:rFonts w:cstheme="minorHAnsi"/>
              </w:rPr>
              <w:t>MR Acquisition</w:t>
            </w:r>
          </w:p>
        </w:tc>
      </w:tr>
      <w:tr w:rsidR="008C609E" w:rsidRPr="00FB6BBF" w14:paraId="2B6600E1" w14:textId="77777777" w:rsidTr="00B02AEB">
        <w:trPr>
          <w:jc w:val="center"/>
        </w:trPr>
        <w:tc>
          <w:tcPr>
            <w:cnfStyle w:val="001000000000" w:firstRow="0" w:lastRow="0" w:firstColumn="1" w:lastColumn="0" w:oddVBand="0" w:evenVBand="0" w:oddHBand="0" w:evenHBand="0" w:firstRowFirstColumn="0" w:firstRowLastColumn="0" w:lastRowFirstColumn="0" w:lastRowLastColumn="0"/>
            <w:tcW w:w="3462" w:type="dxa"/>
          </w:tcPr>
          <w:p w14:paraId="20928A5F" w14:textId="77777777" w:rsidR="008C609E" w:rsidRPr="006B5FA0" w:rsidRDefault="008C609E" w:rsidP="008C609E">
            <w:pPr>
              <w:keepNext/>
              <w:autoSpaceDE w:val="0"/>
              <w:autoSpaceDN w:val="0"/>
              <w:adjustRightInd w:val="0"/>
              <w:rPr>
                <w:rFonts w:asciiTheme="minorHAnsi" w:hAnsiTheme="minorHAnsi" w:cstheme="minorHAnsi"/>
              </w:rPr>
            </w:pPr>
            <w:r w:rsidRPr="00A0349F">
              <w:rPr>
                <w:rFonts w:cstheme="minorHAnsi"/>
              </w:rPr>
              <w:t>Phase 1: Dose escalation</w:t>
            </w:r>
          </w:p>
        </w:tc>
        <w:tc>
          <w:tcPr>
            <w:tcW w:w="1350" w:type="dxa"/>
          </w:tcPr>
          <w:p w14:paraId="30D330C9" w14:textId="77777777" w:rsidR="008C609E" w:rsidRPr="00A0349F" w:rsidRDefault="008C609E" w:rsidP="008C609E">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A0349F">
              <w:rPr>
                <w:rFonts w:cstheme="minorHAnsi"/>
              </w:rPr>
              <w:t>0.14</w:t>
            </w:r>
          </w:p>
        </w:tc>
        <w:tc>
          <w:tcPr>
            <w:tcW w:w="1170" w:type="dxa"/>
          </w:tcPr>
          <w:p w14:paraId="3103536E" w14:textId="77777777" w:rsidR="008C609E" w:rsidRPr="006B5FA0" w:rsidRDefault="008C609E" w:rsidP="008C609E">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6B5FA0">
              <w:rPr>
                <w:rFonts w:cstheme="minorHAnsi"/>
              </w:rPr>
              <w:t>3</w:t>
            </w:r>
          </w:p>
        </w:tc>
        <w:tc>
          <w:tcPr>
            <w:tcW w:w="1890" w:type="dxa"/>
          </w:tcPr>
          <w:p w14:paraId="67A47694" w14:textId="77777777" w:rsidR="008C609E" w:rsidRPr="006B5FA0" w:rsidRDefault="008C609E" w:rsidP="008C609E">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6B5FA0">
              <w:rPr>
                <w:rFonts w:cstheme="minorHAnsi"/>
              </w:rPr>
              <w:t>1D dynamic MRSI</w:t>
            </w:r>
          </w:p>
        </w:tc>
      </w:tr>
      <w:tr w:rsidR="008C609E" w:rsidRPr="00FB6BBF" w14:paraId="3E82F3E4" w14:textId="77777777" w:rsidTr="00B02AEB">
        <w:trPr>
          <w:jc w:val="center"/>
        </w:trPr>
        <w:tc>
          <w:tcPr>
            <w:cnfStyle w:val="001000000000" w:firstRow="0" w:lastRow="0" w:firstColumn="1" w:lastColumn="0" w:oddVBand="0" w:evenVBand="0" w:oddHBand="0" w:evenHBand="0" w:firstRowFirstColumn="0" w:firstRowLastColumn="0" w:lastRowFirstColumn="0" w:lastRowLastColumn="0"/>
            <w:tcW w:w="3462" w:type="dxa"/>
          </w:tcPr>
          <w:p w14:paraId="033C8DE9" w14:textId="77777777" w:rsidR="008C609E" w:rsidRPr="006B5FA0" w:rsidRDefault="008C609E" w:rsidP="001654A4">
            <w:pPr>
              <w:keepNext/>
              <w:autoSpaceDE w:val="0"/>
              <w:autoSpaceDN w:val="0"/>
              <w:adjustRightInd w:val="0"/>
              <w:rPr>
                <w:rFonts w:asciiTheme="minorHAnsi" w:hAnsiTheme="minorHAnsi" w:cstheme="minorHAnsi"/>
              </w:rPr>
            </w:pPr>
          </w:p>
        </w:tc>
        <w:tc>
          <w:tcPr>
            <w:tcW w:w="1350" w:type="dxa"/>
          </w:tcPr>
          <w:p w14:paraId="451CD2C6" w14:textId="77777777" w:rsidR="008C609E" w:rsidRPr="00A0349F" w:rsidRDefault="008C609E" w:rsidP="008C609E">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170" w:type="dxa"/>
          </w:tcPr>
          <w:p w14:paraId="7DCED96F" w14:textId="77777777" w:rsidR="008C609E" w:rsidRPr="006B5FA0" w:rsidRDefault="008C609E" w:rsidP="008C609E">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6B5FA0">
              <w:rPr>
                <w:rFonts w:cstheme="minorHAnsi"/>
              </w:rPr>
              <w:t>3</w:t>
            </w:r>
          </w:p>
        </w:tc>
        <w:tc>
          <w:tcPr>
            <w:tcW w:w="1890" w:type="dxa"/>
          </w:tcPr>
          <w:p w14:paraId="03787090" w14:textId="77777777" w:rsidR="008C609E" w:rsidRPr="006B5FA0" w:rsidRDefault="008C609E" w:rsidP="008C609E">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6B5FA0">
              <w:rPr>
                <w:rFonts w:cstheme="minorHAnsi"/>
              </w:rPr>
              <w:t>3D MRSI</w:t>
            </w:r>
          </w:p>
        </w:tc>
      </w:tr>
      <w:tr w:rsidR="008C609E" w:rsidRPr="00FB6BBF" w14:paraId="6B1A1BE0" w14:textId="77777777" w:rsidTr="00B02AEB">
        <w:trPr>
          <w:jc w:val="center"/>
        </w:trPr>
        <w:tc>
          <w:tcPr>
            <w:cnfStyle w:val="001000000000" w:firstRow="0" w:lastRow="0" w:firstColumn="1" w:lastColumn="0" w:oddVBand="0" w:evenVBand="0" w:oddHBand="0" w:evenHBand="0" w:firstRowFirstColumn="0" w:firstRowLastColumn="0" w:lastRowFirstColumn="0" w:lastRowLastColumn="0"/>
            <w:tcW w:w="3462" w:type="dxa"/>
          </w:tcPr>
          <w:p w14:paraId="40D358C8" w14:textId="77777777" w:rsidR="008C609E" w:rsidRPr="006B5FA0" w:rsidRDefault="008C609E" w:rsidP="001654A4">
            <w:pPr>
              <w:keepNext/>
              <w:autoSpaceDE w:val="0"/>
              <w:autoSpaceDN w:val="0"/>
              <w:adjustRightInd w:val="0"/>
              <w:rPr>
                <w:rFonts w:asciiTheme="minorHAnsi" w:hAnsiTheme="minorHAnsi" w:cstheme="minorHAnsi"/>
              </w:rPr>
            </w:pPr>
          </w:p>
        </w:tc>
        <w:tc>
          <w:tcPr>
            <w:tcW w:w="1350" w:type="dxa"/>
          </w:tcPr>
          <w:p w14:paraId="0701BA2A" w14:textId="77777777" w:rsidR="008C609E" w:rsidRPr="00A0349F" w:rsidRDefault="008C609E" w:rsidP="008C609E">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A0349F">
              <w:rPr>
                <w:rFonts w:cstheme="minorHAnsi"/>
              </w:rPr>
              <w:t>0.28</w:t>
            </w:r>
          </w:p>
        </w:tc>
        <w:tc>
          <w:tcPr>
            <w:tcW w:w="1170" w:type="dxa"/>
          </w:tcPr>
          <w:p w14:paraId="684F9800" w14:textId="77777777" w:rsidR="008C609E" w:rsidRPr="006B5FA0" w:rsidRDefault="008C609E" w:rsidP="008C609E">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6B5FA0">
              <w:rPr>
                <w:rFonts w:cstheme="minorHAnsi"/>
              </w:rPr>
              <w:t>3</w:t>
            </w:r>
          </w:p>
        </w:tc>
        <w:tc>
          <w:tcPr>
            <w:tcW w:w="1890" w:type="dxa"/>
          </w:tcPr>
          <w:p w14:paraId="5087216C" w14:textId="77777777" w:rsidR="008C609E" w:rsidRPr="006B5FA0" w:rsidRDefault="008C609E" w:rsidP="008C609E">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6B5FA0">
              <w:rPr>
                <w:rFonts w:cstheme="minorHAnsi"/>
              </w:rPr>
              <w:t>1D dynamic MRSI</w:t>
            </w:r>
          </w:p>
        </w:tc>
      </w:tr>
      <w:tr w:rsidR="008C609E" w:rsidRPr="00FB6BBF" w14:paraId="645DE692" w14:textId="77777777" w:rsidTr="00B02AEB">
        <w:trPr>
          <w:jc w:val="center"/>
        </w:trPr>
        <w:tc>
          <w:tcPr>
            <w:cnfStyle w:val="001000000000" w:firstRow="0" w:lastRow="0" w:firstColumn="1" w:lastColumn="0" w:oddVBand="0" w:evenVBand="0" w:oddHBand="0" w:evenHBand="0" w:firstRowFirstColumn="0" w:firstRowLastColumn="0" w:lastRowFirstColumn="0" w:lastRowLastColumn="0"/>
            <w:tcW w:w="3462" w:type="dxa"/>
          </w:tcPr>
          <w:p w14:paraId="63AC52F0" w14:textId="77777777" w:rsidR="008C609E" w:rsidRPr="006B5FA0" w:rsidRDefault="008C609E" w:rsidP="001654A4">
            <w:pPr>
              <w:keepNext/>
              <w:autoSpaceDE w:val="0"/>
              <w:autoSpaceDN w:val="0"/>
              <w:adjustRightInd w:val="0"/>
              <w:rPr>
                <w:rFonts w:asciiTheme="minorHAnsi" w:hAnsiTheme="minorHAnsi" w:cstheme="minorHAnsi"/>
              </w:rPr>
            </w:pPr>
          </w:p>
        </w:tc>
        <w:tc>
          <w:tcPr>
            <w:tcW w:w="1350" w:type="dxa"/>
          </w:tcPr>
          <w:p w14:paraId="64F6B70C" w14:textId="77777777" w:rsidR="008C609E" w:rsidRPr="00A0349F" w:rsidRDefault="008C609E" w:rsidP="008C609E">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170" w:type="dxa"/>
          </w:tcPr>
          <w:p w14:paraId="67D93CD8" w14:textId="77777777" w:rsidR="008C609E" w:rsidRPr="006B5FA0" w:rsidRDefault="008C609E" w:rsidP="008C609E">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6B5FA0">
              <w:rPr>
                <w:rFonts w:cstheme="minorHAnsi"/>
              </w:rPr>
              <w:t>3</w:t>
            </w:r>
          </w:p>
        </w:tc>
        <w:tc>
          <w:tcPr>
            <w:tcW w:w="1890" w:type="dxa"/>
          </w:tcPr>
          <w:p w14:paraId="1400237B" w14:textId="77777777" w:rsidR="008C609E" w:rsidRPr="006B5FA0" w:rsidRDefault="008C609E" w:rsidP="008C609E">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6B5FA0">
              <w:rPr>
                <w:rFonts w:cstheme="minorHAnsi"/>
              </w:rPr>
              <w:t>3D MRSI</w:t>
            </w:r>
          </w:p>
        </w:tc>
      </w:tr>
      <w:tr w:rsidR="008C609E" w:rsidRPr="00FB6BBF" w14:paraId="57CEB06D" w14:textId="77777777" w:rsidTr="00B02AEB">
        <w:trPr>
          <w:jc w:val="center"/>
        </w:trPr>
        <w:tc>
          <w:tcPr>
            <w:cnfStyle w:val="001000000000" w:firstRow="0" w:lastRow="0" w:firstColumn="1" w:lastColumn="0" w:oddVBand="0" w:evenVBand="0" w:oddHBand="0" w:evenHBand="0" w:firstRowFirstColumn="0" w:firstRowLastColumn="0" w:lastRowFirstColumn="0" w:lastRowLastColumn="0"/>
            <w:tcW w:w="3462" w:type="dxa"/>
          </w:tcPr>
          <w:p w14:paraId="0163546C" w14:textId="77777777" w:rsidR="008C609E" w:rsidRPr="006B5FA0" w:rsidRDefault="008C609E" w:rsidP="001654A4">
            <w:pPr>
              <w:keepNext/>
              <w:autoSpaceDE w:val="0"/>
              <w:autoSpaceDN w:val="0"/>
              <w:adjustRightInd w:val="0"/>
              <w:rPr>
                <w:rFonts w:asciiTheme="minorHAnsi" w:hAnsiTheme="minorHAnsi" w:cstheme="minorHAnsi"/>
              </w:rPr>
            </w:pPr>
          </w:p>
        </w:tc>
        <w:tc>
          <w:tcPr>
            <w:tcW w:w="1350" w:type="dxa"/>
          </w:tcPr>
          <w:p w14:paraId="5AAA5D7E" w14:textId="77777777" w:rsidR="008C609E" w:rsidRPr="00A0349F" w:rsidRDefault="008C609E" w:rsidP="008C609E">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A0349F">
              <w:rPr>
                <w:rFonts w:cstheme="minorHAnsi"/>
              </w:rPr>
              <w:t>0.43</w:t>
            </w:r>
          </w:p>
        </w:tc>
        <w:tc>
          <w:tcPr>
            <w:tcW w:w="1170" w:type="dxa"/>
          </w:tcPr>
          <w:p w14:paraId="54D195B2" w14:textId="77777777" w:rsidR="008C609E" w:rsidRPr="006B5FA0" w:rsidRDefault="008C609E" w:rsidP="008C609E">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6B5FA0">
              <w:rPr>
                <w:rFonts w:cstheme="minorHAnsi"/>
              </w:rPr>
              <w:t>3</w:t>
            </w:r>
          </w:p>
        </w:tc>
        <w:tc>
          <w:tcPr>
            <w:tcW w:w="1890" w:type="dxa"/>
          </w:tcPr>
          <w:p w14:paraId="0768BAB0" w14:textId="77777777" w:rsidR="008C609E" w:rsidRPr="006B5FA0" w:rsidRDefault="008C609E" w:rsidP="008C609E">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6B5FA0">
              <w:rPr>
                <w:rFonts w:cstheme="minorHAnsi"/>
              </w:rPr>
              <w:t>1D dynamic MRSI</w:t>
            </w:r>
          </w:p>
        </w:tc>
      </w:tr>
      <w:tr w:rsidR="008C609E" w:rsidRPr="00FB6BBF" w14:paraId="53E95B62" w14:textId="77777777" w:rsidTr="00B02AEB">
        <w:trPr>
          <w:jc w:val="center"/>
        </w:trPr>
        <w:tc>
          <w:tcPr>
            <w:cnfStyle w:val="001000000000" w:firstRow="0" w:lastRow="0" w:firstColumn="1" w:lastColumn="0" w:oddVBand="0" w:evenVBand="0" w:oddHBand="0" w:evenHBand="0" w:firstRowFirstColumn="0" w:firstRowLastColumn="0" w:lastRowFirstColumn="0" w:lastRowLastColumn="0"/>
            <w:tcW w:w="3462" w:type="dxa"/>
          </w:tcPr>
          <w:p w14:paraId="2F53322C" w14:textId="77777777" w:rsidR="008C609E" w:rsidRPr="006B5FA0" w:rsidRDefault="008C609E" w:rsidP="001654A4">
            <w:pPr>
              <w:keepNext/>
              <w:autoSpaceDE w:val="0"/>
              <w:autoSpaceDN w:val="0"/>
              <w:adjustRightInd w:val="0"/>
              <w:rPr>
                <w:rFonts w:asciiTheme="minorHAnsi" w:hAnsiTheme="minorHAnsi" w:cstheme="minorHAnsi"/>
              </w:rPr>
            </w:pPr>
          </w:p>
        </w:tc>
        <w:tc>
          <w:tcPr>
            <w:tcW w:w="1350" w:type="dxa"/>
          </w:tcPr>
          <w:p w14:paraId="25B87D08" w14:textId="77777777" w:rsidR="008C609E" w:rsidRPr="00A0349F" w:rsidRDefault="008C609E" w:rsidP="008C609E">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170" w:type="dxa"/>
          </w:tcPr>
          <w:p w14:paraId="31A1547A" w14:textId="77777777" w:rsidR="008C609E" w:rsidRPr="006B5FA0" w:rsidRDefault="008C609E" w:rsidP="008C609E">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6B5FA0">
              <w:rPr>
                <w:rFonts w:cstheme="minorHAnsi"/>
              </w:rPr>
              <w:t>3</w:t>
            </w:r>
          </w:p>
        </w:tc>
        <w:tc>
          <w:tcPr>
            <w:tcW w:w="1890" w:type="dxa"/>
          </w:tcPr>
          <w:p w14:paraId="1532AB7B" w14:textId="77777777" w:rsidR="008C609E" w:rsidRPr="006B5FA0" w:rsidRDefault="008C609E" w:rsidP="008C609E">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6B5FA0">
              <w:rPr>
                <w:rFonts w:cstheme="minorHAnsi"/>
              </w:rPr>
              <w:t>2D MRSI</w:t>
            </w:r>
          </w:p>
        </w:tc>
      </w:tr>
      <w:tr w:rsidR="008C609E" w:rsidRPr="00FB6BBF" w14:paraId="06D4DD38" w14:textId="77777777" w:rsidTr="00B02AEB">
        <w:trPr>
          <w:jc w:val="center"/>
        </w:trPr>
        <w:tc>
          <w:tcPr>
            <w:cnfStyle w:val="001000000000" w:firstRow="0" w:lastRow="0" w:firstColumn="1" w:lastColumn="0" w:oddVBand="0" w:evenVBand="0" w:oddHBand="0" w:evenHBand="0" w:firstRowFirstColumn="0" w:firstRowLastColumn="0" w:lastRowFirstColumn="0" w:lastRowLastColumn="0"/>
            <w:tcW w:w="3462" w:type="dxa"/>
          </w:tcPr>
          <w:p w14:paraId="3A63A64E" w14:textId="77777777" w:rsidR="008C609E" w:rsidRPr="006B5FA0" w:rsidRDefault="008C609E" w:rsidP="008C609E">
            <w:pPr>
              <w:keepNext/>
              <w:autoSpaceDE w:val="0"/>
              <w:autoSpaceDN w:val="0"/>
              <w:adjustRightInd w:val="0"/>
              <w:rPr>
                <w:rFonts w:asciiTheme="minorHAnsi" w:hAnsiTheme="minorHAnsi" w:cstheme="minorHAnsi"/>
              </w:rPr>
            </w:pPr>
            <w:r w:rsidRPr="00A0349F">
              <w:rPr>
                <w:rFonts w:cstheme="minorHAnsi"/>
              </w:rPr>
              <w:t>Phase 2: Refining MR methods</w:t>
            </w:r>
          </w:p>
        </w:tc>
        <w:tc>
          <w:tcPr>
            <w:tcW w:w="1350" w:type="dxa"/>
          </w:tcPr>
          <w:p w14:paraId="1BEFC0CD" w14:textId="77777777" w:rsidR="008C609E" w:rsidRPr="00A0349F" w:rsidRDefault="008C609E" w:rsidP="008C609E">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A0349F">
              <w:rPr>
                <w:rFonts w:cstheme="minorHAnsi"/>
              </w:rPr>
              <w:t>0.43</w:t>
            </w:r>
          </w:p>
        </w:tc>
        <w:tc>
          <w:tcPr>
            <w:tcW w:w="1170" w:type="dxa"/>
          </w:tcPr>
          <w:p w14:paraId="57C4305E" w14:textId="77777777" w:rsidR="008C609E" w:rsidRPr="006B5FA0" w:rsidRDefault="008C609E" w:rsidP="008C609E">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6B5FA0">
              <w:rPr>
                <w:rFonts w:cstheme="minorHAnsi"/>
              </w:rPr>
              <w:t>5</w:t>
            </w:r>
          </w:p>
        </w:tc>
        <w:tc>
          <w:tcPr>
            <w:tcW w:w="1890" w:type="dxa"/>
          </w:tcPr>
          <w:p w14:paraId="1C807352" w14:textId="77777777" w:rsidR="008C609E" w:rsidRPr="006B5FA0" w:rsidRDefault="008C609E" w:rsidP="008C609E">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6B5FA0">
              <w:rPr>
                <w:rFonts w:cstheme="minorHAnsi"/>
              </w:rPr>
              <w:t>2D dynamic MRSI</w:t>
            </w:r>
          </w:p>
        </w:tc>
      </w:tr>
      <w:tr w:rsidR="008C609E" w:rsidRPr="00FB6BBF" w14:paraId="47B77FBF" w14:textId="77777777" w:rsidTr="00B02AEB">
        <w:trPr>
          <w:jc w:val="center"/>
        </w:trPr>
        <w:tc>
          <w:tcPr>
            <w:cnfStyle w:val="001000000000" w:firstRow="0" w:lastRow="0" w:firstColumn="1" w:lastColumn="0" w:oddVBand="0" w:evenVBand="0" w:oddHBand="0" w:evenHBand="0" w:firstRowFirstColumn="0" w:firstRowLastColumn="0" w:lastRowFirstColumn="0" w:lastRowLastColumn="0"/>
            <w:tcW w:w="3462" w:type="dxa"/>
          </w:tcPr>
          <w:p w14:paraId="2F376B50" w14:textId="77777777" w:rsidR="008C609E" w:rsidRPr="006B5FA0" w:rsidRDefault="008C609E" w:rsidP="008C609E">
            <w:pPr>
              <w:keepNext/>
              <w:autoSpaceDE w:val="0"/>
              <w:autoSpaceDN w:val="0"/>
              <w:adjustRightInd w:val="0"/>
              <w:rPr>
                <w:rFonts w:asciiTheme="minorHAnsi" w:hAnsiTheme="minorHAnsi" w:cstheme="minorHAnsi"/>
              </w:rPr>
            </w:pPr>
          </w:p>
        </w:tc>
        <w:tc>
          <w:tcPr>
            <w:tcW w:w="1350" w:type="dxa"/>
          </w:tcPr>
          <w:p w14:paraId="7C1C97DA" w14:textId="77777777" w:rsidR="008C609E" w:rsidRPr="00A0349F" w:rsidRDefault="008C609E" w:rsidP="008C609E">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170" w:type="dxa"/>
          </w:tcPr>
          <w:p w14:paraId="6FFA8472" w14:textId="77777777" w:rsidR="008C609E" w:rsidRPr="006B5FA0" w:rsidRDefault="008C609E" w:rsidP="008C609E">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6B5FA0">
              <w:rPr>
                <w:rFonts w:cstheme="minorHAnsi"/>
              </w:rPr>
              <w:t>3</w:t>
            </w:r>
          </w:p>
        </w:tc>
        <w:tc>
          <w:tcPr>
            <w:tcW w:w="1890" w:type="dxa"/>
          </w:tcPr>
          <w:p w14:paraId="78B80C29" w14:textId="77777777" w:rsidR="008C609E" w:rsidRPr="006B5FA0" w:rsidRDefault="008C609E" w:rsidP="008C609E">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6B5FA0">
              <w:rPr>
                <w:rFonts w:cstheme="minorHAnsi"/>
              </w:rPr>
              <w:t>2D MRSI</w:t>
            </w:r>
          </w:p>
        </w:tc>
      </w:tr>
      <w:tr w:rsidR="008C609E" w:rsidRPr="00FB6BBF" w14:paraId="0C7AF835" w14:textId="77777777" w:rsidTr="00B02AEB">
        <w:trPr>
          <w:jc w:val="center"/>
        </w:trPr>
        <w:tc>
          <w:tcPr>
            <w:cnfStyle w:val="001000000000" w:firstRow="0" w:lastRow="0" w:firstColumn="1" w:lastColumn="0" w:oddVBand="0" w:evenVBand="0" w:oddHBand="0" w:evenHBand="0" w:firstRowFirstColumn="0" w:firstRowLastColumn="0" w:lastRowFirstColumn="0" w:lastRowLastColumn="0"/>
            <w:tcW w:w="3462" w:type="dxa"/>
          </w:tcPr>
          <w:p w14:paraId="65ACB028" w14:textId="77777777" w:rsidR="008C609E" w:rsidRPr="006B5FA0" w:rsidRDefault="008C609E" w:rsidP="008C609E">
            <w:pPr>
              <w:keepNext/>
              <w:autoSpaceDE w:val="0"/>
              <w:autoSpaceDN w:val="0"/>
              <w:adjustRightInd w:val="0"/>
              <w:rPr>
                <w:rFonts w:asciiTheme="minorHAnsi" w:hAnsiTheme="minorHAnsi" w:cstheme="minorHAnsi"/>
              </w:rPr>
            </w:pPr>
          </w:p>
        </w:tc>
        <w:tc>
          <w:tcPr>
            <w:tcW w:w="1350" w:type="dxa"/>
          </w:tcPr>
          <w:p w14:paraId="2CEECC58" w14:textId="77777777" w:rsidR="008C609E" w:rsidRPr="00A0349F" w:rsidRDefault="008C609E" w:rsidP="008C609E">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170" w:type="dxa"/>
          </w:tcPr>
          <w:p w14:paraId="60220F54" w14:textId="77777777" w:rsidR="008C609E" w:rsidRPr="006B5FA0" w:rsidRDefault="008C609E" w:rsidP="008C609E">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6B5FA0">
              <w:rPr>
                <w:rFonts w:cstheme="minorHAnsi"/>
              </w:rPr>
              <w:t>5</w:t>
            </w:r>
          </w:p>
        </w:tc>
        <w:tc>
          <w:tcPr>
            <w:tcW w:w="1890" w:type="dxa"/>
          </w:tcPr>
          <w:p w14:paraId="15B2EEAC" w14:textId="77777777" w:rsidR="008C609E" w:rsidRPr="006B5FA0" w:rsidRDefault="008C609E" w:rsidP="008C609E">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6B5FA0">
              <w:rPr>
                <w:rFonts w:cstheme="minorHAnsi"/>
              </w:rPr>
              <w:t>3D MRSI</w:t>
            </w:r>
          </w:p>
        </w:tc>
      </w:tr>
    </w:tbl>
    <w:p w14:paraId="6490B3D0" w14:textId="77777777" w:rsidR="00261981" w:rsidRPr="00650CAE" w:rsidRDefault="00261981" w:rsidP="00650CAE">
      <w:pPr>
        <w:autoSpaceDE w:val="0"/>
        <w:autoSpaceDN w:val="0"/>
        <w:adjustRightInd w:val="0"/>
        <w:ind w:left="142"/>
        <w:jc w:val="center"/>
        <w:rPr>
          <w:rFonts w:cs="AdvTT78ea841c"/>
        </w:rPr>
      </w:pPr>
    </w:p>
    <w:p w14:paraId="1E4F12FF" w14:textId="77777777" w:rsidR="00261981" w:rsidRPr="00650CAE" w:rsidRDefault="00261981" w:rsidP="00650CAE">
      <w:pPr>
        <w:autoSpaceDE w:val="0"/>
        <w:autoSpaceDN w:val="0"/>
        <w:adjustRightInd w:val="0"/>
        <w:ind w:left="142"/>
        <w:rPr>
          <w:rFonts w:cs="AdvTT78ea841c"/>
        </w:rPr>
      </w:pPr>
    </w:p>
    <w:p w14:paraId="5A9891B5" w14:textId="77777777" w:rsidR="00261981" w:rsidRPr="00650CAE" w:rsidRDefault="00261981" w:rsidP="00650CAE">
      <w:pPr>
        <w:autoSpaceDE w:val="0"/>
        <w:autoSpaceDN w:val="0"/>
        <w:adjustRightInd w:val="0"/>
        <w:ind w:left="142"/>
        <w:rPr>
          <w:rFonts w:cs="AdvTT78ea841c"/>
        </w:rPr>
      </w:pPr>
      <w:r w:rsidRPr="00650CAE">
        <w:rPr>
          <w:rFonts w:cs="AdvTT78ea841c"/>
        </w:rPr>
        <w:t xml:space="preserve">The study was conducted at </w:t>
      </w:r>
      <w:r w:rsidR="006951E3">
        <w:rPr>
          <w:rFonts w:cs="AdvTT78ea841c"/>
        </w:rPr>
        <w:t>the</w:t>
      </w:r>
      <w:r w:rsidRPr="00650CAE">
        <w:rPr>
          <w:rFonts w:cs="AdvTT78ea841c"/>
        </w:rPr>
        <w:t xml:space="preserve"> University of California, San Francisco (UCSF). 31 eligible patients were recruited, with untreated, biopsy proven localized prostate cancer</w:t>
      </w:r>
      <w:r w:rsidR="006951E3">
        <w:rPr>
          <w:rFonts w:cs="AdvTT78ea841c"/>
        </w:rPr>
        <w:t xml:space="preserve">, </w:t>
      </w:r>
      <w:r w:rsidRPr="00650CAE">
        <w:rPr>
          <w:rFonts w:cs="AdvTT78ea841c"/>
        </w:rPr>
        <w:t xml:space="preserve">no significant history of cardiac or pulmonary disease and adequate baseline organ function. </w:t>
      </w:r>
      <w:r w:rsidR="006951E3">
        <w:rPr>
          <w:rFonts w:cs="AdvTT78ea841c"/>
        </w:rPr>
        <w:t xml:space="preserve">Each </w:t>
      </w:r>
      <w:r w:rsidRPr="00650CAE">
        <w:rPr>
          <w:rFonts w:cs="AdvTT78ea841c"/>
        </w:rPr>
        <w:t xml:space="preserve">received a multi-parametric 1H MR staging examination before the hyperpolarized MR study to confirm that they had observable lesions and ensure that they were familiar with standard imaging procedures. </w:t>
      </w:r>
    </w:p>
    <w:p w14:paraId="2A1ABB20" w14:textId="77777777" w:rsidR="00261981" w:rsidRPr="00650CAE" w:rsidRDefault="00261981" w:rsidP="00650CAE">
      <w:pPr>
        <w:autoSpaceDE w:val="0"/>
        <w:autoSpaceDN w:val="0"/>
        <w:adjustRightInd w:val="0"/>
        <w:ind w:left="142"/>
        <w:rPr>
          <w:rFonts w:cs="AdvTT78ea841c"/>
        </w:rPr>
      </w:pPr>
    </w:p>
    <w:p w14:paraId="5E898374" w14:textId="77777777" w:rsidR="00261981" w:rsidRPr="00650CAE" w:rsidRDefault="00261981" w:rsidP="00650CAE">
      <w:pPr>
        <w:autoSpaceDE w:val="0"/>
        <w:autoSpaceDN w:val="0"/>
        <w:adjustRightInd w:val="0"/>
        <w:ind w:left="142"/>
        <w:rPr>
          <w:rFonts w:cs="AdvTT78ea841c"/>
        </w:rPr>
      </w:pPr>
      <w:r w:rsidRPr="00650CAE">
        <w:rPr>
          <w:rFonts w:cs="AdvTT78ea841c"/>
        </w:rPr>
        <w:t xml:space="preserve">For phase 1 of the study, the commonly used 3 + 3 dose escalation clinical trial design was modified to enroll six patients at each dose: three to monitor the kinetics of delivery and three to evaluate the spatial distribution of metabolism in tumor versus other tissues. Three dose levels were </w:t>
      </w:r>
      <w:r w:rsidR="00B02AEB">
        <w:rPr>
          <w:rFonts w:cs="AdvTT78ea841c"/>
        </w:rPr>
        <w:t>administered</w:t>
      </w:r>
      <w:r w:rsidRPr="00650CAE">
        <w:rPr>
          <w:rFonts w:cs="AdvTT78ea841c"/>
        </w:rPr>
        <w:t xml:space="preserve"> (0.14, 0.28, or 0.43 ml/kg actual body weight of </w:t>
      </w:r>
      <w:r w:rsidR="00230B9E">
        <w:rPr>
          <w:rFonts w:cs="AdvTT78ea841c"/>
        </w:rPr>
        <w:t xml:space="preserve">250 </w:t>
      </w:r>
      <w:r w:rsidRPr="00650CAE">
        <w:rPr>
          <w:rFonts w:cs="AdvTT78ea841c"/>
        </w:rPr>
        <w:t>mM pyruvate solution). Patients underwent continuous electrocardiogram monitoring during and for 10 min after the injection, as well as at baseline, 1 hour, and 2 hours after the injection. Clinical monitoring was undertaken for 2 hours after injection, with clinical and laboratory assessments performed at 24 hours and 7 days.</w:t>
      </w:r>
    </w:p>
    <w:p w14:paraId="5C84E842" w14:textId="77777777" w:rsidR="00261981" w:rsidRPr="00650CAE" w:rsidRDefault="00261981" w:rsidP="00650CAE">
      <w:pPr>
        <w:autoSpaceDE w:val="0"/>
        <w:autoSpaceDN w:val="0"/>
        <w:adjustRightInd w:val="0"/>
        <w:ind w:left="142"/>
        <w:rPr>
          <w:rFonts w:cs="AdvTT78ea841c"/>
        </w:rPr>
      </w:pPr>
    </w:p>
    <w:p w14:paraId="71CF1420" w14:textId="77777777" w:rsidR="00261981" w:rsidRPr="00FF3461" w:rsidRDefault="00261981" w:rsidP="00B02AEB">
      <w:pPr>
        <w:autoSpaceDE w:val="0"/>
        <w:autoSpaceDN w:val="0"/>
        <w:adjustRightInd w:val="0"/>
        <w:ind w:left="142"/>
      </w:pPr>
      <w:r w:rsidRPr="00FF3461">
        <w:t xml:space="preserve">The hyperpolarized [1-13C]-pyruvate was produced under aseptic conditions using a DNP polarizer located in a clean room adjacent to the 3 T MR scanner. </w:t>
      </w:r>
      <w:r w:rsidRPr="00650CAE">
        <w:rPr>
          <w:rFonts w:cs="AdvTT78ea841c"/>
        </w:rPr>
        <w:t xml:space="preserve">The formulation comprised [1-13C]pyruvate (22.0 mg/ml), sodium (4.1mg/ml), tris (12.1mg/ml), EDTA (0.1 mg/ml), and tris{8-carboxyl-2,2,6,6-tetra[2-(1-methoxyethyl)]benzo(1,2-d:4,5 d)bis(1,3)dithiole-4-yl}methyl (radical) (4.6 </w:t>
      </w:r>
      <w:r w:rsidRPr="00650CAE">
        <w:rPr>
          <w:rFonts w:cs="AdvTTcd7bcd39"/>
        </w:rPr>
        <w:t>m</w:t>
      </w:r>
      <w:r w:rsidRPr="00650CAE">
        <w:rPr>
          <w:rFonts w:cs="AdvTT78ea841c"/>
        </w:rPr>
        <w:t>g/ml) in sterile water for injection. All components were manufactured according to current Good Manufacturing Practices and were provided in sterile single-use packaging by GE Healthcare.</w:t>
      </w:r>
      <w:r w:rsidRPr="00650CAE">
        <w:rPr>
          <w:rFonts w:ascii="AdvTT78ea841c" w:hAnsi="AdvTT78ea841c" w:cs="AdvTT78ea841c"/>
          <w:sz w:val="19"/>
          <w:szCs w:val="19"/>
        </w:rPr>
        <w:t xml:space="preserve">  </w:t>
      </w:r>
      <w:r w:rsidRPr="00FF3461">
        <w:t xml:space="preserve">After dissolution and neutralization, column filtration removed the EPA, passed the hyperpolarized </w:t>
      </w:r>
      <w:r w:rsidRPr="00FF3461">
        <w:lastRenderedPageBreak/>
        <w:t xml:space="preserve">agent through a 0.22-mm sterile filter and collected it in a drug product vessel. The automated QC system provided by GE Healthcare required 3 ml for testing. An investigational pharmacist monitored the process and released the sample for injection if it met the specifications defined in the IND: pH in the range of 6.7-8.0, temperature in the range 25-37°C, polarization not less than 15% and residual EPA concentration no higher than 3.0 </w:t>
      </w:r>
      <w:proofErr w:type="spellStart"/>
      <w:r w:rsidRPr="00FF3461">
        <w:t>μg</w:t>
      </w:r>
      <w:proofErr w:type="spellEnd"/>
      <w:r w:rsidRPr="00FF3461">
        <w:t xml:space="preserve">. The drug product vessel was then transferred to the scan room and the appropriate volume drawn into a syringe for manual injection. </w:t>
      </w:r>
    </w:p>
    <w:p w14:paraId="3043FBE6" w14:textId="77777777" w:rsidR="00261981" w:rsidRPr="00650CAE" w:rsidRDefault="00261981" w:rsidP="00650CAE">
      <w:pPr>
        <w:autoSpaceDE w:val="0"/>
        <w:autoSpaceDN w:val="0"/>
        <w:adjustRightInd w:val="0"/>
        <w:ind w:left="142"/>
        <w:rPr>
          <w:rFonts w:ascii="AdvTTaf7f9f4f.B" w:hAnsi="AdvTTaf7f9f4f.B" w:cs="AdvTTaf7f9f4f.B"/>
          <w:sz w:val="19"/>
          <w:szCs w:val="19"/>
        </w:rPr>
      </w:pPr>
    </w:p>
    <w:p w14:paraId="3B236C2A" w14:textId="77777777" w:rsidR="00261981" w:rsidRPr="00650CAE" w:rsidRDefault="00261981" w:rsidP="00650CAE">
      <w:pPr>
        <w:autoSpaceDE w:val="0"/>
        <w:autoSpaceDN w:val="0"/>
        <w:adjustRightInd w:val="0"/>
        <w:ind w:left="142"/>
        <w:rPr>
          <w:rFonts w:cs="AdvTT78ea841c"/>
        </w:rPr>
      </w:pPr>
      <w:r w:rsidRPr="00650CAE">
        <w:rPr>
          <w:rFonts w:cs="AdvTT78ea841c"/>
        </w:rPr>
        <w:t xml:space="preserve">For the 31 samples injected into patients, the average polarization was 17.8% (range, 15.9 to 21.1), pH was 7.6 (range, 7.3 to 8.0), temperature was 32.4°C (range, 28.8 to 36.4), and volume was 51.9 ml (range, 31.9 to 53.5). QC criteria were defined as follows: polarization to be not less than 15%, pH in the range of 6.7 to 8.0, sample temperature in the range of 25° to 37°C, and residual EPA concentration no higher than 3.0 </w:t>
      </w:r>
      <w:r w:rsidRPr="00650CAE">
        <w:rPr>
          <w:rFonts w:cs="AdvTTcd7bcd39"/>
        </w:rPr>
        <w:t>m</w:t>
      </w:r>
      <w:r w:rsidRPr="00650CAE">
        <w:rPr>
          <w:rFonts w:cs="AdvTT78ea841c"/>
        </w:rPr>
        <w:t xml:space="preserve">g. </w:t>
      </w:r>
      <w:r w:rsidR="00B02AEB">
        <w:rPr>
          <w:rFonts w:cs="AdvTT78ea841c"/>
        </w:rPr>
        <w:t>The</w:t>
      </w:r>
      <w:r w:rsidRPr="00650CAE">
        <w:rPr>
          <w:rFonts w:cs="AdvTT78ea841c"/>
        </w:rPr>
        <w:t xml:space="preserve"> dissolution took an average of 17.8 s (range, 5 to 30), the QC process 13.1 s (range, 10 to 19), delivery through the hatch into the scan room 21.8 s (range, 11 to 30), and injection 14.9 s (range, 6 to 28). Overall, this gave an average of 67.6 s (range, 43 to 88) to deliver the agent to the subject. The mean injection volumes for the patients studied at each dose were 11.8 ml (range, 10 to 14), 26.8 ml (range, 22 to 33), and 34.5 ml (range, 29 to 46), with mean injection times of 8.5 s (range, 6 to 10), 14.8 s (range, 10 to 27), and 12.5 s (range, 1 to 28), respectively. Variation in injection times reflected differences in the volume delivered, as well as in the time for drawing the material from the drug product vessel into a syringe and performing the manual injection.</w:t>
      </w:r>
    </w:p>
    <w:p w14:paraId="58F95748" w14:textId="77777777" w:rsidR="00261981" w:rsidRPr="00650CAE" w:rsidRDefault="00261981" w:rsidP="00650CAE">
      <w:pPr>
        <w:autoSpaceDE w:val="0"/>
        <w:autoSpaceDN w:val="0"/>
        <w:adjustRightInd w:val="0"/>
        <w:ind w:left="142"/>
        <w:rPr>
          <w:rFonts w:cs="AdvTT78ea841c"/>
        </w:rPr>
      </w:pPr>
    </w:p>
    <w:p w14:paraId="70963EB1" w14:textId="601DDF22" w:rsidR="00261981" w:rsidRPr="00650CAE" w:rsidRDefault="00261981" w:rsidP="00650CAE">
      <w:pPr>
        <w:autoSpaceDE w:val="0"/>
        <w:autoSpaceDN w:val="0"/>
        <w:adjustRightInd w:val="0"/>
        <w:ind w:left="142"/>
        <w:rPr>
          <w:rFonts w:cs="AdvTT78ea841c"/>
        </w:rPr>
      </w:pPr>
      <w:r w:rsidRPr="00650CAE">
        <w:rPr>
          <w:rFonts w:cs="AdvTT78ea841c"/>
        </w:rPr>
        <w:t>Toxicit</w:t>
      </w:r>
      <w:r w:rsidR="002C5A81">
        <w:rPr>
          <w:rFonts w:cs="AdvTT78ea841c"/>
        </w:rPr>
        <w:t>ies were graded with CTCAE v4.0</w:t>
      </w:r>
      <w:r w:rsidRPr="00650CAE">
        <w:rPr>
          <w:rFonts w:cs="AdvTT78ea841c"/>
        </w:rPr>
        <w:t xml:space="preserve"> criteria</w:t>
      </w:r>
      <w:r w:rsidR="00AD043C">
        <w:rPr>
          <w:rFonts w:cs="AdvTT78ea841c"/>
          <w:color w:val="FF0000"/>
        </w:rPr>
        <w:t>.</w:t>
      </w:r>
      <w:r w:rsidRPr="005F6CE7">
        <w:rPr>
          <w:rFonts w:cs="AdvTT78ea841c"/>
          <w:color w:val="FF0000"/>
        </w:rPr>
        <w:t xml:space="preserve"> </w:t>
      </w:r>
      <w:r w:rsidRPr="00650CAE">
        <w:rPr>
          <w:rFonts w:cs="AdvTT78ea841c"/>
        </w:rPr>
        <w:t xml:space="preserve">A DLT was defined as an event of grade 2, 3, or 4 that was attributable to the agent and occurred within 7 days after the imaging examination. The stopping rule in each cohort of six subjects was as follows: if 0 or 1 dose DLT were observed, the study would proceed to the next dose level; if two DLTs were observed, that dose would become the maximum tolerated dose; and if more than two DLTs occur, the next lower dose would be considered as the maximum tolerated dose. </w:t>
      </w:r>
    </w:p>
    <w:p w14:paraId="4EF00ED3" w14:textId="77777777" w:rsidR="00261981" w:rsidRPr="00650CAE" w:rsidRDefault="00261981" w:rsidP="00650CAE">
      <w:pPr>
        <w:autoSpaceDE w:val="0"/>
        <w:autoSpaceDN w:val="0"/>
        <w:adjustRightInd w:val="0"/>
        <w:ind w:left="142"/>
        <w:rPr>
          <w:rFonts w:cs="AdvTT78ea841c"/>
        </w:rPr>
      </w:pPr>
    </w:p>
    <w:p w14:paraId="6A759EAC" w14:textId="1CEE5D5A" w:rsidR="00261981" w:rsidRPr="00650CAE" w:rsidRDefault="00261981" w:rsidP="00650CAE">
      <w:pPr>
        <w:autoSpaceDE w:val="0"/>
        <w:autoSpaceDN w:val="0"/>
        <w:adjustRightInd w:val="0"/>
        <w:ind w:left="142"/>
        <w:rPr>
          <w:rFonts w:cs="AdvTT78ea841c"/>
        </w:rPr>
      </w:pPr>
      <w:r w:rsidRPr="00650CAE">
        <w:rPr>
          <w:rFonts w:cs="AdvTT78ea841c"/>
        </w:rPr>
        <w:t>Vital signs were monitored before and immediately after the imaging examination, with subsequent telephone follow-ups over a period of 7 days to check for evidence of adverse events. In phase 1 of the study, there were a total of 10 adverse events in eight</w:t>
      </w:r>
      <w:r w:rsidR="001654A4">
        <w:rPr>
          <w:rFonts w:cs="AdvTT78ea841c"/>
        </w:rPr>
        <w:t>een</w:t>
      </w:r>
      <w:r w:rsidRPr="00650CAE">
        <w:rPr>
          <w:rFonts w:cs="AdvTT78ea841c"/>
        </w:rPr>
        <w:t xml:space="preserve"> patients, see </w:t>
      </w:r>
      <w:proofErr w:type="spellStart"/>
      <w:r w:rsidR="0091772D">
        <w:rPr>
          <w:rFonts w:cs="AdvTT78ea841c"/>
        </w:rPr>
        <w:t>t</w:t>
      </w:r>
      <w:r w:rsidR="0078540C">
        <w:rPr>
          <w:rFonts w:cs="AdvTT78ea841c"/>
        </w:rPr>
        <w:fldChar w:fldCharType="begin"/>
      </w:r>
      <w:r w:rsidR="0078540C">
        <w:rPr>
          <w:rFonts w:cs="AdvTT78ea841c"/>
        </w:rPr>
        <w:instrText xml:space="preserve"> REF _Ref502140444 \h </w:instrText>
      </w:r>
      <w:r w:rsidR="0078540C">
        <w:rPr>
          <w:rFonts w:cs="AdvTT78ea841c"/>
        </w:rPr>
      </w:r>
      <w:r w:rsidR="0078540C">
        <w:rPr>
          <w:rFonts w:cs="AdvTT78ea841c"/>
        </w:rPr>
        <w:fldChar w:fldCharType="separate"/>
      </w:r>
      <w:r w:rsidR="00B263AB" w:rsidRPr="00FB6BBF">
        <w:t>Table</w:t>
      </w:r>
      <w:proofErr w:type="spellEnd"/>
      <w:r w:rsidR="00B263AB" w:rsidRPr="00FB6BBF">
        <w:t xml:space="preserve"> </w:t>
      </w:r>
      <w:r w:rsidR="0078540C">
        <w:rPr>
          <w:rFonts w:cs="AdvTT78ea841c"/>
        </w:rPr>
        <w:fldChar w:fldCharType="end"/>
      </w:r>
      <w:r w:rsidRPr="00650CAE">
        <w:rPr>
          <w:rFonts w:cs="AdvTT78ea841c"/>
        </w:rPr>
        <w:t>below. These were all considered mild events and were classified as grade 1 by Common Terminology Criteria for Adverse Events (CTCAE) v4.0.</w:t>
      </w:r>
      <w:r w:rsidR="0078540C">
        <w:rPr>
          <w:rFonts w:cs="AdvTT78ea841c"/>
        </w:rPr>
        <w:t xml:space="preserve"> </w:t>
      </w:r>
      <w:r w:rsidRPr="00650CAE">
        <w:rPr>
          <w:rFonts w:cs="AdvTT78ea841c"/>
        </w:rPr>
        <w:t>criteria. The highest dose of [1-13</w:t>
      </w:r>
      <w:proofErr w:type="gramStart"/>
      <w:r w:rsidRPr="00650CAE">
        <w:rPr>
          <w:rFonts w:cs="AdvTT78ea841c"/>
        </w:rPr>
        <w:t>C]pyruvate</w:t>
      </w:r>
      <w:proofErr w:type="gramEnd"/>
      <w:r w:rsidRPr="00650CAE">
        <w:rPr>
          <w:rFonts w:cs="AdvTT78ea841c"/>
        </w:rPr>
        <w:t xml:space="preserve"> (0.43 ml/kg) was selected for further study </w:t>
      </w:r>
      <w:r w:rsidR="00ED59DD" w:rsidRPr="00650CAE">
        <w:rPr>
          <w:rFonts w:cs="AdvTT78ea841c"/>
        </w:rPr>
        <w:t>based on</w:t>
      </w:r>
      <w:r w:rsidRPr="00650CAE">
        <w:rPr>
          <w:rFonts w:cs="AdvTT78ea841c"/>
        </w:rPr>
        <w:t xml:space="preserve"> the higher signal-to-noise ratio (SNR) of hyperpolarized [1-13C]pyruvate that was observed. In phase 2, there were an additional 10 events observed in five patients, but, again, none of them were considered dose-limiting toxicities (DLTs). The single episode of dizziness that was seen in one patient during phase 2 was attributed to extra dosing of atenolol, which was used by the subject to reduce anxiety rather than the hyperpolarized agent. There was one episode of grade 2 diarrhea reported in the phase 2 component, which was attributed to an enema that the patient received.</w:t>
      </w:r>
    </w:p>
    <w:p w14:paraId="3D552D83" w14:textId="77777777" w:rsidR="00261981" w:rsidRPr="00650CAE" w:rsidRDefault="00261981" w:rsidP="00650CAE">
      <w:pPr>
        <w:autoSpaceDE w:val="0"/>
        <w:autoSpaceDN w:val="0"/>
        <w:adjustRightInd w:val="0"/>
        <w:ind w:left="142"/>
        <w:rPr>
          <w:rFonts w:cs="AdvTT78ea841c"/>
        </w:rPr>
      </w:pPr>
    </w:p>
    <w:p w14:paraId="07BFCC31" w14:textId="53D92327" w:rsidR="00261981" w:rsidRPr="006B5FA0" w:rsidRDefault="0078540C">
      <w:pPr>
        <w:pStyle w:val="Caption"/>
      </w:pPr>
      <w:bookmarkStart w:id="183" w:name="_Ref502140444"/>
      <w:r w:rsidRPr="00FB6BBF">
        <w:lastRenderedPageBreak/>
        <w:t xml:space="preserve">Table </w:t>
      </w:r>
      <w:bookmarkEnd w:id="183"/>
      <w:r w:rsidR="009D220C" w:rsidRPr="00FB6BBF">
        <w:t>6. NCT</w:t>
      </w:r>
      <w:r w:rsidR="009D220C" w:rsidRPr="00A0349F">
        <w:t xml:space="preserve">01229618.  </w:t>
      </w:r>
      <w:r w:rsidR="009D220C">
        <w:t>Observed a</w:t>
      </w:r>
      <w:r w:rsidR="00261981" w:rsidRPr="006B5FA0">
        <w:t>dverse events and grade</w:t>
      </w:r>
    </w:p>
    <w:tbl>
      <w:tblPr>
        <w:tblStyle w:val="LightGrid-Accent5"/>
        <w:tblW w:w="9820" w:type="dxa"/>
        <w:tblLook w:val="06A0" w:firstRow="1" w:lastRow="0" w:firstColumn="1" w:lastColumn="0" w:noHBand="1" w:noVBand="1"/>
      </w:tblPr>
      <w:tblGrid>
        <w:gridCol w:w="1332"/>
        <w:gridCol w:w="1026"/>
        <w:gridCol w:w="990"/>
        <w:gridCol w:w="1080"/>
        <w:gridCol w:w="900"/>
        <w:gridCol w:w="2790"/>
        <w:gridCol w:w="882"/>
        <w:gridCol w:w="820"/>
      </w:tblGrid>
      <w:tr w:rsidR="009409FD" w:rsidRPr="00B02AEB" w14:paraId="059200C2" w14:textId="77777777" w:rsidTr="009409F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2" w:type="dxa"/>
            <w:hideMark/>
          </w:tcPr>
          <w:p w14:paraId="4D180D45" w14:textId="77777777" w:rsidR="00B02AEB" w:rsidRPr="00B02AEB" w:rsidRDefault="00B02AEB" w:rsidP="009409FD">
            <w:pPr>
              <w:keepNext/>
              <w:widowControl/>
              <w:rPr>
                <w:rFonts w:ascii="Times New Roman" w:eastAsia="Times New Roman" w:hAnsi="Times New Roman" w:cs="Times New Roman"/>
              </w:rPr>
            </w:pPr>
            <w:r w:rsidRPr="00B02AEB">
              <w:rPr>
                <w:rFonts w:ascii="Times New Roman" w:eastAsia="Times New Roman" w:hAnsi="Times New Roman" w:cs="Times New Roman"/>
              </w:rPr>
              <w:t>Study component</w:t>
            </w:r>
          </w:p>
        </w:tc>
        <w:tc>
          <w:tcPr>
            <w:tcW w:w="1026" w:type="dxa"/>
            <w:hideMark/>
          </w:tcPr>
          <w:p w14:paraId="2EC1DB72" w14:textId="77777777" w:rsidR="00B02AEB" w:rsidRDefault="00B02AEB" w:rsidP="009409FD">
            <w:pPr>
              <w:keepNext/>
              <w:widowControl/>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02AEB">
              <w:rPr>
                <w:rFonts w:ascii="Times New Roman" w:eastAsia="Times New Roman" w:hAnsi="Times New Roman" w:cs="Times New Roman"/>
              </w:rPr>
              <w:t>Dose level</w:t>
            </w:r>
          </w:p>
          <w:p w14:paraId="5E0C73E9" w14:textId="77777777" w:rsidR="009409FD" w:rsidRPr="00B02AEB" w:rsidRDefault="009409FD" w:rsidP="009409FD">
            <w:pPr>
              <w:keepNext/>
              <w:widowControl/>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(ml/kg)</w:t>
            </w:r>
          </w:p>
        </w:tc>
        <w:tc>
          <w:tcPr>
            <w:tcW w:w="990" w:type="dxa"/>
            <w:hideMark/>
          </w:tcPr>
          <w:p w14:paraId="1EC7A722" w14:textId="77777777" w:rsidR="00B02AEB" w:rsidRPr="00B02AEB" w:rsidRDefault="00B02AEB" w:rsidP="009409FD">
            <w:pPr>
              <w:keepNext/>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02AEB">
              <w:rPr>
                <w:rFonts w:ascii="Times New Roman" w:eastAsia="Times New Roman" w:hAnsi="Times New Roman" w:cs="Times New Roman"/>
                <w:i/>
                <w:iCs/>
              </w:rPr>
              <w:t xml:space="preserve">n </w:t>
            </w:r>
            <w:r w:rsidRPr="00B02AEB">
              <w:rPr>
                <w:rFonts w:ascii="Times New Roman" w:eastAsia="Times New Roman" w:hAnsi="Times New Roman" w:cs="Times New Roman"/>
              </w:rPr>
              <w:t>patients total</w:t>
            </w:r>
          </w:p>
        </w:tc>
        <w:tc>
          <w:tcPr>
            <w:tcW w:w="1080" w:type="dxa"/>
            <w:hideMark/>
          </w:tcPr>
          <w:p w14:paraId="6C6395FF" w14:textId="77777777" w:rsidR="00B02AEB" w:rsidRPr="00B02AEB" w:rsidRDefault="00B02AEB" w:rsidP="009409FD">
            <w:pPr>
              <w:keepNext/>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02AEB">
              <w:rPr>
                <w:rFonts w:ascii="Times New Roman" w:eastAsia="Times New Roman" w:hAnsi="Times New Roman" w:cs="Times New Roman"/>
                <w:i/>
                <w:iCs/>
              </w:rPr>
              <w:t xml:space="preserve">n </w:t>
            </w:r>
            <w:r w:rsidRPr="00B02AEB">
              <w:rPr>
                <w:rFonts w:ascii="Times New Roman" w:eastAsia="Times New Roman" w:hAnsi="Times New Roman" w:cs="Times New Roman"/>
              </w:rPr>
              <w:t>patients with events</w:t>
            </w:r>
          </w:p>
        </w:tc>
        <w:tc>
          <w:tcPr>
            <w:tcW w:w="900" w:type="dxa"/>
            <w:hideMark/>
          </w:tcPr>
          <w:p w14:paraId="437E3EE3" w14:textId="77777777" w:rsidR="00B02AEB" w:rsidRPr="00B02AEB" w:rsidRDefault="00B02AEB" w:rsidP="009409FD">
            <w:pPr>
              <w:keepNext/>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02AEB">
              <w:rPr>
                <w:rFonts w:ascii="Times New Roman" w:eastAsia="Times New Roman" w:hAnsi="Times New Roman" w:cs="Times New Roman"/>
                <w:i/>
                <w:iCs/>
              </w:rPr>
              <w:t xml:space="preserve">n </w:t>
            </w:r>
            <w:r w:rsidRPr="00B02AEB">
              <w:rPr>
                <w:rFonts w:ascii="Times New Roman" w:eastAsia="Times New Roman" w:hAnsi="Times New Roman" w:cs="Times New Roman"/>
              </w:rPr>
              <w:t>events total</w:t>
            </w:r>
          </w:p>
        </w:tc>
        <w:tc>
          <w:tcPr>
            <w:tcW w:w="2790" w:type="dxa"/>
            <w:hideMark/>
          </w:tcPr>
          <w:p w14:paraId="5D3F6FFE" w14:textId="77777777" w:rsidR="00B02AEB" w:rsidRPr="00B02AEB" w:rsidRDefault="00B02AEB" w:rsidP="009409FD">
            <w:pPr>
              <w:keepNext/>
              <w:widowControl/>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02AEB">
              <w:rPr>
                <w:rFonts w:ascii="Times New Roman" w:eastAsia="Times New Roman" w:hAnsi="Times New Roman" w:cs="Times New Roman"/>
              </w:rPr>
              <w:t>Symptom reported</w:t>
            </w:r>
          </w:p>
        </w:tc>
        <w:tc>
          <w:tcPr>
            <w:tcW w:w="882" w:type="dxa"/>
            <w:hideMark/>
          </w:tcPr>
          <w:p w14:paraId="65B841D5" w14:textId="77777777" w:rsidR="00B02AEB" w:rsidRPr="00B02AEB" w:rsidRDefault="00B02AEB" w:rsidP="004325A2">
            <w:pPr>
              <w:keepNext/>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02AEB">
              <w:rPr>
                <w:rFonts w:ascii="Times New Roman" w:eastAsia="Times New Roman" w:hAnsi="Times New Roman" w:cs="Times New Roman"/>
                <w:i/>
                <w:iCs/>
              </w:rPr>
              <w:t xml:space="preserve">n </w:t>
            </w:r>
            <w:r w:rsidRPr="00B02AEB">
              <w:rPr>
                <w:rFonts w:ascii="Times New Roman" w:eastAsia="Times New Roman" w:hAnsi="Times New Roman" w:cs="Times New Roman"/>
              </w:rPr>
              <w:t>events</w:t>
            </w:r>
          </w:p>
        </w:tc>
        <w:tc>
          <w:tcPr>
            <w:tcW w:w="820" w:type="dxa"/>
            <w:hideMark/>
          </w:tcPr>
          <w:p w14:paraId="68C26B0F" w14:textId="77777777" w:rsidR="00B02AEB" w:rsidRPr="00B02AEB" w:rsidRDefault="00B02AEB" w:rsidP="009409FD">
            <w:pPr>
              <w:keepNext/>
              <w:widowControl/>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02AEB">
              <w:rPr>
                <w:rFonts w:ascii="Times New Roman" w:eastAsia="Times New Roman" w:hAnsi="Times New Roman" w:cs="Times New Roman"/>
              </w:rPr>
              <w:t>Grade</w:t>
            </w:r>
          </w:p>
        </w:tc>
      </w:tr>
      <w:tr w:rsidR="009409FD" w:rsidRPr="00B02AEB" w14:paraId="45D012CF" w14:textId="77777777" w:rsidTr="009409FD">
        <w:trPr>
          <w:trHeight w:val="20"/>
        </w:trPr>
        <w:tc>
          <w:tcPr>
            <w:cnfStyle w:val="001000000000" w:firstRow="0" w:lastRow="0" w:firstColumn="1" w:lastColumn="0" w:oddVBand="0" w:evenVBand="0" w:oddHBand="0" w:evenHBand="0" w:firstRowFirstColumn="0" w:firstRowLastColumn="0" w:lastRowFirstColumn="0" w:lastRowLastColumn="0"/>
            <w:tcW w:w="1332" w:type="dxa"/>
            <w:vMerge w:val="restart"/>
            <w:hideMark/>
          </w:tcPr>
          <w:p w14:paraId="4D33D1F1" w14:textId="77777777" w:rsidR="00B02AEB" w:rsidRPr="00B02AEB" w:rsidRDefault="00B02AEB" w:rsidP="009409FD">
            <w:pPr>
              <w:keepNext/>
              <w:widowControl/>
              <w:rPr>
                <w:rFonts w:ascii="Times New Roman" w:eastAsia="Times New Roman" w:hAnsi="Times New Roman" w:cs="Times New Roman"/>
              </w:rPr>
            </w:pPr>
            <w:r w:rsidRPr="00B02AEB">
              <w:rPr>
                <w:rFonts w:ascii="Times New Roman" w:eastAsia="Times New Roman" w:hAnsi="Times New Roman" w:cs="Times New Roman"/>
              </w:rPr>
              <w:t>Phase 1</w:t>
            </w:r>
          </w:p>
        </w:tc>
        <w:tc>
          <w:tcPr>
            <w:tcW w:w="1026" w:type="dxa"/>
            <w:vMerge w:val="restart"/>
            <w:hideMark/>
          </w:tcPr>
          <w:p w14:paraId="5809DE9F"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02AEB">
              <w:rPr>
                <w:rFonts w:ascii="Times New Roman" w:eastAsia="Times New Roman" w:hAnsi="Times New Roman" w:cs="Times New Roman"/>
              </w:rPr>
              <w:t>0.14</w:t>
            </w:r>
          </w:p>
        </w:tc>
        <w:tc>
          <w:tcPr>
            <w:tcW w:w="990" w:type="dxa"/>
            <w:vMerge w:val="restart"/>
            <w:hideMark/>
          </w:tcPr>
          <w:p w14:paraId="0DAE4BF6" w14:textId="77777777" w:rsidR="00B02AEB" w:rsidRPr="00B02AEB" w:rsidRDefault="00B02AEB" w:rsidP="009409FD">
            <w:pPr>
              <w:keepNext/>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02AEB">
              <w:rPr>
                <w:rFonts w:ascii="Times New Roman" w:eastAsia="Times New Roman" w:hAnsi="Times New Roman" w:cs="Times New Roman"/>
                <w:color w:val="000000"/>
              </w:rPr>
              <w:t>6</w:t>
            </w:r>
          </w:p>
        </w:tc>
        <w:tc>
          <w:tcPr>
            <w:tcW w:w="1080" w:type="dxa"/>
            <w:vMerge w:val="restart"/>
            <w:hideMark/>
          </w:tcPr>
          <w:p w14:paraId="72A4D9CE" w14:textId="77777777" w:rsidR="00B02AEB" w:rsidRPr="00B02AEB" w:rsidRDefault="00B02AEB" w:rsidP="009409FD">
            <w:pPr>
              <w:keepNext/>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02AEB">
              <w:rPr>
                <w:rFonts w:ascii="Times New Roman" w:eastAsia="Times New Roman" w:hAnsi="Times New Roman" w:cs="Times New Roman"/>
                <w:color w:val="000000"/>
              </w:rPr>
              <w:t>3</w:t>
            </w:r>
          </w:p>
        </w:tc>
        <w:tc>
          <w:tcPr>
            <w:tcW w:w="900" w:type="dxa"/>
            <w:vMerge w:val="restart"/>
            <w:hideMark/>
          </w:tcPr>
          <w:p w14:paraId="3944B1F1" w14:textId="77777777" w:rsidR="00B02AEB" w:rsidRPr="00B02AEB" w:rsidRDefault="00B02AEB" w:rsidP="009409FD">
            <w:pPr>
              <w:keepNext/>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02AEB">
              <w:rPr>
                <w:rFonts w:ascii="Times New Roman" w:eastAsia="Times New Roman" w:hAnsi="Times New Roman" w:cs="Times New Roman"/>
                <w:color w:val="000000"/>
              </w:rPr>
              <w:t>3</w:t>
            </w:r>
          </w:p>
        </w:tc>
        <w:tc>
          <w:tcPr>
            <w:tcW w:w="2790" w:type="dxa"/>
            <w:hideMark/>
          </w:tcPr>
          <w:p w14:paraId="1B6B3901"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02AEB">
              <w:rPr>
                <w:rFonts w:ascii="Times New Roman" w:eastAsia="Times New Roman" w:hAnsi="Times New Roman" w:cs="Times New Roman"/>
              </w:rPr>
              <w:t>Orange urine</w:t>
            </w:r>
          </w:p>
        </w:tc>
        <w:tc>
          <w:tcPr>
            <w:tcW w:w="882" w:type="dxa"/>
            <w:hideMark/>
          </w:tcPr>
          <w:p w14:paraId="7B7695A7" w14:textId="77777777" w:rsidR="00B02AEB" w:rsidRPr="00B02AEB" w:rsidRDefault="00B02AEB" w:rsidP="009409FD">
            <w:pPr>
              <w:keepNext/>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02AEB">
              <w:rPr>
                <w:rFonts w:ascii="Times New Roman" w:eastAsia="Times New Roman" w:hAnsi="Times New Roman" w:cs="Times New Roman"/>
                <w:color w:val="000000"/>
              </w:rPr>
              <w:t>1</w:t>
            </w:r>
          </w:p>
        </w:tc>
        <w:tc>
          <w:tcPr>
            <w:tcW w:w="820" w:type="dxa"/>
            <w:hideMark/>
          </w:tcPr>
          <w:p w14:paraId="0F583403" w14:textId="77777777" w:rsidR="00B02AEB" w:rsidRPr="00B02AEB" w:rsidRDefault="00B02AEB" w:rsidP="009409FD">
            <w:pPr>
              <w:keepNext/>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02AEB">
              <w:rPr>
                <w:rFonts w:ascii="Times New Roman" w:eastAsia="Times New Roman" w:hAnsi="Times New Roman" w:cs="Times New Roman"/>
                <w:color w:val="000000"/>
              </w:rPr>
              <w:t>1</w:t>
            </w:r>
          </w:p>
        </w:tc>
      </w:tr>
      <w:tr w:rsidR="009409FD" w:rsidRPr="00B02AEB" w14:paraId="5D6C3183" w14:textId="77777777" w:rsidTr="009409FD">
        <w:trPr>
          <w:trHeight w:val="20"/>
        </w:trPr>
        <w:tc>
          <w:tcPr>
            <w:cnfStyle w:val="001000000000" w:firstRow="0" w:lastRow="0" w:firstColumn="1" w:lastColumn="0" w:oddVBand="0" w:evenVBand="0" w:oddHBand="0" w:evenHBand="0" w:firstRowFirstColumn="0" w:firstRowLastColumn="0" w:lastRowFirstColumn="0" w:lastRowLastColumn="0"/>
            <w:tcW w:w="1332" w:type="dxa"/>
            <w:vMerge/>
            <w:hideMark/>
          </w:tcPr>
          <w:p w14:paraId="5A6E601F" w14:textId="77777777" w:rsidR="00B02AEB" w:rsidRPr="00B02AEB" w:rsidRDefault="00B02AEB" w:rsidP="009409FD">
            <w:pPr>
              <w:keepNext/>
              <w:widowControl/>
              <w:rPr>
                <w:rFonts w:ascii="Times New Roman" w:eastAsia="Times New Roman" w:hAnsi="Times New Roman" w:cs="Times New Roman"/>
              </w:rPr>
            </w:pPr>
          </w:p>
        </w:tc>
        <w:tc>
          <w:tcPr>
            <w:tcW w:w="1026" w:type="dxa"/>
            <w:vMerge/>
            <w:hideMark/>
          </w:tcPr>
          <w:p w14:paraId="576A65B1"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90" w:type="dxa"/>
            <w:vMerge/>
            <w:hideMark/>
          </w:tcPr>
          <w:p w14:paraId="27CC2EBD"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1080" w:type="dxa"/>
            <w:vMerge/>
            <w:hideMark/>
          </w:tcPr>
          <w:p w14:paraId="5F29D0AA"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900" w:type="dxa"/>
            <w:vMerge/>
            <w:hideMark/>
          </w:tcPr>
          <w:p w14:paraId="6236F8F3"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2790" w:type="dxa"/>
            <w:hideMark/>
          </w:tcPr>
          <w:p w14:paraId="71F97165"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02AEB">
              <w:rPr>
                <w:rFonts w:ascii="Times New Roman" w:eastAsia="Times New Roman" w:hAnsi="Times New Roman" w:cs="Times New Roman"/>
              </w:rPr>
              <w:t>Pharmaceutical smell</w:t>
            </w:r>
          </w:p>
        </w:tc>
        <w:tc>
          <w:tcPr>
            <w:tcW w:w="882" w:type="dxa"/>
            <w:hideMark/>
          </w:tcPr>
          <w:p w14:paraId="098017D8" w14:textId="77777777" w:rsidR="00B02AEB" w:rsidRPr="00B02AEB" w:rsidRDefault="00B02AEB" w:rsidP="009409FD">
            <w:pPr>
              <w:keepNext/>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02AEB">
              <w:rPr>
                <w:rFonts w:ascii="Times New Roman" w:eastAsia="Times New Roman" w:hAnsi="Times New Roman" w:cs="Times New Roman"/>
                <w:color w:val="000000"/>
              </w:rPr>
              <w:t>1</w:t>
            </w:r>
          </w:p>
        </w:tc>
        <w:tc>
          <w:tcPr>
            <w:tcW w:w="820" w:type="dxa"/>
            <w:hideMark/>
          </w:tcPr>
          <w:p w14:paraId="121F7F88" w14:textId="77777777" w:rsidR="00B02AEB" w:rsidRPr="00B02AEB" w:rsidRDefault="00B02AEB" w:rsidP="009409FD">
            <w:pPr>
              <w:keepNext/>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02AEB">
              <w:rPr>
                <w:rFonts w:ascii="Times New Roman" w:eastAsia="Times New Roman" w:hAnsi="Times New Roman" w:cs="Times New Roman"/>
                <w:color w:val="000000"/>
              </w:rPr>
              <w:t>1</w:t>
            </w:r>
          </w:p>
        </w:tc>
      </w:tr>
      <w:tr w:rsidR="009409FD" w:rsidRPr="00B02AEB" w14:paraId="4761C97D" w14:textId="77777777" w:rsidTr="009409FD">
        <w:trPr>
          <w:trHeight w:val="20"/>
        </w:trPr>
        <w:tc>
          <w:tcPr>
            <w:cnfStyle w:val="001000000000" w:firstRow="0" w:lastRow="0" w:firstColumn="1" w:lastColumn="0" w:oddVBand="0" w:evenVBand="0" w:oddHBand="0" w:evenHBand="0" w:firstRowFirstColumn="0" w:firstRowLastColumn="0" w:lastRowFirstColumn="0" w:lastRowLastColumn="0"/>
            <w:tcW w:w="1332" w:type="dxa"/>
            <w:vMerge/>
            <w:hideMark/>
          </w:tcPr>
          <w:p w14:paraId="1AB455C5" w14:textId="77777777" w:rsidR="00B02AEB" w:rsidRPr="00B02AEB" w:rsidRDefault="00B02AEB" w:rsidP="009409FD">
            <w:pPr>
              <w:keepNext/>
              <w:widowControl/>
              <w:rPr>
                <w:rFonts w:ascii="Times New Roman" w:eastAsia="Times New Roman" w:hAnsi="Times New Roman" w:cs="Times New Roman"/>
              </w:rPr>
            </w:pPr>
          </w:p>
        </w:tc>
        <w:tc>
          <w:tcPr>
            <w:tcW w:w="1026" w:type="dxa"/>
            <w:vMerge/>
            <w:hideMark/>
          </w:tcPr>
          <w:p w14:paraId="134B1E9E"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90" w:type="dxa"/>
            <w:vMerge/>
            <w:hideMark/>
          </w:tcPr>
          <w:p w14:paraId="43E241C7"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1080" w:type="dxa"/>
            <w:vMerge/>
            <w:hideMark/>
          </w:tcPr>
          <w:p w14:paraId="5A0259D7"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900" w:type="dxa"/>
            <w:vMerge/>
            <w:hideMark/>
          </w:tcPr>
          <w:p w14:paraId="273D7230"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2790" w:type="dxa"/>
            <w:hideMark/>
          </w:tcPr>
          <w:p w14:paraId="7B52502F"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02AEB">
              <w:rPr>
                <w:rFonts w:ascii="Times New Roman" w:eastAsia="Times New Roman" w:hAnsi="Times New Roman" w:cs="Times New Roman"/>
              </w:rPr>
              <w:t>Pruritus</w:t>
            </w:r>
          </w:p>
        </w:tc>
        <w:tc>
          <w:tcPr>
            <w:tcW w:w="882" w:type="dxa"/>
            <w:hideMark/>
          </w:tcPr>
          <w:p w14:paraId="1FDB167C" w14:textId="77777777" w:rsidR="00B02AEB" w:rsidRPr="00B02AEB" w:rsidRDefault="00B02AEB" w:rsidP="009409FD">
            <w:pPr>
              <w:keepNext/>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02AEB">
              <w:rPr>
                <w:rFonts w:ascii="Times New Roman" w:eastAsia="Times New Roman" w:hAnsi="Times New Roman" w:cs="Times New Roman"/>
                <w:color w:val="000000"/>
              </w:rPr>
              <w:t>1</w:t>
            </w:r>
          </w:p>
        </w:tc>
        <w:tc>
          <w:tcPr>
            <w:tcW w:w="820" w:type="dxa"/>
            <w:hideMark/>
          </w:tcPr>
          <w:p w14:paraId="32FA4CD1" w14:textId="77777777" w:rsidR="00B02AEB" w:rsidRPr="00B02AEB" w:rsidRDefault="00B02AEB" w:rsidP="009409FD">
            <w:pPr>
              <w:keepNext/>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02AEB">
              <w:rPr>
                <w:rFonts w:ascii="Times New Roman" w:eastAsia="Times New Roman" w:hAnsi="Times New Roman" w:cs="Times New Roman"/>
                <w:color w:val="000000"/>
              </w:rPr>
              <w:t>1</w:t>
            </w:r>
          </w:p>
        </w:tc>
      </w:tr>
      <w:tr w:rsidR="009409FD" w:rsidRPr="00B02AEB" w14:paraId="5CA49E50" w14:textId="77777777" w:rsidTr="009409FD">
        <w:trPr>
          <w:trHeight w:val="20"/>
        </w:trPr>
        <w:tc>
          <w:tcPr>
            <w:cnfStyle w:val="001000000000" w:firstRow="0" w:lastRow="0" w:firstColumn="1" w:lastColumn="0" w:oddVBand="0" w:evenVBand="0" w:oddHBand="0" w:evenHBand="0" w:firstRowFirstColumn="0" w:firstRowLastColumn="0" w:lastRowFirstColumn="0" w:lastRowLastColumn="0"/>
            <w:tcW w:w="1332" w:type="dxa"/>
            <w:vMerge/>
            <w:hideMark/>
          </w:tcPr>
          <w:p w14:paraId="0D7B98E7" w14:textId="77777777" w:rsidR="00B02AEB" w:rsidRPr="00B02AEB" w:rsidRDefault="00B02AEB" w:rsidP="009409FD">
            <w:pPr>
              <w:keepNext/>
              <w:widowControl/>
              <w:rPr>
                <w:rFonts w:ascii="Times New Roman" w:eastAsia="Times New Roman" w:hAnsi="Times New Roman" w:cs="Times New Roman"/>
              </w:rPr>
            </w:pPr>
          </w:p>
        </w:tc>
        <w:tc>
          <w:tcPr>
            <w:tcW w:w="1026" w:type="dxa"/>
            <w:vMerge w:val="restart"/>
            <w:hideMark/>
          </w:tcPr>
          <w:p w14:paraId="59A59D40"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02AEB">
              <w:rPr>
                <w:rFonts w:ascii="Times New Roman" w:eastAsia="Times New Roman" w:hAnsi="Times New Roman" w:cs="Times New Roman"/>
              </w:rPr>
              <w:t xml:space="preserve">0.28 </w:t>
            </w:r>
          </w:p>
        </w:tc>
        <w:tc>
          <w:tcPr>
            <w:tcW w:w="990" w:type="dxa"/>
            <w:vMerge w:val="restart"/>
            <w:hideMark/>
          </w:tcPr>
          <w:p w14:paraId="418E7718" w14:textId="77777777" w:rsidR="00B02AEB" w:rsidRPr="00B02AEB" w:rsidRDefault="00B02AEB" w:rsidP="009409FD">
            <w:pPr>
              <w:keepNext/>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02AEB">
              <w:rPr>
                <w:rFonts w:ascii="Times New Roman" w:eastAsia="Times New Roman" w:hAnsi="Times New Roman" w:cs="Times New Roman"/>
                <w:color w:val="000000"/>
              </w:rPr>
              <w:t>6</w:t>
            </w:r>
          </w:p>
        </w:tc>
        <w:tc>
          <w:tcPr>
            <w:tcW w:w="1080" w:type="dxa"/>
            <w:vMerge w:val="restart"/>
            <w:hideMark/>
          </w:tcPr>
          <w:p w14:paraId="117B9B34" w14:textId="77777777" w:rsidR="00B02AEB" w:rsidRPr="00B02AEB" w:rsidRDefault="00B02AEB" w:rsidP="009409FD">
            <w:pPr>
              <w:keepNext/>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02AEB">
              <w:rPr>
                <w:rFonts w:ascii="Times New Roman" w:eastAsia="Times New Roman" w:hAnsi="Times New Roman" w:cs="Times New Roman"/>
                <w:color w:val="000000"/>
              </w:rPr>
              <w:t>2</w:t>
            </w:r>
          </w:p>
        </w:tc>
        <w:tc>
          <w:tcPr>
            <w:tcW w:w="900" w:type="dxa"/>
            <w:vMerge w:val="restart"/>
            <w:hideMark/>
          </w:tcPr>
          <w:p w14:paraId="4DFDD84E" w14:textId="77777777" w:rsidR="00B02AEB" w:rsidRPr="00B02AEB" w:rsidRDefault="00B02AEB" w:rsidP="009409FD">
            <w:pPr>
              <w:keepNext/>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02AEB">
              <w:rPr>
                <w:rFonts w:ascii="Times New Roman" w:eastAsia="Times New Roman" w:hAnsi="Times New Roman" w:cs="Times New Roman"/>
                <w:color w:val="000000"/>
              </w:rPr>
              <w:t>2</w:t>
            </w:r>
          </w:p>
        </w:tc>
        <w:tc>
          <w:tcPr>
            <w:tcW w:w="2790" w:type="dxa"/>
            <w:hideMark/>
          </w:tcPr>
          <w:p w14:paraId="1E600DF1"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02AEB">
              <w:rPr>
                <w:rFonts w:ascii="Times New Roman" w:eastAsia="Times New Roman" w:hAnsi="Times New Roman" w:cs="Times New Roman"/>
              </w:rPr>
              <w:t>Cold sensation with injection</w:t>
            </w:r>
          </w:p>
        </w:tc>
        <w:tc>
          <w:tcPr>
            <w:tcW w:w="882" w:type="dxa"/>
            <w:hideMark/>
          </w:tcPr>
          <w:p w14:paraId="660395B7" w14:textId="77777777" w:rsidR="00B02AEB" w:rsidRPr="00B02AEB" w:rsidRDefault="00B02AEB" w:rsidP="009409FD">
            <w:pPr>
              <w:keepNext/>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02AEB">
              <w:rPr>
                <w:rFonts w:ascii="Times New Roman" w:eastAsia="Times New Roman" w:hAnsi="Times New Roman" w:cs="Times New Roman"/>
                <w:color w:val="000000"/>
              </w:rPr>
              <w:t>1</w:t>
            </w:r>
          </w:p>
        </w:tc>
        <w:tc>
          <w:tcPr>
            <w:tcW w:w="820" w:type="dxa"/>
            <w:hideMark/>
          </w:tcPr>
          <w:p w14:paraId="32936C0B" w14:textId="77777777" w:rsidR="00B02AEB" w:rsidRPr="00B02AEB" w:rsidRDefault="00B02AEB" w:rsidP="009409FD">
            <w:pPr>
              <w:keepNext/>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02AEB">
              <w:rPr>
                <w:rFonts w:ascii="Times New Roman" w:eastAsia="Times New Roman" w:hAnsi="Times New Roman" w:cs="Times New Roman"/>
                <w:color w:val="000000"/>
              </w:rPr>
              <w:t>1</w:t>
            </w:r>
          </w:p>
        </w:tc>
      </w:tr>
      <w:tr w:rsidR="009409FD" w:rsidRPr="00B02AEB" w14:paraId="227E68EF" w14:textId="77777777" w:rsidTr="009409FD">
        <w:trPr>
          <w:trHeight w:val="20"/>
        </w:trPr>
        <w:tc>
          <w:tcPr>
            <w:cnfStyle w:val="001000000000" w:firstRow="0" w:lastRow="0" w:firstColumn="1" w:lastColumn="0" w:oddVBand="0" w:evenVBand="0" w:oddHBand="0" w:evenHBand="0" w:firstRowFirstColumn="0" w:firstRowLastColumn="0" w:lastRowFirstColumn="0" w:lastRowLastColumn="0"/>
            <w:tcW w:w="1332" w:type="dxa"/>
            <w:vMerge/>
            <w:hideMark/>
          </w:tcPr>
          <w:p w14:paraId="325A455F" w14:textId="77777777" w:rsidR="00B02AEB" w:rsidRPr="00B02AEB" w:rsidRDefault="00B02AEB" w:rsidP="009409FD">
            <w:pPr>
              <w:keepNext/>
              <w:widowControl/>
              <w:rPr>
                <w:rFonts w:ascii="Times New Roman" w:eastAsia="Times New Roman" w:hAnsi="Times New Roman" w:cs="Times New Roman"/>
              </w:rPr>
            </w:pPr>
          </w:p>
        </w:tc>
        <w:tc>
          <w:tcPr>
            <w:tcW w:w="1026" w:type="dxa"/>
            <w:vMerge/>
            <w:hideMark/>
          </w:tcPr>
          <w:p w14:paraId="4C240CFA"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90" w:type="dxa"/>
            <w:vMerge/>
            <w:hideMark/>
          </w:tcPr>
          <w:p w14:paraId="1E12A6E4"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1080" w:type="dxa"/>
            <w:vMerge/>
            <w:hideMark/>
          </w:tcPr>
          <w:p w14:paraId="4C994B06"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900" w:type="dxa"/>
            <w:vMerge/>
            <w:hideMark/>
          </w:tcPr>
          <w:p w14:paraId="2FE008FC"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2790" w:type="dxa"/>
            <w:hideMark/>
          </w:tcPr>
          <w:p w14:paraId="40C5834A"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02AEB">
              <w:rPr>
                <w:rFonts w:ascii="Times New Roman" w:eastAsia="Times New Roman" w:hAnsi="Times New Roman" w:cs="Times New Roman"/>
              </w:rPr>
              <w:t>Dysgeusia (distorted taste)</w:t>
            </w:r>
          </w:p>
        </w:tc>
        <w:tc>
          <w:tcPr>
            <w:tcW w:w="882" w:type="dxa"/>
            <w:hideMark/>
          </w:tcPr>
          <w:p w14:paraId="744A7C41" w14:textId="77777777" w:rsidR="00B02AEB" w:rsidRPr="00B02AEB" w:rsidRDefault="00B02AEB" w:rsidP="009409FD">
            <w:pPr>
              <w:keepNext/>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02AEB">
              <w:rPr>
                <w:rFonts w:ascii="Times New Roman" w:eastAsia="Times New Roman" w:hAnsi="Times New Roman" w:cs="Times New Roman"/>
                <w:color w:val="000000"/>
              </w:rPr>
              <w:t>1</w:t>
            </w:r>
          </w:p>
        </w:tc>
        <w:tc>
          <w:tcPr>
            <w:tcW w:w="820" w:type="dxa"/>
            <w:hideMark/>
          </w:tcPr>
          <w:p w14:paraId="688DC9AA" w14:textId="77777777" w:rsidR="00B02AEB" w:rsidRPr="00B02AEB" w:rsidRDefault="00B02AEB" w:rsidP="009409FD">
            <w:pPr>
              <w:keepNext/>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02AEB">
              <w:rPr>
                <w:rFonts w:ascii="Times New Roman" w:eastAsia="Times New Roman" w:hAnsi="Times New Roman" w:cs="Times New Roman"/>
                <w:color w:val="000000"/>
              </w:rPr>
              <w:t>1</w:t>
            </w:r>
          </w:p>
        </w:tc>
      </w:tr>
      <w:tr w:rsidR="009409FD" w:rsidRPr="00B02AEB" w14:paraId="65EF4EC3" w14:textId="77777777" w:rsidTr="009409FD">
        <w:trPr>
          <w:trHeight w:val="20"/>
        </w:trPr>
        <w:tc>
          <w:tcPr>
            <w:cnfStyle w:val="001000000000" w:firstRow="0" w:lastRow="0" w:firstColumn="1" w:lastColumn="0" w:oddVBand="0" w:evenVBand="0" w:oddHBand="0" w:evenHBand="0" w:firstRowFirstColumn="0" w:firstRowLastColumn="0" w:lastRowFirstColumn="0" w:lastRowLastColumn="0"/>
            <w:tcW w:w="1332" w:type="dxa"/>
            <w:vMerge/>
            <w:hideMark/>
          </w:tcPr>
          <w:p w14:paraId="668C5B0F" w14:textId="77777777" w:rsidR="00B02AEB" w:rsidRPr="00B02AEB" w:rsidRDefault="00B02AEB" w:rsidP="009409FD">
            <w:pPr>
              <w:keepNext/>
              <w:widowControl/>
              <w:rPr>
                <w:rFonts w:ascii="Times New Roman" w:eastAsia="Times New Roman" w:hAnsi="Times New Roman" w:cs="Times New Roman"/>
              </w:rPr>
            </w:pPr>
          </w:p>
        </w:tc>
        <w:tc>
          <w:tcPr>
            <w:tcW w:w="1026" w:type="dxa"/>
            <w:vMerge w:val="restart"/>
            <w:hideMark/>
          </w:tcPr>
          <w:p w14:paraId="318E3E2B"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02AEB">
              <w:rPr>
                <w:rFonts w:ascii="Times New Roman" w:eastAsia="Times New Roman" w:hAnsi="Times New Roman" w:cs="Times New Roman"/>
              </w:rPr>
              <w:t>0.43</w:t>
            </w:r>
          </w:p>
        </w:tc>
        <w:tc>
          <w:tcPr>
            <w:tcW w:w="990" w:type="dxa"/>
            <w:vMerge w:val="restart"/>
            <w:hideMark/>
          </w:tcPr>
          <w:p w14:paraId="38F3CACB" w14:textId="77777777" w:rsidR="00B02AEB" w:rsidRPr="00B02AEB" w:rsidRDefault="00B02AEB" w:rsidP="009409FD">
            <w:pPr>
              <w:keepNext/>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02AEB">
              <w:rPr>
                <w:rFonts w:ascii="Times New Roman" w:eastAsia="Times New Roman" w:hAnsi="Times New Roman" w:cs="Times New Roman"/>
                <w:color w:val="000000"/>
              </w:rPr>
              <w:t>6</w:t>
            </w:r>
          </w:p>
        </w:tc>
        <w:tc>
          <w:tcPr>
            <w:tcW w:w="1080" w:type="dxa"/>
            <w:vMerge w:val="restart"/>
            <w:hideMark/>
          </w:tcPr>
          <w:p w14:paraId="7BB7990C" w14:textId="77777777" w:rsidR="00B02AEB" w:rsidRPr="00B02AEB" w:rsidRDefault="00B02AEB" w:rsidP="009409FD">
            <w:pPr>
              <w:keepNext/>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02AEB">
              <w:rPr>
                <w:rFonts w:ascii="Times New Roman" w:eastAsia="Times New Roman" w:hAnsi="Times New Roman" w:cs="Times New Roman"/>
                <w:color w:val="000000"/>
              </w:rPr>
              <w:t>3</w:t>
            </w:r>
          </w:p>
        </w:tc>
        <w:tc>
          <w:tcPr>
            <w:tcW w:w="900" w:type="dxa"/>
            <w:vMerge w:val="restart"/>
            <w:hideMark/>
          </w:tcPr>
          <w:p w14:paraId="4D775041" w14:textId="77777777" w:rsidR="00B02AEB" w:rsidRPr="00B02AEB" w:rsidRDefault="00B02AEB" w:rsidP="009409FD">
            <w:pPr>
              <w:keepNext/>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02AEB">
              <w:rPr>
                <w:rFonts w:ascii="Times New Roman" w:eastAsia="Times New Roman" w:hAnsi="Times New Roman" w:cs="Times New Roman"/>
                <w:color w:val="000000"/>
              </w:rPr>
              <w:t>5</w:t>
            </w:r>
          </w:p>
        </w:tc>
        <w:tc>
          <w:tcPr>
            <w:tcW w:w="2790" w:type="dxa"/>
            <w:hideMark/>
          </w:tcPr>
          <w:p w14:paraId="754EA0DB"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02AEB">
              <w:rPr>
                <w:rFonts w:ascii="Times New Roman" w:eastAsia="Times New Roman" w:hAnsi="Times New Roman" w:cs="Times New Roman"/>
              </w:rPr>
              <w:t>Sore throat</w:t>
            </w:r>
          </w:p>
        </w:tc>
        <w:tc>
          <w:tcPr>
            <w:tcW w:w="882" w:type="dxa"/>
            <w:hideMark/>
          </w:tcPr>
          <w:p w14:paraId="647DEA31" w14:textId="77777777" w:rsidR="00B02AEB" w:rsidRPr="00B02AEB" w:rsidRDefault="00B02AEB" w:rsidP="009409FD">
            <w:pPr>
              <w:keepNext/>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02AEB">
              <w:rPr>
                <w:rFonts w:ascii="Times New Roman" w:eastAsia="Times New Roman" w:hAnsi="Times New Roman" w:cs="Times New Roman"/>
                <w:color w:val="000000"/>
              </w:rPr>
              <w:t>1</w:t>
            </w:r>
          </w:p>
        </w:tc>
        <w:tc>
          <w:tcPr>
            <w:tcW w:w="820" w:type="dxa"/>
            <w:hideMark/>
          </w:tcPr>
          <w:p w14:paraId="4D8E44B9" w14:textId="77777777" w:rsidR="00B02AEB" w:rsidRPr="00B02AEB" w:rsidRDefault="00B02AEB" w:rsidP="009409FD">
            <w:pPr>
              <w:keepNext/>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02AEB">
              <w:rPr>
                <w:rFonts w:ascii="Times New Roman" w:eastAsia="Times New Roman" w:hAnsi="Times New Roman" w:cs="Times New Roman"/>
                <w:color w:val="000000"/>
              </w:rPr>
              <w:t>1</w:t>
            </w:r>
          </w:p>
        </w:tc>
      </w:tr>
      <w:tr w:rsidR="009409FD" w:rsidRPr="00B02AEB" w14:paraId="76166A80" w14:textId="77777777" w:rsidTr="009409FD">
        <w:trPr>
          <w:trHeight w:val="20"/>
        </w:trPr>
        <w:tc>
          <w:tcPr>
            <w:cnfStyle w:val="001000000000" w:firstRow="0" w:lastRow="0" w:firstColumn="1" w:lastColumn="0" w:oddVBand="0" w:evenVBand="0" w:oddHBand="0" w:evenHBand="0" w:firstRowFirstColumn="0" w:firstRowLastColumn="0" w:lastRowFirstColumn="0" w:lastRowLastColumn="0"/>
            <w:tcW w:w="1332" w:type="dxa"/>
            <w:vMerge/>
            <w:hideMark/>
          </w:tcPr>
          <w:p w14:paraId="28AD7BB6" w14:textId="77777777" w:rsidR="00B02AEB" w:rsidRPr="00B02AEB" w:rsidRDefault="00B02AEB" w:rsidP="009409FD">
            <w:pPr>
              <w:keepNext/>
              <w:widowControl/>
              <w:rPr>
                <w:rFonts w:ascii="Times New Roman" w:eastAsia="Times New Roman" w:hAnsi="Times New Roman" w:cs="Times New Roman"/>
              </w:rPr>
            </w:pPr>
          </w:p>
        </w:tc>
        <w:tc>
          <w:tcPr>
            <w:tcW w:w="1026" w:type="dxa"/>
            <w:vMerge/>
            <w:hideMark/>
          </w:tcPr>
          <w:p w14:paraId="226FCC09"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90" w:type="dxa"/>
            <w:vMerge/>
            <w:hideMark/>
          </w:tcPr>
          <w:p w14:paraId="35F343B8"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1080" w:type="dxa"/>
            <w:vMerge/>
            <w:hideMark/>
          </w:tcPr>
          <w:p w14:paraId="5079CA80"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900" w:type="dxa"/>
            <w:vMerge/>
            <w:hideMark/>
          </w:tcPr>
          <w:p w14:paraId="6B5A767A"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2790" w:type="dxa"/>
            <w:hideMark/>
          </w:tcPr>
          <w:p w14:paraId="08800855"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02AEB">
              <w:rPr>
                <w:rFonts w:ascii="Times New Roman" w:eastAsia="Times New Roman" w:hAnsi="Times New Roman" w:cs="Times New Roman"/>
              </w:rPr>
              <w:t>Hypocalcemia</w:t>
            </w:r>
          </w:p>
        </w:tc>
        <w:tc>
          <w:tcPr>
            <w:tcW w:w="882" w:type="dxa"/>
            <w:hideMark/>
          </w:tcPr>
          <w:p w14:paraId="32CC4879" w14:textId="77777777" w:rsidR="00B02AEB" w:rsidRPr="00B02AEB" w:rsidRDefault="00B02AEB" w:rsidP="009409FD">
            <w:pPr>
              <w:keepNext/>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02AEB">
              <w:rPr>
                <w:rFonts w:ascii="Times New Roman" w:eastAsia="Times New Roman" w:hAnsi="Times New Roman" w:cs="Times New Roman"/>
                <w:color w:val="000000"/>
              </w:rPr>
              <w:t>1</w:t>
            </w:r>
          </w:p>
        </w:tc>
        <w:tc>
          <w:tcPr>
            <w:tcW w:w="820" w:type="dxa"/>
            <w:hideMark/>
          </w:tcPr>
          <w:p w14:paraId="62050825" w14:textId="77777777" w:rsidR="00B02AEB" w:rsidRPr="00B02AEB" w:rsidRDefault="00B02AEB" w:rsidP="009409FD">
            <w:pPr>
              <w:keepNext/>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02AEB">
              <w:rPr>
                <w:rFonts w:ascii="Times New Roman" w:eastAsia="Times New Roman" w:hAnsi="Times New Roman" w:cs="Times New Roman"/>
                <w:color w:val="000000"/>
              </w:rPr>
              <w:t>1</w:t>
            </w:r>
          </w:p>
        </w:tc>
      </w:tr>
      <w:tr w:rsidR="009409FD" w:rsidRPr="00B02AEB" w14:paraId="05D65252" w14:textId="77777777" w:rsidTr="009409FD">
        <w:trPr>
          <w:trHeight w:val="20"/>
        </w:trPr>
        <w:tc>
          <w:tcPr>
            <w:cnfStyle w:val="001000000000" w:firstRow="0" w:lastRow="0" w:firstColumn="1" w:lastColumn="0" w:oddVBand="0" w:evenVBand="0" w:oddHBand="0" w:evenHBand="0" w:firstRowFirstColumn="0" w:firstRowLastColumn="0" w:lastRowFirstColumn="0" w:lastRowLastColumn="0"/>
            <w:tcW w:w="1332" w:type="dxa"/>
            <w:vMerge/>
            <w:hideMark/>
          </w:tcPr>
          <w:p w14:paraId="5500A264" w14:textId="77777777" w:rsidR="00B02AEB" w:rsidRPr="00B02AEB" w:rsidRDefault="00B02AEB" w:rsidP="009409FD">
            <w:pPr>
              <w:keepNext/>
              <w:widowControl/>
              <w:rPr>
                <w:rFonts w:ascii="Times New Roman" w:eastAsia="Times New Roman" w:hAnsi="Times New Roman" w:cs="Times New Roman"/>
              </w:rPr>
            </w:pPr>
          </w:p>
        </w:tc>
        <w:tc>
          <w:tcPr>
            <w:tcW w:w="1026" w:type="dxa"/>
            <w:vMerge/>
            <w:hideMark/>
          </w:tcPr>
          <w:p w14:paraId="1462B3C4"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90" w:type="dxa"/>
            <w:vMerge/>
            <w:hideMark/>
          </w:tcPr>
          <w:p w14:paraId="29972D16"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1080" w:type="dxa"/>
            <w:vMerge/>
            <w:hideMark/>
          </w:tcPr>
          <w:p w14:paraId="27A97864"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900" w:type="dxa"/>
            <w:vMerge/>
            <w:hideMark/>
          </w:tcPr>
          <w:p w14:paraId="2B7C4E2D"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2790" w:type="dxa"/>
            <w:hideMark/>
          </w:tcPr>
          <w:p w14:paraId="5ACFD084"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02AEB">
              <w:rPr>
                <w:rFonts w:ascii="Times New Roman" w:eastAsia="Times New Roman" w:hAnsi="Times New Roman" w:cs="Times New Roman"/>
              </w:rPr>
              <w:t>Hypokalemia</w:t>
            </w:r>
          </w:p>
        </w:tc>
        <w:tc>
          <w:tcPr>
            <w:tcW w:w="882" w:type="dxa"/>
            <w:hideMark/>
          </w:tcPr>
          <w:p w14:paraId="717F2C52" w14:textId="77777777" w:rsidR="00B02AEB" w:rsidRPr="00B02AEB" w:rsidRDefault="00B02AEB" w:rsidP="009409FD">
            <w:pPr>
              <w:keepNext/>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02AEB">
              <w:rPr>
                <w:rFonts w:ascii="Times New Roman" w:eastAsia="Times New Roman" w:hAnsi="Times New Roman" w:cs="Times New Roman"/>
                <w:color w:val="000000"/>
              </w:rPr>
              <w:t>1</w:t>
            </w:r>
          </w:p>
        </w:tc>
        <w:tc>
          <w:tcPr>
            <w:tcW w:w="820" w:type="dxa"/>
            <w:hideMark/>
          </w:tcPr>
          <w:p w14:paraId="36D433DC" w14:textId="77777777" w:rsidR="00B02AEB" w:rsidRPr="00B02AEB" w:rsidRDefault="00B02AEB" w:rsidP="009409FD">
            <w:pPr>
              <w:keepNext/>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02AEB">
              <w:rPr>
                <w:rFonts w:ascii="Times New Roman" w:eastAsia="Times New Roman" w:hAnsi="Times New Roman" w:cs="Times New Roman"/>
                <w:color w:val="000000"/>
              </w:rPr>
              <w:t>1</w:t>
            </w:r>
          </w:p>
        </w:tc>
      </w:tr>
      <w:tr w:rsidR="009409FD" w:rsidRPr="00B02AEB" w14:paraId="0E45C302" w14:textId="77777777" w:rsidTr="009409FD">
        <w:trPr>
          <w:trHeight w:val="20"/>
        </w:trPr>
        <w:tc>
          <w:tcPr>
            <w:cnfStyle w:val="001000000000" w:firstRow="0" w:lastRow="0" w:firstColumn="1" w:lastColumn="0" w:oddVBand="0" w:evenVBand="0" w:oddHBand="0" w:evenHBand="0" w:firstRowFirstColumn="0" w:firstRowLastColumn="0" w:lastRowFirstColumn="0" w:lastRowLastColumn="0"/>
            <w:tcW w:w="1332" w:type="dxa"/>
            <w:vMerge/>
            <w:hideMark/>
          </w:tcPr>
          <w:p w14:paraId="0A20CDA3" w14:textId="77777777" w:rsidR="00B02AEB" w:rsidRPr="00B02AEB" w:rsidRDefault="00B02AEB" w:rsidP="009409FD">
            <w:pPr>
              <w:keepNext/>
              <w:widowControl/>
              <w:rPr>
                <w:rFonts w:ascii="Times New Roman" w:eastAsia="Times New Roman" w:hAnsi="Times New Roman" w:cs="Times New Roman"/>
              </w:rPr>
            </w:pPr>
          </w:p>
        </w:tc>
        <w:tc>
          <w:tcPr>
            <w:tcW w:w="1026" w:type="dxa"/>
            <w:vMerge/>
            <w:hideMark/>
          </w:tcPr>
          <w:p w14:paraId="277DA262"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90" w:type="dxa"/>
            <w:vMerge/>
            <w:hideMark/>
          </w:tcPr>
          <w:p w14:paraId="19CB5DF9"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1080" w:type="dxa"/>
            <w:vMerge/>
            <w:hideMark/>
          </w:tcPr>
          <w:p w14:paraId="29E0E12A"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900" w:type="dxa"/>
            <w:vMerge/>
            <w:hideMark/>
          </w:tcPr>
          <w:p w14:paraId="332ADB94"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2790" w:type="dxa"/>
            <w:hideMark/>
          </w:tcPr>
          <w:p w14:paraId="0E369602"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02AEB">
              <w:rPr>
                <w:rFonts w:ascii="Times New Roman" w:eastAsia="Times New Roman" w:hAnsi="Times New Roman" w:cs="Times New Roman"/>
              </w:rPr>
              <w:t>Dysgeusia (distorted taste)</w:t>
            </w:r>
          </w:p>
        </w:tc>
        <w:tc>
          <w:tcPr>
            <w:tcW w:w="882" w:type="dxa"/>
            <w:hideMark/>
          </w:tcPr>
          <w:p w14:paraId="5F258B03" w14:textId="77777777" w:rsidR="00B02AEB" w:rsidRPr="00B02AEB" w:rsidRDefault="00B02AEB" w:rsidP="009409FD">
            <w:pPr>
              <w:keepNext/>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02AEB">
              <w:rPr>
                <w:rFonts w:ascii="Times New Roman" w:eastAsia="Times New Roman" w:hAnsi="Times New Roman" w:cs="Times New Roman"/>
                <w:color w:val="000000"/>
              </w:rPr>
              <w:t>2</w:t>
            </w:r>
          </w:p>
        </w:tc>
        <w:tc>
          <w:tcPr>
            <w:tcW w:w="820" w:type="dxa"/>
            <w:hideMark/>
          </w:tcPr>
          <w:p w14:paraId="3E52EC73" w14:textId="77777777" w:rsidR="00B02AEB" w:rsidRPr="00B02AEB" w:rsidRDefault="00B02AEB" w:rsidP="009409FD">
            <w:pPr>
              <w:keepNext/>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02AEB">
              <w:rPr>
                <w:rFonts w:ascii="Times New Roman" w:eastAsia="Times New Roman" w:hAnsi="Times New Roman" w:cs="Times New Roman"/>
                <w:color w:val="000000"/>
              </w:rPr>
              <w:t>1</w:t>
            </w:r>
          </w:p>
        </w:tc>
      </w:tr>
      <w:tr w:rsidR="009409FD" w:rsidRPr="00B02AEB" w14:paraId="3088BE1F" w14:textId="77777777" w:rsidTr="009409FD">
        <w:trPr>
          <w:trHeight w:val="20"/>
        </w:trPr>
        <w:tc>
          <w:tcPr>
            <w:cnfStyle w:val="001000000000" w:firstRow="0" w:lastRow="0" w:firstColumn="1" w:lastColumn="0" w:oddVBand="0" w:evenVBand="0" w:oddHBand="0" w:evenHBand="0" w:firstRowFirstColumn="0" w:firstRowLastColumn="0" w:lastRowFirstColumn="0" w:lastRowLastColumn="0"/>
            <w:tcW w:w="1332" w:type="dxa"/>
            <w:vMerge w:val="restart"/>
            <w:hideMark/>
          </w:tcPr>
          <w:p w14:paraId="2556E54A" w14:textId="77777777" w:rsidR="00B02AEB" w:rsidRPr="00B02AEB" w:rsidRDefault="00B02AEB" w:rsidP="009409FD">
            <w:pPr>
              <w:keepNext/>
              <w:widowControl/>
              <w:rPr>
                <w:rFonts w:ascii="Times New Roman" w:eastAsia="Times New Roman" w:hAnsi="Times New Roman" w:cs="Times New Roman"/>
              </w:rPr>
            </w:pPr>
            <w:r w:rsidRPr="00B02AEB">
              <w:rPr>
                <w:rFonts w:ascii="Times New Roman" w:eastAsia="Times New Roman" w:hAnsi="Times New Roman" w:cs="Times New Roman"/>
              </w:rPr>
              <w:t>Phase 2</w:t>
            </w:r>
          </w:p>
        </w:tc>
        <w:tc>
          <w:tcPr>
            <w:tcW w:w="1026" w:type="dxa"/>
            <w:vMerge w:val="restart"/>
            <w:hideMark/>
          </w:tcPr>
          <w:p w14:paraId="11A71F41"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02AEB">
              <w:rPr>
                <w:rFonts w:ascii="Times New Roman" w:eastAsia="Times New Roman" w:hAnsi="Times New Roman" w:cs="Times New Roman"/>
              </w:rPr>
              <w:t>0.43</w:t>
            </w:r>
          </w:p>
        </w:tc>
        <w:tc>
          <w:tcPr>
            <w:tcW w:w="990" w:type="dxa"/>
            <w:vMerge w:val="restart"/>
            <w:hideMark/>
          </w:tcPr>
          <w:p w14:paraId="5366AC25" w14:textId="77777777" w:rsidR="00B02AEB" w:rsidRPr="00B02AEB" w:rsidRDefault="00B02AEB" w:rsidP="009409FD">
            <w:pPr>
              <w:keepNext/>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02AEB">
              <w:rPr>
                <w:rFonts w:ascii="Times New Roman" w:eastAsia="Times New Roman" w:hAnsi="Times New Roman" w:cs="Times New Roman"/>
                <w:color w:val="000000"/>
              </w:rPr>
              <w:t>13</w:t>
            </w:r>
          </w:p>
        </w:tc>
        <w:tc>
          <w:tcPr>
            <w:tcW w:w="1080" w:type="dxa"/>
            <w:vMerge w:val="restart"/>
            <w:hideMark/>
          </w:tcPr>
          <w:p w14:paraId="24E6F5BD" w14:textId="77777777" w:rsidR="00B02AEB" w:rsidRPr="00B02AEB" w:rsidRDefault="00B02AEB" w:rsidP="009409FD">
            <w:pPr>
              <w:keepNext/>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02AEB">
              <w:rPr>
                <w:rFonts w:ascii="Times New Roman" w:eastAsia="Times New Roman" w:hAnsi="Times New Roman" w:cs="Times New Roman"/>
                <w:color w:val="000000"/>
              </w:rPr>
              <w:t>5</w:t>
            </w:r>
          </w:p>
        </w:tc>
        <w:tc>
          <w:tcPr>
            <w:tcW w:w="900" w:type="dxa"/>
            <w:vMerge w:val="restart"/>
            <w:hideMark/>
          </w:tcPr>
          <w:p w14:paraId="4B6E1586" w14:textId="77777777" w:rsidR="00B02AEB" w:rsidRPr="00B02AEB" w:rsidRDefault="00B02AEB" w:rsidP="009409FD">
            <w:pPr>
              <w:keepNext/>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02AEB">
              <w:rPr>
                <w:rFonts w:ascii="Times New Roman" w:eastAsia="Times New Roman" w:hAnsi="Times New Roman" w:cs="Times New Roman"/>
                <w:color w:val="000000"/>
              </w:rPr>
              <w:t>10</w:t>
            </w:r>
          </w:p>
        </w:tc>
        <w:tc>
          <w:tcPr>
            <w:tcW w:w="2790" w:type="dxa"/>
            <w:hideMark/>
          </w:tcPr>
          <w:p w14:paraId="593C828E"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02AEB">
              <w:rPr>
                <w:rFonts w:ascii="Times New Roman" w:eastAsia="Times New Roman" w:hAnsi="Times New Roman" w:cs="Times New Roman"/>
              </w:rPr>
              <w:t>Dizziness*</w:t>
            </w:r>
          </w:p>
        </w:tc>
        <w:tc>
          <w:tcPr>
            <w:tcW w:w="882" w:type="dxa"/>
            <w:hideMark/>
          </w:tcPr>
          <w:p w14:paraId="0169695E" w14:textId="77777777" w:rsidR="00B02AEB" w:rsidRPr="00B02AEB" w:rsidRDefault="00B02AEB" w:rsidP="009409FD">
            <w:pPr>
              <w:keepNext/>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02AEB">
              <w:rPr>
                <w:rFonts w:ascii="Times New Roman" w:eastAsia="Times New Roman" w:hAnsi="Times New Roman" w:cs="Times New Roman"/>
                <w:color w:val="000000"/>
              </w:rPr>
              <w:t>1</w:t>
            </w:r>
          </w:p>
        </w:tc>
        <w:tc>
          <w:tcPr>
            <w:tcW w:w="820" w:type="dxa"/>
            <w:hideMark/>
          </w:tcPr>
          <w:p w14:paraId="43FBDE37" w14:textId="77777777" w:rsidR="00B02AEB" w:rsidRPr="00B02AEB" w:rsidRDefault="00B02AEB" w:rsidP="009409FD">
            <w:pPr>
              <w:keepNext/>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02AEB">
              <w:rPr>
                <w:rFonts w:ascii="Times New Roman" w:eastAsia="Times New Roman" w:hAnsi="Times New Roman" w:cs="Times New Roman"/>
                <w:color w:val="000000"/>
              </w:rPr>
              <w:t>1</w:t>
            </w:r>
          </w:p>
        </w:tc>
      </w:tr>
      <w:tr w:rsidR="009409FD" w:rsidRPr="00B02AEB" w14:paraId="78123D2E" w14:textId="77777777" w:rsidTr="009409FD">
        <w:trPr>
          <w:trHeight w:val="20"/>
        </w:trPr>
        <w:tc>
          <w:tcPr>
            <w:cnfStyle w:val="001000000000" w:firstRow="0" w:lastRow="0" w:firstColumn="1" w:lastColumn="0" w:oddVBand="0" w:evenVBand="0" w:oddHBand="0" w:evenHBand="0" w:firstRowFirstColumn="0" w:firstRowLastColumn="0" w:lastRowFirstColumn="0" w:lastRowLastColumn="0"/>
            <w:tcW w:w="1332" w:type="dxa"/>
            <w:vMerge/>
            <w:hideMark/>
          </w:tcPr>
          <w:p w14:paraId="08F27DE9" w14:textId="77777777" w:rsidR="00B02AEB" w:rsidRPr="00B02AEB" w:rsidRDefault="00B02AEB" w:rsidP="009409FD">
            <w:pPr>
              <w:keepNext/>
              <w:widowControl/>
              <w:rPr>
                <w:rFonts w:ascii="Times New Roman" w:eastAsia="Times New Roman" w:hAnsi="Times New Roman" w:cs="Times New Roman"/>
              </w:rPr>
            </w:pPr>
          </w:p>
        </w:tc>
        <w:tc>
          <w:tcPr>
            <w:tcW w:w="1026" w:type="dxa"/>
            <w:vMerge/>
            <w:hideMark/>
          </w:tcPr>
          <w:p w14:paraId="59D51488"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90" w:type="dxa"/>
            <w:vMerge/>
            <w:hideMark/>
          </w:tcPr>
          <w:p w14:paraId="5E818AC8"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1080" w:type="dxa"/>
            <w:vMerge/>
            <w:hideMark/>
          </w:tcPr>
          <w:p w14:paraId="2AB611A5"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900" w:type="dxa"/>
            <w:vMerge/>
            <w:hideMark/>
          </w:tcPr>
          <w:p w14:paraId="25CFAB81"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2790" w:type="dxa"/>
            <w:hideMark/>
          </w:tcPr>
          <w:p w14:paraId="2AF32F0F"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02AEB">
              <w:rPr>
                <w:rFonts w:ascii="Times New Roman" w:eastAsia="Times New Roman" w:hAnsi="Times New Roman" w:cs="Times New Roman"/>
              </w:rPr>
              <w:t>Dysgeusia (distorted taste)</w:t>
            </w:r>
          </w:p>
        </w:tc>
        <w:tc>
          <w:tcPr>
            <w:tcW w:w="882" w:type="dxa"/>
            <w:hideMark/>
          </w:tcPr>
          <w:p w14:paraId="4E6118F5" w14:textId="77777777" w:rsidR="00B02AEB" w:rsidRPr="00B02AEB" w:rsidRDefault="00B02AEB" w:rsidP="009409FD">
            <w:pPr>
              <w:keepNext/>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02AEB">
              <w:rPr>
                <w:rFonts w:ascii="Times New Roman" w:eastAsia="Times New Roman" w:hAnsi="Times New Roman" w:cs="Times New Roman"/>
                <w:color w:val="000000"/>
              </w:rPr>
              <w:t>2</w:t>
            </w:r>
          </w:p>
        </w:tc>
        <w:tc>
          <w:tcPr>
            <w:tcW w:w="820" w:type="dxa"/>
            <w:hideMark/>
          </w:tcPr>
          <w:p w14:paraId="7E0745EB" w14:textId="77777777" w:rsidR="00B02AEB" w:rsidRPr="00B02AEB" w:rsidRDefault="00B02AEB" w:rsidP="009409FD">
            <w:pPr>
              <w:keepNext/>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02AEB">
              <w:rPr>
                <w:rFonts w:ascii="Times New Roman" w:eastAsia="Times New Roman" w:hAnsi="Times New Roman" w:cs="Times New Roman"/>
                <w:color w:val="000000"/>
              </w:rPr>
              <w:t>1</w:t>
            </w:r>
          </w:p>
        </w:tc>
      </w:tr>
      <w:tr w:rsidR="009409FD" w:rsidRPr="00B02AEB" w14:paraId="05B3F712" w14:textId="77777777" w:rsidTr="009409FD">
        <w:trPr>
          <w:trHeight w:val="20"/>
        </w:trPr>
        <w:tc>
          <w:tcPr>
            <w:cnfStyle w:val="001000000000" w:firstRow="0" w:lastRow="0" w:firstColumn="1" w:lastColumn="0" w:oddVBand="0" w:evenVBand="0" w:oddHBand="0" w:evenHBand="0" w:firstRowFirstColumn="0" w:firstRowLastColumn="0" w:lastRowFirstColumn="0" w:lastRowLastColumn="0"/>
            <w:tcW w:w="1332" w:type="dxa"/>
            <w:vMerge/>
            <w:hideMark/>
          </w:tcPr>
          <w:p w14:paraId="6EC214CE" w14:textId="77777777" w:rsidR="00B02AEB" w:rsidRPr="00B02AEB" w:rsidRDefault="00B02AEB" w:rsidP="009409FD">
            <w:pPr>
              <w:keepNext/>
              <w:widowControl/>
              <w:rPr>
                <w:rFonts w:ascii="Times New Roman" w:eastAsia="Times New Roman" w:hAnsi="Times New Roman" w:cs="Times New Roman"/>
              </w:rPr>
            </w:pPr>
          </w:p>
        </w:tc>
        <w:tc>
          <w:tcPr>
            <w:tcW w:w="1026" w:type="dxa"/>
            <w:vMerge/>
            <w:hideMark/>
          </w:tcPr>
          <w:p w14:paraId="26A50FDC"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90" w:type="dxa"/>
            <w:vMerge/>
            <w:hideMark/>
          </w:tcPr>
          <w:p w14:paraId="255E297D"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1080" w:type="dxa"/>
            <w:vMerge/>
            <w:hideMark/>
          </w:tcPr>
          <w:p w14:paraId="286A6D97"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900" w:type="dxa"/>
            <w:vMerge/>
            <w:hideMark/>
          </w:tcPr>
          <w:p w14:paraId="15FAF0C8"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2790" w:type="dxa"/>
            <w:hideMark/>
          </w:tcPr>
          <w:p w14:paraId="56F3E19A"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02AEB">
              <w:rPr>
                <w:rFonts w:ascii="Times New Roman" w:eastAsia="Times New Roman" w:hAnsi="Times New Roman" w:cs="Times New Roman"/>
              </w:rPr>
              <w:t>Fatigue</w:t>
            </w:r>
          </w:p>
        </w:tc>
        <w:tc>
          <w:tcPr>
            <w:tcW w:w="882" w:type="dxa"/>
            <w:hideMark/>
          </w:tcPr>
          <w:p w14:paraId="6522AC95" w14:textId="77777777" w:rsidR="00B02AEB" w:rsidRPr="00B02AEB" w:rsidRDefault="00B02AEB" w:rsidP="009409FD">
            <w:pPr>
              <w:keepNext/>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02AEB">
              <w:rPr>
                <w:rFonts w:ascii="Times New Roman" w:eastAsia="Times New Roman" w:hAnsi="Times New Roman" w:cs="Times New Roman"/>
                <w:color w:val="000000"/>
              </w:rPr>
              <w:t>1</w:t>
            </w:r>
          </w:p>
        </w:tc>
        <w:tc>
          <w:tcPr>
            <w:tcW w:w="820" w:type="dxa"/>
            <w:hideMark/>
          </w:tcPr>
          <w:p w14:paraId="7E43AF96" w14:textId="77777777" w:rsidR="00B02AEB" w:rsidRPr="00B02AEB" w:rsidRDefault="00B02AEB" w:rsidP="009409FD">
            <w:pPr>
              <w:keepNext/>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02AEB">
              <w:rPr>
                <w:rFonts w:ascii="Times New Roman" w:eastAsia="Times New Roman" w:hAnsi="Times New Roman" w:cs="Times New Roman"/>
                <w:color w:val="000000"/>
              </w:rPr>
              <w:t>1</w:t>
            </w:r>
          </w:p>
        </w:tc>
      </w:tr>
      <w:tr w:rsidR="009409FD" w:rsidRPr="00B02AEB" w14:paraId="286262D1" w14:textId="77777777" w:rsidTr="009409FD">
        <w:trPr>
          <w:trHeight w:val="20"/>
        </w:trPr>
        <w:tc>
          <w:tcPr>
            <w:cnfStyle w:val="001000000000" w:firstRow="0" w:lastRow="0" w:firstColumn="1" w:lastColumn="0" w:oddVBand="0" w:evenVBand="0" w:oddHBand="0" w:evenHBand="0" w:firstRowFirstColumn="0" w:firstRowLastColumn="0" w:lastRowFirstColumn="0" w:lastRowLastColumn="0"/>
            <w:tcW w:w="1332" w:type="dxa"/>
            <w:vMerge/>
            <w:hideMark/>
          </w:tcPr>
          <w:p w14:paraId="641A1E77" w14:textId="77777777" w:rsidR="00B02AEB" w:rsidRPr="00B02AEB" w:rsidRDefault="00B02AEB" w:rsidP="009409FD">
            <w:pPr>
              <w:keepNext/>
              <w:widowControl/>
              <w:rPr>
                <w:rFonts w:ascii="Times New Roman" w:eastAsia="Times New Roman" w:hAnsi="Times New Roman" w:cs="Times New Roman"/>
              </w:rPr>
            </w:pPr>
          </w:p>
        </w:tc>
        <w:tc>
          <w:tcPr>
            <w:tcW w:w="1026" w:type="dxa"/>
            <w:vMerge/>
            <w:hideMark/>
          </w:tcPr>
          <w:p w14:paraId="590FAC85"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90" w:type="dxa"/>
            <w:vMerge/>
            <w:hideMark/>
          </w:tcPr>
          <w:p w14:paraId="495A5CBB"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1080" w:type="dxa"/>
            <w:vMerge/>
            <w:hideMark/>
          </w:tcPr>
          <w:p w14:paraId="2AA459C9"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900" w:type="dxa"/>
            <w:vMerge/>
            <w:hideMark/>
          </w:tcPr>
          <w:p w14:paraId="7E15446A"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2790" w:type="dxa"/>
            <w:hideMark/>
          </w:tcPr>
          <w:p w14:paraId="10EE92E4"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02AEB">
              <w:rPr>
                <w:rFonts w:ascii="Times New Roman" w:eastAsia="Times New Roman" w:hAnsi="Times New Roman" w:cs="Times New Roman"/>
              </w:rPr>
              <w:t>Hypotension</w:t>
            </w:r>
          </w:p>
        </w:tc>
        <w:tc>
          <w:tcPr>
            <w:tcW w:w="882" w:type="dxa"/>
            <w:hideMark/>
          </w:tcPr>
          <w:p w14:paraId="2B85FC63" w14:textId="77777777" w:rsidR="00B02AEB" w:rsidRPr="00B02AEB" w:rsidRDefault="00B02AEB" w:rsidP="009409FD">
            <w:pPr>
              <w:keepNext/>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02AEB">
              <w:rPr>
                <w:rFonts w:ascii="Times New Roman" w:eastAsia="Times New Roman" w:hAnsi="Times New Roman" w:cs="Times New Roman"/>
                <w:color w:val="000000"/>
              </w:rPr>
              <w:t>1</w:t>
            </w:r>
          </w:p>
        </w:tc>
        <w:tc>
          <w:tcPr>
            <w:tcW w:w="820" w:type="dxa"/>
            <w:hideMark/>
          </w:tcPr>
          <w:p w14:paraId="4E302759" w14:textId="77777777" w:rsidR="00B02AEB" w:rsidRPr="00B02AEB" w:rsidRDefault="00B02AEB" w:rsidP="009409FD">
            <w:pPr>
              <w:keepNext/>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02AEB">
              <w:rPr>
                <w:rFonts w:ascii="Times New Roman" w:eastAsia="Times New Roman" w:hAnsi="Times New Roman" w:cs="Times New Roman"/>
                <w:color w:val="000000"/>
              </w:rPr>
              <w:t>1</w:t>
            </w:r>
          </w:p>
        </w:tc>
      </w:tr>
      <w:tr w:rsidR="009409FD" w:rsidRPr="00B02AEB" w14:paraId="36BE88EE" w14:textId="77777777" w:rsidTr="009409FD">
        <w:trPr>
          <w:trHeight w:val="20"/>
        </w:trPr>
        <w:tc>
          <w:tcPr>
            <w:cnfStyle w:val="001000000000" w:firstRow="0" w:lastRow="0" w:firstColumn="1" w:lastColumn="0" w:oddVBand="0" w:evenVBand="0" w:oddHBand="0" w:evenHBand="0" w:firstRowFirstColumn="0" w:firstRowLastColumn="0" w:lastRowFirstColumn="0" w:lastRowLastColumn="0"/>
            <w:tcW w:w="1332" w:type="dxa"/>
            <w:vMerge/>
            <w:hideMark/>
          </w:tcPr>
          <w:p w14:paraId="6175AB77" w14:textId="77777777" w:rsidR="00B02AEB" w:rsidRPr="00B02AEB" w:rsidRDefault="00B02AEB" w:rsidP="009409FD">
            <w:pPr>
              <w:keepNext/>
              <w:widowControl/>
              <w:rPr>
                <w:rFonts w:ascii="Times New Roman" w:eastAsia="Times New Roman" w:hAnsi="Times New Roman" w:cs="Times New Roman"/>
              </w:rPr>
            </w:pPr>
          </w:p>
        </w:tc>
        <w:tc>
          <w:tcPr>
            <w:tcW w:w="1026" w:type="dxa"/>
            <w:vMerge/>
            <w:hideMark/>
          </w:tcPr>
          <w:p w14:paraId="7A3FCF44"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90" w:type="dxa"/>
            <w:vMerge/>
            <w:hideMark/>
          </w:tcPr>
          <w:p w14:paraId="7CFF5823"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1080" w:type="dxa"/>
            <w:vMerge/>
            <w:hideMark/>
          </w:tcPr>
          <w:p w14:paraId="6AE54168"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900" w:type="dxa"/>
            <w:vMerge/>
            <w:hideMark/>
          </w:tcPr>
          <w:p w14:paraId="780B1502"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2790" w:type="dxa"/>
            <w:hideMark/>
          </w:tcPr>
          <w:p w14:paraId="5C31F306"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02AEB">
              <w:rPr>
                <w:rFonts w:ascii="Times New Roman" w:eastAsia="Times New Roman" w:hAnsi="Times New Roman" w:cs="Times New Roman"/>
              </w:rPr>
              <w:t>Nausea</w:t>
            </w:r>
          </w:p>
        </w:tc>
        <w:tc>
          <w:tcPr>
            <w:tcW w:w="882" w:type="dxa"/>
            <w:hideMark/>
          </w:tcPr>
          <w:p w14:paraId="03450C6B" w14:textId="77777777" w:rsidR="00B02AEB" w:rsidRPr="00B02AEB" w:rsidRDefault="00B02AEB" w:rsidP="009409FD">
            <w:pPr>
              <w:keepNext/>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02AEB">
              <w:rPr>
                <w:rFonts w:ascii="Times New Roman" w:eastAsia="Times New Roman" w:hAnsi="Times New Roman" w:cs="Times New Roman"/>
                <w:color w:val="000000"/>
              </w:rPr>
              <w:t>1</w:t>
            </w:r>
          </w:p>
        </w:tc>
        <w:tc>
          <w:tcPr>
            <w:tcW w:w="820" w:type="dxa"/>
            <w:hideMark/>
          </w:tcPr>
          <w:p w14:paraId="0AFA132E" w14:textId="77777777" w:rsidR="00B02AEB" w:rsidRPr="00B02AEB" w:rsidRDefault="00B02AEB" w:rsidP="009409FD">
            <w:pPr>
              <w:keepNext/>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02AEB">
              <w:rPr>
                <w:rFonts w:ascii="Times New Roman" w:eastAsia="Times New Roman" w:hAnsi="Times New Roman" w:cs="Times New Roman"/>
                <w:color w:val="000000"/>
              </w:rPr>
              <w:t>1</w:t>
            </w:r>
          </w:p>
        </w:tc>
      </w:tr>
      <w:tr w:rsidR="009409FD" w:rsidRPr="00B02AEB" w14:paraId="4A17AF0F" w14:textId="77777777" w:rsidTr="009409FD">
        <w:trPr>
          <w:trHeight w:val="20"/>
        </w:trPr>
        <w:tc>
          <w:tcPr>
            <w:cnfStyle w:val="001000000000" w:firstRow="0" w:lastRow="0" w:firstColumn="1" w:lastColumn="0" w:oddVBand="0" w:evenVBand="0" w:oddHBand="0" w:evenHBand="0" w:firstRowFirstColumn="0" w:firstRowLastColumn="0" w:lastRowFirstColumn="0" w:lastRowLastColumn="0"/>
            <w:tcW w:w="1332" w:type="dxa"/>
            <w:vMerge/>
            <w:hideMark/>
          </w:tcPr>
          <w:p w14:paraId="4697EC4A" w14:textId="77777777" w:rsidR="00B02AEB" w:rsidRPr="00B02AEB" w:rsidRDefault="00B02AEB" w:rsidP="009409FD">
            <w:pPr>
              <w:keepNext/>
              <w:widowControl/>
              <w:rPr>
                <w:rFonts w:ascii="Times New Roman" w:eastAsia="Times New Roman" w:hAnsi="Times New Roman" w:cs="Times New Roman"/>
              </w:rPr>
            </w:pPr>
          </w:p>
        </w:tc>
        <w:tc>
          <w:tcPr>
            <w:tcW w:w="1026" w:type="dxa"/>
            <w:vMerge/>
            <w:hideMark/>
          </w:tcPr>
          <w:p w14:paraId="4D50BBA2"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90" w:type="dxa"/>
            <w:vMerge/>
            <w:hideMark/>
          </w:tcPr>
          <w:p w14:paraId="2D3B0D25"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1080" w:type="dxa"/>
            <w:vMerge/>
            <w:hideMark/>
          </w:tcPr>
          <w:p w14:paraId="4D740F5F"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900" w:type="dxa"/>
            <w:vMerge/>
            <w:hideMark/>
          </w:tcPr>
          <w:p w14:paraId="787E7B90"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2790" w:type="dxa"/>
            <w:hideMark/>
          </w:tcPr>
          <w:p w14:paraId="27572B2A"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02AEB">
              <w:rPr>
                <w:rFonts w:ascii="Times New Roman" w:eastAsia="Times New Roman" w:hAnsi="Times New Roman" w:cs="Times New Roman"/>
              </w:rPr>
              <w:t>Pain (headache)</w:t>
            </w:r>
          </w:p>
        </w:tc>
        <w:tc>
          <w:tcPr>
            <w:tcW w:w="882" w:type="dxa"/>
            <w:hideMark/>
          </w:tcPr>
          <w:p w14:paraId="561FBACE" w14:textId="77777777" w:rsidR="00B02AEB" w:rsidRPr="00B02AEB" w:rsidRDefault="00B02AEB" w:rsidP="009409FD">
            <w:pPr>
              <w:keepNext/>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02AEB">
              <w:rPr>
                <w:rFonts w:ascii="Times New Roman" w:eastAsia="Times New Roman" w:hAnsi="Times New Roman" w:cs="Times New Roman"/>
                <w:color w:val="000000"/>
              </w:rPr>
              <w:t>1</w:t>
            </w:r>
          </w:p>
        </w:tc>
        <w:tc>
          <w:tcPr>
            <w:tcW w:w="820" w:type="dxa"/>
            <w:hideMark/>
          </w:tcPr>
          <w:p w14:paraId="1A4E54CB" w14:textId="77777777" w:rsidR="00B02AEB" w:rsidRPr="00B02AEB" w:rsidRDefault="00B02AEB" w:rsidP="009409FD">
            <w:pPr>
              <w:keepNext/>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02AEB">
              <w:rPr>
                <w:rFonts w:ascii="Times New Roman" w:eastAsia="Times New Roman" w:hAnsi="Times New Roman" w:cs="Times New Roman"/>
                <w:color w:val="000000"/>
              </w:rPr>
              <w:t>1</w:t>
            </w:r>
          </w:p>
        </w:tc>
      </w:tr>
      <w:tr w:rsidR="009409FD" w:rsidRPr="00B02AEB" w14:paraId="2C0EE9FE" w14:textId="77777777" w:rsidTr="009409FD">
        <w:trPr>
          <w:trHeight w:val="20"/>
        </w:trPr>
        <w:tc>
          <w:tcPr>
            <w:cnfStyle w:val="001000000000" w:firstRow="0" w:lastRow="0" w:firstColumn="1" w:lastColumn="0" w:oddVBand="0" w:evenVBand="0" w:oddHBand="0" w:evenHBand="0" w:firstRowFirstColumn="0" w:firstRowLastColumn="0" w:lastRowFirstColumn="0" w:lastRowLastColumn="0"/>
            <w:tcW w:w="1332" w:type="dxa"/>
            <w:vMerge/>
            <w:hideMark/>
          </w:tcPr>
          <w:p w14:paraId="09A3BEF3" w14:textId="77777777" w:rsidR="00B02AEB" w:rsidRPr="00B02AEB" w:rsidRDefault="00B02AEB" w:rsidP="009409FD">
            <w:pPr>
              <w:keepNext/>
              <w:widowControl/>
              <w:rPr>
                <w:rFonts w:ascii="Times New Roman" w:eastAsia="Times New Roman" w:hAnsi="Times New Roman" w:cs="Times New Roman"/>
              </w:rPr>
            </w:pPr>
          </w:p>
        </w:tc>
        <w:tc>
          <w:tcPr>
            <w:tcW w:w="1026" w:type="dxa"/>
            <w:vMerge/>
            <w:hideMark/>
          </w:tcPr>
          <w:p w14:paraId="69E1245A"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90" w:type="dxa"/>
            <w:vMerge/>
            <w:hideMark/>
          </w:tcPr>
          <w:p w14:paraId="7D3C73BF"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1080" w:type="dxa"/>
            <w:vMerge/>
            <w:hideMark/>
          </w:tcPr>
          <w:p w14:paraId="13316B8A"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900" w:type="dxa"/>
            <w:vMerge/>
            <w:hideMark/>
          </w:tcPr>
          <w:p w14:paraId="69F73811"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2790" w:type="dxa"/>
            <w:hideMark/>
          </w:tcPr>
          <w:p w14:paraId="4C2EC116"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02AEB">
              <w:rPr>
                <w:rFonts w:ascii="Times New Roman" w:eastAsia="Times New Roman" w:hAnsi="Times New Roman" w:cs="Times New Roman"/>
              </w:rPr>
              <w:t>Smell Change</w:t>
            </w:r>
          </w:p>
        </w:tc>
        <w:tc>
          <w:tcPr>
            <w:tcW w:w="882" w:type="dxa"/>
            <w:hideMark/>
          </w:tcPr>
          <w:p w14:paraId="38B24BD3" w14:textId="77777777" w:rsidR="00B02AEB" w:rsidRPr="00B02AEB" w:rsidRDefault="00B02AEB" w:rsidP="009409FD">
            <w:pPr>
              <w:keepNext/>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02AEB">
              <w:rPr>
                <w:rFonts w:ascii="Times New Roman" w:eastAsia="Times New Roman" w:hAnsi="Times New Roman" w:cs="Times New Roman"/>
                <w:color w:val="000000"/>
              </w:rPr>
              <w:t>2</w:t>
            </w:r>
          </w:p>
        </w:tc>
        <w:tc>
          <w:tcPr>
            <w:tcW w:w="820" w:type="dxa"/>
            <w:hideMark/>
          </w:tcPr>
          <w:p w14:paraId="2B13A789" w14:textId="77777777" w:rsidR="00B02AEB" w:rsidRPr="00B02AEB" w:rsidRDefault="00B02AEB" w:rsidP="009409FD">
            <w:pPr>
              <w:keepNext/>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02AEB">
              <w:rPr>
                <w:rFonts w:ascii="Times New Roman" w:eastAsia="Times New Roman" w:hAnsi="Times New Roman" w:cs="Times New Roman"/>
                <w:color w:val="000000"/>
              </w:rPr>
              <w:t>1</w:t>
            </w:r>
          </w:p>
        </w:tc>
      </w:tr>
      <w:tr w:rsidR="009409FD" w:rsidRPr="00B02AEB" w14:paraId="36C99F19" w14:textId="77777777" w:rsidTr="009409FD">
        <w:trPr>
          <w:trHeight w:val="20"/>
        </w:trPr>
        <w:tc>
          <w:tcPr>
            <w:cnfStyle w:val="001000000000" w:firstRow="0" w:lastRow="0" w:firstColumn="1" w:lastColumn="0" w:oddVBand="0" w:evenVBand="0" w:oddHBand="0" w:evenHBand="0" w:firstRowFirstColumn="0" w:firstRowLastColumn="0" w:lastRowFirstColumn="0" w:lastRowLastColumn="0"/>
            <w:tcW w:w="1332" w:type="dxa"/>
            <w:vMerge/>
            <w:hideMark/>
          </w:tcPr>
          <w:p w14:paraId="53338A17" w14:textId="77777777" w:rsidR="00B02AEB" w:rsidRPr="00B02AEB" w:rsidRDefault="00B02AEB" w:rsidP="009409FD">
            <w:pPr>
              <w:keepNext/>
              <w:widowControl/>
              <w:rPr>
                <w:rFonts w:ascii="Times New Roman" w:eastAsia="Times New Roman" w:hAnsi="Times New Roman" w:cs="Times New Roman"/>
              </w:rPr>
            </w:pPr>
          </w:p>
        </w:tc>
        <w:tc>
          <w:tcPr>
            <w:tcW w:w="1026" w:type="dxa"/>
            <w:vMerge/>
            <w:hideMark/>
          </w:tcPr>
          <w:p w14:paraId="7B4585DE"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90" w:type="dxa"/>
            <w:vMerge/>
            <w:hideMark/>
          </w:tcPr>
          <w:p w14:paraId="352D9CF8"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1080" w:type="dxa"/>
            <w:vMerge/>
            <w:hideMark/>
          </w:tcPr>
          <w:p w14:paraId="31EBB1BB"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900" w:type="dxa"/>
            <w:vMerge/>
            <w:hideMark/>
          </w:tcPr>
          <w:p w14:paraId="3A0E3265"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2790" w:type="dxa"/>
            <w:hideMark/>
          </w:tcPr>
          <w:p w14:paraId="4DB00FE7" w14:textId="77777777" w:rsidR="00B02AEB" w:rsidRPr="00B02AEB" w:rsidRDefault="00B02AEB" w:rsidP="009409FD">
            <w:pPr>
              <w:keepNext/>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02AEB">
              <w:rPr>
                <w:rFonts w:ascii="Times New Roman" w:eastAsia="Times New Roman" w:hAnsi="Times New Roman" w:cs="Times New Roman"/>
              </w:rPr>
              <w:t>Diarrhea*</w:t>
            </w:r>
          </w:p>
        </w:tc>
        <w:tc>
          <w:tcPr>
            <w:tcW w:w="882" w:type="dxa"/>
            <w:hideMark/>
          </w:tcPr>
          <w:p w14:paraId="765EE822" w14:textId="77777777" w:rsidR="00B02AEB" w:rsidRPr="00B02AEB" w:rsidRDefault="00B02AEB" w:rsidP="009409FD">
            <w:pPr>
              <w:keepNext/>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02AEB">
              <w:rPr>
                <w:rFonts w:ascii="Times New Roman" w:eastAsia="Times New Roman" w:hAnsi="Times New Roman" w:cs="Times New Roman"/>
                <w:color w:val="000000"/>
              </w:rPr>
              <w:t>1</w:t>
            </w:r>
          </w:p>
        </w:tc>
        <w:tc>
          <w:tcPr>
            <w:tcW w:w="820" w:type="dxa"/>
            <w:hideMark/>
          </w:tcPr>
          <w:p w14:paraId="31FC4AAD" w14:textId="77777777" w:rsidR="00B02AEB" w:rsidRPr="00B02AEB" w:rsidRDefault="00B02AEB" w:rsidP="009409FD">
            <w:pPr>
              <w:keepNext/>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02AEB">
              <w:rPr>
                <w:rFonts w:ascii="Times New Roman" w:eastAsia="Times New Roman" w:hAnsi="Times New Roman" w:cs="Times New Roman"/>
                <w:color w:val="000000"/>
              </w:rPr>
              <w:t>2</w:t>
            </w:r>
          </w:p>
        </w:tc>
      </w:tr>
    </w:tbl>
    <w:p w14:paraId="6FE94A29" w14:textId="77777777" w:rsidR="009409FD" w:rsidRPr="009409FD" w:rsidRDefault="009409FD" w:rsidP="009409FD">
      <w:pPr>
        <w:keepNext/>
        <w:autoSpaceDE w:val="0"/>
        <w:autoSpaceDN w:val="0"/>
        <w:adjustRightInd w:val="0"/>
        <w:ind w:left="142"/>
        <w:rPr>
          <w:bCs/>
        </w:rPr>
      </w:pPr>
      <w:r w:rsidRPr="009409FD">
        <w:rPr>
          <w:rFonts w:cs="AdvTT78ea841c"/>
        </w:rPr>
        <w:t>*</w:t>
      </w:r>
      <w:r w:rsidRPr="009409FD">
        <w:t xml:space="preserve"> On independent review attributed to causes other than the hyperpolarized injection.</w:t>
      </w:r>
    </w:p>
    <w:p w14:paraId="63CEFD0E" w14:textId="77777777" w:rsidR="00261981" w:rsidRPr="00650CAE" w:rsidRDefault="00261981" w:rsidP="009409FD">
      <w:pPr>
        <w:autoSpaceDE w:val="0"/>
        <w:autoSpaceDN w:val="0"/>
        <w:adjustRightInd w:val="0"/>
        <w:rPr>
          <w:rFonts w:cs="AdvTT78ea841c"/>
        </w:rPr>
      </w:pPr>
    </w:p>
    <w:p w14:paraId="16CEED29" w14:textId="77777777" w:rsidR="00261981" w:rsidRPr="00650CAE" w:rsidRDefault="00261981" w:rsidP="00650CAE">
      <w:pPr>
        <w:autoSpaceDE w:val="0"/>
        <w:autoSpaceDN w:val="0"/>
        <w:adjustRightInd w:val="0"/>
        <w:ind w:left="142"/>
        <w:rPr>
          <w:rFonts w:cs="AdvTT78ea841c"/>
        </w:rPr>
      </w:pPr>
    </w:p>
    <w:p w14:paraId="1B6D0707" w14:textId="77777777" w:rsidR="00261981" w:rsidRPr="00650CAE" w:rsidRDefault="00261981" w:rsidP="00650CAE">
      <w:pPr>
        <w:autoSpaceDE w:val="0"/>
        <w:autoSpaceDN w:val="0"/>
        <w:adjustRightInd w:val="0"/>
        <w:ind w:left="142"/>
        <w:rPr>
          <w:rFonts w:cs="AdvTT78ea841c"/>
        </w:rPr>
      </w:pPr>
      <w:r w:rsidRPr="00650CAE">
        <w:rPr>
          <w:rFonts w:cs="AdvTT78ea841c"/>
        </w:rPr>
        <w:t>Once either the maximum dose or the maximum tolerated dose cohorts were completed, phase 2 of the study design included an expansion cohort to optimize the imaging protocol and explore the biological variability in delivery, transport, and metabolism of the agent.</w:t>
      </w:r>
    </w:p>
    <w:p w14:paraId="40B355CF" w14:textId="77777777" w:rsidR="00261981" w:rsidRPr="00650CAE" w:rsidRDefault="00261981" w:rsidP="00650CAE">
      <w:pPr>
        <w:autoSpaceDE w:val="0"/>
        <w:autoSpaceDN w:val="0"/>
        <w:adjustRightInd w:val="0"/>
        <w:ind w:left="142"/>
        <w:rPr>
          <w:rFonts w:cs="AdvTT78ea841c"/>
        </w:rPr>
      </w:pPr>
    </w:p>
    <w:p w14:paraId="3AEFBDDE" w14:textId="179C4A2B" w:rsidR="00261981" w:rsidRPr="00650CAE" w:rsidRDefault="00261981" w:rsidP="00650CAE">
      <w:pPr>
        <w:autoSpaceDE w:val="0"/>
        <w:autoSpaceDN w:val="0"/>
        <w:adjustRightInd w:val="0"/>
        <w:ind w:left="142"/>
        <w:rPr>
          <w:rFonts w:cs="AdvTT78ea841c"/>
        </w:rPr>
      </w:pPr>
      <w:r w:rsidRPr="00650CAE">
        <w:rPr>
          <w:rFonts w:cs="AdvTTaf7f9f4f.B"/>
        </w:rPr>
        <w:t>For</w:t>
      </w:r>
      <w:r w:rsidRPr="00650CAE">
        <w:rPr>
          <w:rFonts w:cs="AdvTTaf7f9f4f.B"/>
          <w:vertAlign w:val="superscript"/>
        </w:rPr>
        <w:t xml:space="preserve"> 13</w:t>
      </w:r>
      <w:r w:rsidRPr="00650CAE">
        <w:rPr>
          <w:rFonts w:cs="AdvTTaf7f9f4f.B"/>
        </w:rPr>
        <w:t xml:space="preserve">C MR examination, an </w:t>
      </w:r>
      <w:r w:rsidRPr="00650CAE">
        <w:rPr>
          <w:rFonts w:cs="AdvTT78ea841c"/>
        </w:rPr>
        <w:t>intravenous catheter was placed, and the patient was positioned in</w:t>
      </w:r>
      <w:r w:rsidRPr="00650CAE">
        <w:rPr>
          <w:rFonts w:cs="AdvTTaf7f9f4f.B"/>
        </w:rPr>
        <w:t xml:space="preserve"> </w:t>
      </w:r>
      <w:r w:rsidRPr="00650CAE">
        <w:rPr>
          <w:rFonts w:cs="AdvTT78ea841c"/>
        </w:rPr>
        <w:t>a clinical 3-T MR scanner (GE Healthcare). For anatomic imaging, the</w:t>
      </w:r>
      <w:r w:rsidRPr="00650CAE">
        <w:rPr>
          <w:rFonts w:cs="AdvTTaf7f9f4f.B"/>
        </w:rPr>
        <w:t xml:space="preserve"> </w:t>
      </w:r>
      <w:r w:rsidRPr="00650CAE">
        <w:rPr>
          <w:rFonts w:cs="AdvTT78ea841c"/>
        </w:rPr>
        <w:t>1H body coil was used for transmission with a pelvic phased array and</w:t>
      </w:r>
      <w:r w:rsidRPr="00650CAE">
        <w:rPr>
          <w:rFonts w:cs="AdvTTaf7f9f4f.B"/>
        </w:rPr>
        <w:t xml:space="preserve"> </w:t>
      </w:r>
      <w:r w:rsidRPr="00650CAE">
        <w:rPr>
          <w:rFonts w:cs="AdvTT78ea841c"/>
        </w:rPr>
        <w:t xml:space="preserve">custom-designed 1H/13C endorectal coil for reception, see </w:t>
      </w:r>
      <w:r w:rsidR="0078540C">
        <w:rPr>
          <w:rFonts w:cs="AdvTT78ea841c"/>
        </w:rPr>
        <w:fldChar w:fldCharType="begin"/>
      </w:r>
      <w:r w:rsidR="0078540C">
        <w:rPr>
          <w:rFonts w:cs="AdvTT78ea841c"/>
        </w:rPr>
        <w:instrText xml:space="preserve"> REF _Ref502140043 \h </w:instrText>
      </w:r>
      <w:r w:rsidR="0078540C">
        <w:rPr>
          <w:rFonts w:cs="AdvTT78ea841c"/>
        </w:rPr>
      </w:r>
      <w:r w:rsidR="0078540C">
        <w:rPr>
          <w:rFonts w:cs="AdvTT78ea841c"/>
        </w:rPr>
        <w:fldChar w:fldCharType="separate"/>
      </w:r>
      <w:r w:rsidR="00B263AB">
        <w:t xml:space="preserve">Figure </w:t>
      </w:r>
      <w:r w:rsidR="00B263AB">
        <w:rPr>
          <w:noProof/>
        </w:rPr>
        <w:t>4</w:t>
      </w:r>
      <w:r w:rsidR="0078540C">
        <w:rPr>
          <w:rFonts w:cs="AdvTT78ea841c"/>
        </w:rPr>
        <w:fldChar w:fldCharType="end"/>
      </w:r>
      <w:r w:rsidR="0078540C">
        <w:rPr>
          <w:rFonts w:cs="AdvTT78ea841c"/>
        </w:rPr>
        <w:t xml:space="preserve"> </w:t>
      </w:r>
      <w:r w:rsidRPr="00650CAE">
        <w:rPr>
          <w:rFonts w:cs="AdvTT78ea841c"/>
        </w:rPr>
        <w:t>below. For 13C</w:t>
      </w:r>
      <w:r w:rsidRPr="00650CAE">
        <w:rPr>
          <w:rFonts w:cs="AdvTTaf7f9f4f.B"/>
        </w:rPr>
        <w:t xml:space="preserve"> </w:t>
      </w:r>
      <w:r w:rsidRPr="00650CAE">
        <w:rPr>
          <w:rFonts w:cs="AdvTT78ea841c"/>
        </w:rPr>
        <w:t>data, a bore-insertable volume coil that was hinged like a clamshell to</w:t>
      </w:r>
      <w:r w:rsidRPr="00650CAE">
        <w:rPr>
          <w:rFonts w:cs="AdvTTaf7f9f4f.B"/>
        </w:rPr>
        <w:t xml:space="preserve"> </w:t>
      </w:r>
      <w:r w:rsidRPr="00650CAE">
        <w:rPr>
          <w:rFonts w:cs="AdvTT78ea841c"/>
        </w:rPr>
        <w:t>facilitate patient entry was used for transmission with the 13C channel</w:t>
      </w:r>
      <w:r w:rsidRPr="00650CAE">
        <w:rPr>
          <w:rFonts w:cs="AdvTTaf7f9f4f.B"/>
        </w:rPr>
        <w:t xml:space="preserve"> </w:t>
      </w:r>
      <w:r w:rsidRPr="00650CAE">
        <w:rPr>
          <w:rFonts w:cs="AdvTT78ea841c"/>
        </w:rPr>
        <w:t>of the endorectal coil for reception. Anatomic images comprising</w:t>
      </w:r>
      <w:r w:rsidRPr="00650CAE">
        <w:rPr>
          <w:rFonts w:cs="AdvTTaf7f9f4f.B"/>
        </w:rPr>
        <w:t xml:space="preserve"> </w:t>
      </w:r>
      <w:r w:rsidRPr="00650CAE">
        <w:rPr>
          <w:rFonts w:cs="AdvTT78ea841c"/>
        </w:rPr>
        <w:t>a scout, sagittal, and axial T2-weighted fast spin echo sequences were</w:t>
      </w:r>
      <w:r w:rsidRPr="00650CAE">
        <w:rPr>
          <w:rFonts w:cs="AdvTTaf7f9f4f.B"/>
        </w:rPr>
        <w:t xml:space="preserve"> </w:t>
      </w:r>
      <w:r w:rsidRPr="00650CAE">
        <w:rPr>
          <w:rFonts w:cs="AdvTT78ea841c"/>
        </w:rPr>
        <w:t>acquired first, followed by 13C signal calibration that used the signal</w:t>
      </w:r>
      <w:r w:rsidRPr="00650CAE">
        <w:rPr>
          <w:rFonts w:cs="AdvTTaf7f9f4f.B"/>
        </w:rPr>
        <w:t xml:space="preserve"> </w:t>
      </w:r>
      <w:r w:rsidRPr="00650CAE">
        <w:rPr>
          <w:rFonts w:cs="AdvTT78ea841c"/>
        </w:rPr>
        <w:t>from a sealed standard housed within the endorectal coil containing</w:t>
      </w:r>
      <w:r w:rsidRPr="00650CAE">
        <w:rPr>
          <w:rFonts w:cs="AdvTTaf7f9f4f.B"/>
        </w:rPr>
        <w:t xml:space="preserve"> </w:t>
      </w:r>
      <w:r w:rsidRPr="00650CAE">
        <w:rPr>
          <w:rFonts w:cs="AdvTT78ea841c"/>
        </w:rPr>
        <w:t xml:space="preserve">600 </w:t>
      </w:r>
      <w:r w:rsidR="004325A2">
        <w:rPr>
          <w:rFonts w:cs="AdvTTcd7bcd39"/>
        </w:rPr>
        <w:t>µ</w:t>
      </w:r>
      <w:r w:rsidRPr="00650CAE">
        <w:rPr>
          <w:rFonts w:cs="AdvTT78ea841c"/>
        </w:rPr>
        <w:t>l of 8 M 13C-urea. Once the appropriate scan parameters had</w:t>
      </w:r>
      <w:r w:rsidRPr="00650CAE">
        <w:rPr>
          <w:rFonts w:cs="AdvTTaf7f9f4f.B"/>
        </w:rPr>
        <w:t xml:space="preserve"> </w:t>
      </w:r>
      <w:r w:rsidRPr="00650CAE">
        <w:rPr>
          <w:rFonts w:cs="AdvTT78ea841c"/>
        </w:rPr>
        <w:t>been defined, the operators in the clean room started the dissolution.</w:t>
      </w:r>
      <w:r w:rsidRPr="00650CAE">
        <w:rPr>
          <w:rFonts w:cs="AdvTTaf7f9f4f.B"/>
        </w:rPr>
        <w:t xml:space="preserve"> </w:t>
      </w:r>
      <w:r w:rsidRPr="00650CAE">
        <w:rPr>
          <w:rFonts w:cs="AdvTT78ea841c"/>
        </w:rPr>
        <w:t>If the sample satisfied the tests imposed by the QC system and the</w:t>
      </w:r>
      <w:r w:rsidRPr="00650CAE">
        <w:rPr>
          <w:rFonts w:cs="AdvTTaf7f9f4f.B"/>
        </w:rPr>
        <w:t xml:space="preserve"> </w:t>
      </w:r>
      <w:r w:rsidRPr="00650CAE">
        <w:rPr>
          <w:rFonts w:cs="AdvTT78ea841c"/>
        </w:rPr>
        <w:t>pharmacist who was monitoring the study gave their approval, the</w:t>
      </w:r>
      <w:r w:rsidRPr="00650CAE">
        <w:rPr>
          <w:rFonts w:cs="AdvTTaf7f9f4f.B"/>
        </w:rPr>
        <w:t xml:space="preserve"> </w:t>
      </w:r>
      <w:r w:rsidRPr="00650CAE">
        <w:rPr>
          <w:rFonts w:cs="AdvTT78ea841c"/>
        </w:rPr>
        <w:t>formulation was injected into the patient at ~5 ml/s and 13C data were</w:t>
      </w:r>
      <w:r w:rsidRPr="00650CAE">
        <w:rPr>
          <w:rFonts w:cs="AdvTTaf7f9f4f.B"/>
        </w:rPr>
        <w:t xml:space="preserve"> </w:t>
      </w:r>
      <w:r w:rsidRPr="00650CAE">
        <w:rPr>
          <w:rFonts w:cs="AdvTT78ea841c"/>
        </w:rPr>
        <w:t>obtained.</w:t>
      </w:r>
    </w:p>
    <w:p w14:paraId="1A53B50F" w14:textId="77777777" w:rsidR="00261981" w:rsidRPr="00650CAE" w:rsidRDefault="00261981" w:rsidP="00650CAE">
      <w:pPr>
        <w:autoSpaceDE w:val="0"/>
        <w:autoSpaceDN w:val="0"/>
        <w:adjustRightInd w:val="0"/>
        <w:ind w:left="142"/>
        <w:rPr>
          <w:rFonts w:cs="AdvTT78ea841c"/>
        </w:rPr>
      </w:pPr>
    </w:p>
    <w:p w14:paraId="1855B7E6" w14:textId="77777777" w:rsidR="00261981" w:rsidRPr="00650CAE" w:rsidRDefault="00261981" w:rsidP="00650CAE">
      <w:pPr>
        <w:autoSpaceDE w:val="0"/>
        <w:autoSpaceDN w:val="0"/>
        <w:adjustRightInd w:val="0"/>
        <w:ind w:left="142"/>
        <w:jc w:val="center"/>
        <w:rPr>
          <w:rFonts w:ascii="AdvTTaf7f9f4f.B" w:hAnsi="AdvTTaf7f9f4f.B" w:cs="AdvTTaf7f9f4f.B"/>
          <w:sz w:val="19"/>
          <w:szCs w:val="19"/>
        </w:rPr>
      </w:pPr>
      <w:r>
        <w:rPr>
          <w:noProof/>
        </w:rPr>
        <w:lastRenderedPageBreak/>
        <w:drawing>
          <wp:inline distT="0" distB="0" distL="0" distR="0" wp14:anchorId="76BC3E50" wp14:editId="2EAF8105">
            <wp:extent cx="3282315" cy="22282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82315" cy="2228215"/>
                    </a:xfrm>
                    <a:prstGeom prst="rect">
                      <a:avLst/>
                    </a:prstGeom>
                    <a:noFill/>
                    <a:ln>
                      <a:noFill/>
                    </a:ln>
                  </pic:spPr>
                </pic:pic>
              </a:graphicData>
            </a:graphic>
          </wp:inline>
        </w:drawing>
      </w:r>
    </w:p>
    <w:p w14:paraId="2B7CB5EB" w14:textId="77777777" w:rsidR="00261981" w:rsidRPr="00650CAE" w:rsidRDefault="00261981" w:rsidP="00650CAE">
      <w:pPr>
        <w:autoSpaceDE w:val="0"/>
        <w:autoSpaceDN w:val="0"/>
        <w:adjustRightInd w:val="0"/>
        <w:ind w:left="142"/>
        <w:rPr>
          <w:rFonts w:ascii="AdvTTaf7f9f4f.B" w:hAnsi="AdvTTaf7f9f4f.B" w:cs="AdvTTaf7f9f4f.B"/>
        </w:rPr>
      </w:pPr>
    </w:p>
    <w:p w14:paraId="6A5BB729" w14:textId="306FF877" w:rsidR="00261981" w:rsidRPr="00650CAE" w:rsidRDefault="0078540C" w:rsidP="000819C5">
      <w:pPr>
        <w:pStyle w:val="Caption"/>
        <w:rPr>
          <w:rFonts w:cs="AdvTTaf7f9f4f.B"/>
          <w:b w:val="0"/>
        </w:rPr>
      </w:pPr>
      <w:r>
        <w:rPr>
          <w:rFonts w:cs="AdvTTaf7f9f4f.B"/>
          <w:b w:val="0"/>
        </w:rPr>
        <w:t xml:space="preserve"> </w:t>
      </w:r>
      <w:bookmarkStart w:id="184" w:name="_Ref502140043"/>
      <w:r>
        <w:t xml:space="preserve">Figure </w:t>
      </w:r>
      <w:r w:rsidR="005C6BC3">
        <w:fldChar w:fldCharType="begin"/>
      </w:r>
      <w:r w:rsidR="005C6BC3">
        <w:instrText xml:space="preserve"> SEQ Figure \* ARABIC </w:instrText>
      </w:r>
      <w:r w:rsidR="005C6BC3">
        <w:fldChar w:fldCharType="separate"/>
      </w:r>
      <w:r w:rsidR="00B263AB">
        <w:rPr>
          <w:noProof/>
        </w:rPr>
        <w:t>4</w:t>
      </w:r>
      <w:r w:rsidR="005C6BC3">
        <w:rPr>
          <w:noProof/>
        </w:rPr>
        <w:fldChar w:fldCharType="end"/>
      </w:r>
      <w:bookmarkEnd w:id="184"/>
      <w:r>
        <w:t>.</w:t>
      </w:r>
      <w:r w:rsidR="00261981" w:rsidRPr="00650CAE">
        <w:rPr>
          <w:rFonts w:cs="AdvTTaf7f9f4f.B"/>
          <w:b w:val="0"/>
        </w:rPr>
        <w:t xml:space="preserve"> </w:t>
      </w:r>
      <w:r w:rsidR="00261981" w:rsidRPr="00650CAE">
        <w:rPr>
          <w:rFonts w:cs="AdvTTaf7f9f4f.B"/>
          <w:b w:val="0"/>
          <w:vertAlign w:val="superscript"/>
        </w:rPr>
        <w:t>13</w:t>
      </w:r>
      <w:r w:rsidR="00261981" w:rsidRPr="00650CAE">
        <w:rPr>
          <w:rFonts w:cs="AdvTTaf7f9f4f.B"/>
          <w:b w:val="0"/>
        </w:rPr>
        <w:t>C coil setup and the schematic steps for the delivery of hyperpolarized [1-13</w:t>
      </w:r>
      <w:proofErr w:type="gramStart"/>
      <w:r w:rsidR="00261981" w:rsidRPr="00650CAE">
        <w:rPr>
          <w:rFonts w:cs="AdvTTaf7f9f4f.B"/>
          <w:b w:val="0"/>
        </w:rPr>
        <w:t>C]pyruvate</w:t>
      </w:r>
      <w:proofErr w:type="gramEnd"/>
      <w:r w:rsidR="00261981" w:rsidRPr="00650CAE">
        <w:rPr>
          <w:rFonts w:cs="AdvTTaf7f9f4f.B"/>
          <w:b w:val="0"/>
        </w:rPr>
        <w:t>.</w:t>
      </w:r>
    </w:p>
    <w:p w14:paraId="5B8E81F9" w14:textId="77777777" w:rsidR="00261981" w:rsidRPr="00650CAE" w:rsidRDefault="00261981" w:rsidP="00650CAE">
      <w:pPr>
        <w:autoSpaceDE w:val="0"/>
        <w:autoSpaceDN w:val="0"/>
        <w:adjustRightInd w:val="0"/>
        <w:ind w:left="142"/>
        <w:rPr>
          <w:rFonts w:cs="AdvTTe45e47d2"/>
        </w:rPr>
      </w:pPr>
      <w:r w:rsidRPr="00650CAE">
        <w:rPr>
          <w:rFonts w:cs="AdvTTe45e47d2"/>
        </w:rPr>
        <w:t>(</w:t>
      </w:r>
      <w:r w:rsidRPr="00650CAE">
        <w:rPr>
          <w:rFonts w:cs="AdvTTaf7f9f4f.B"/>
        </w:rPr>
        <w:t xml:space="preserve">A </w:t>
      </w:r>
      <w:r w:rsidRPr="00650CAE">
        <w:rPr>
          <w:rFonts w:cs="AdvTTe45e47d2"/>
        </w:rPr>
        <w:t xml:space="preserve">to </w:t>
      </w:r>
      <w:r w:rsidRPr="00650CAE">
        <w:rPr>
          <w:rFonts w:cs="AdvTTaf7f9f4f.B"/>
        </w:rPr>
        <w:t>C</w:t>
      </w:r>
      <w:r w:rsidRPr="00650CAE">
        <w:rPr>
          <w:rFonts w:cs="AdvTTe45e47d2"/>
        </w:rPr>
        <w:t xml:space="preserve">) </w:t>
      </w:r>
      <w:r w:rsidRPr="00650CAE">
        <w:rPr>
          <w:rFonts w:cs="AdvTTe45e47d2"/>
          <w:vertAlign w:val="superscript"/>
        </w:rPr>
        <w:t>13</w:t>
      </w:r>
      <w:r w:rsidRPr="00650CAE">
        <w:rPr>
          <w:rFonts w:cs="AdvTTe45e47d2"/>
        </w:rPr>
        <w:t>C transmit coil (A) and endorectal 1H/13C receiver coil (B) used for acquiring data. The location of the coils is outlined on (A) and (B), with the layers inside the endorectal coil being seen in (C). The dimensions of the elements in the endorectal coil were 4 inches × 1 inches, with the total length of the coil being 12 inches. (</w:t>
      </w:r>
      <w:r w:rsidRPr="00650CAE">
        <w:rPr>
          <w:rFonts w:cs="AdvTTaf7f9f4f.B"/>
        </w:rPr>
        <w:t>D</w:t>
      </w:r>
      <w:r w:rsidRPr="00650CAE">
        <w:rPr>
          <w:rFonts w:cs="AdvTTe45e47d2"/>
        </w:rPr>
        <w:t>) Steps involved in transferring the hyperpolarized agent from the polarizer to the patient, and mean times required for each of them.</w:t>
      </w:r>
    </w:p>
    <w:p w14:paraId="051D24BF" w14:textId="77777777" w:rsidR="00261981" w:rsidRPr="00650CAE" w:rsidRDefault="00261981" w:rsidP="00650CAE">
      <w:pPr>
        <w:autoSpaceDE w:val="0"/>
        <w:autoSpaceDN w:val="0"/>
        <w:adjustRightInd w:val="0"/>
        <w:ind w:left="142"/>
        <w:rPr>
          <w:rFonts w:cs="AdvTTe45e47d2"/>
        </w:rPr>
      </w:pPr>
    </w:p>
    <w:p w14:paraId="4A176D75" w14:textId="33A6240A" w:rsidR="00261981" w:rsidRPr="00650CAE" w:rsidRDefault="00261981" w:rsidP="00650CAE">
      <w:pPr>
        <w:autoSpaceDE w:val="0"/>
        <w:autoSpaceDN w:val="0"/>
        <w:adjustRightInd w:val="0"/>
        <w:ind w:left="142"/>
        <w:rPr>
          <w:rFonts w:cs="AdvTT78ea841c"/>
        </w:rPr>
      </w:pPr>
      <w:r w:rsidRPr="00650CAE">
        <w:rPr>
          <w:rFonts w:cs="AdvTT78ea841c"/>
        </w:rPr>
        <w:t>Spatially localized dynamic 13C spectroscopic imaging monitored delivery, transport, and metabolism of hyperpolarized [1-13</w:t>
      </w:r>
      <w:proofErr w:type="gramStart"/>
      <w:r w:rsidRPr="00650CAE">
        <w:rPr>
          <w:rFonts w:cs="AdvTT78ea841c"/>
        </w:rPr>
        <w:t>C]pyruvate</w:t>
      </w:r>
      <w:proofErr w:type="gramEnd"/>
      <w:r w:rsidRPr="00650CAE">
        <w:rPr>
          <w:rFonts w:cs="AdvTT78ea841c"/>
        </w:rPr>
        <w:t>. Single</w:t>
      </w:r>
      <w:r w:rsidRPr="00650CAE">
        <w:rPr>
          <w:rFonts w:eastAsia="AdvTT78ea841c+20" w:cs="AdvTT78ea841c+20"/>
        </w:rPr>
        <w:t>–</w:t>
      </w:r>
      <w:r w:rsidRPr="00650CAE">
        <w:rPr>
          <w:rFonts w:cs="AdvTT78ea841c"/>
        </w:rPr>
        <w:t xml:space="preserve">time point 2D or 3D acquisitions were used to obtain arrays of 13C spectra from the prostate and surrounding tissues in 8 to 12 s. The initial sequence parameters were chosen </w:t>
      </w:r>
      <w:r w:rsidR="00ED59DD" w:rsidRPr="00650CAE">
        <w:rPr>
          <w:rFonts w:cs="AdvTT78ea841c"/>
        </w:rPr>
        <w:t>based on</w:t>
      </w:r>
      <w:r w:rsidRPr="00650CAE">
        <w:rPr>
          <w:rFonts w:cs="AdvTT78ea841c"/>
        </w:rPr>
        <w:t xml:space="preserve"> studies in murine and dog models but were further refined as the study progressed in terms of the start times for acquiring MR data and the flip angle schemes used. </w:t>
      </w:r>
    </w:p>
    <w:p w14:paraId="7FCEF293" w14:textId="77777777" w:rsidR="00261981" w:rsidRPr="00650CAE" w:rsidRDefault="00261981" w:rsidP="00650CAE">
      <w:pPr>
        <w:autoSpaceDE w:val="0"/>
        <w:autoSpaceDN w:val="0"/>
        <w:adjustRightInd w:val="0"/>
        <w:ind w:left="142"/>
        <w:rPr>
          <w:rFonts w:cs="AdvTTe45e47d2"/>
        </w:rPr>
      </w:pPr>
    </w:p>
    <w:p w14:paraId="413CDFC6" w14:textId="77777777" w:rsidR="00261981" w:rsidRPr="00650CAE" w:rsidRDefault="00261981" w:rsidP="00650CAE">
      <w:pPr>
        <w:autoSpaceDE w:val="0"/>
        <w:autoSpaceDN w:val="0"/>
        <w:adjustRightInd w:val="0"/>
        <w:ind w:left="142"/>
        <w:rPr>
          <w:rFonts w:cs="AdvTT78ea841c"/>
        </w:rPr>
      </w:pPr>
      <w:r w:rsidRPr="00650CAE">
        <w:rPr>
          <w:rFonts w:cs="AdvTT78ea841c"/>
        </w:rPr>
        <w:t xml:space="preserve">The analysis of the 13C MR data used specialized software developed in UCSF. Arrays of spectra were obtained by </w:t>
      </w:r>
      <w:proofErr w:type="spellStart"/>
      <w:r w:rsidRPr="00650CAE">
        <w:rPr>
          <w:rFonts w:cs="AdvTT78ea841c"/>
        </w:rPr>
        <w:t>apodizing</w:t>
      </w:r>
      <w:proofErr w:type="spellEnd"/>
      <w:r w:rsidRPr="00650CAE">
        <w:rPr>
          <w:rFonts w:cs="AdvTT78ea841c"/>
        </w:rPr>
        <w:t xml:space="preserve"> the raw data with a 10-Hz Lorentzian function in the time domain and performing a Fourier transform. For data with echo planar localization, signals from the positive and negative gradient lobes were separately reconstructed for each trajectory with </w:t>
      </w:r>
      <w:proofErr w:type="spellStart"/>
      <w:r w:rsidRPr="00650CAE">
        <w:rPr>
          <w:rFonts w:cs="AdvTT78ea841c"/>
        </w:rPr>
        <w:t>regridding</w:t>
      </w:r>
      <w:proofErr w:type="spellEnd"/>
      <w:r w:rsidRPr="00650CAE">
        <w:rPr>
          <w:rFonts w:cs="AdvTT78ea841c"/>
        </w:rPr>
        <w:t xml:space="preserve"> of samples on the ramps. The spectral arrays were then zero- and first-order phase corrected. Quantification of individual spectra used automatic phasing, baseline subtraction, and frequency correction. The heights and areas of spectral peaks were estimated and used to generate metabolite images and/or curves of the time course of changes in [1-13</w:t>
      </w:r>
      <w:proofErr w:type="gramStart"/>
      <w:r w:rsidRPr="00650CAE">
        <w:rPr>
          <w:rFonts w:cs="AdvTT78ea841c"/>
        </w:rPr>
        <w:t>C]lactate</w:t>
      </w:r>
      <w:proofErr w:type="gramEnd"/>
      <w:r w:rsidRPr="00650CAE">
        <w:rPr>
          <w:rFonts w:cs="AdvTT78ea841c"/>
        </w:rPr>
        <w:t xml:space="preserve"> and [1-13C]pyruvate. The spectral arrays and metabolite images were directly correlated with anatomic images that were acquired within the same examination. For comparison purposes, regions of prostate cancer were identified as areas with concordant positive TRUS-guided biopsy and MRI abnormality within the same sextant of the prostate. Visual comparisons of the locations of regions with elevated lactate/pyruvate on the 13C images were made with the results from the MR staging examination using anatomic images from the two studies as a reference to see whether similar regions were identified as having abnormalities. For voxels where the SNR of the dynamic data was sufficient, the curves of lactate and pyruvate were fit with the two-compartment model that was developed and applied in previous preclinical studies.</w:t>
      </w:r>
    </w:p>
    <w:p w14:paraId="576177D5" w14:textId="77777777" w:rsidR="00261981" w:rsidRPr="00650CAE" w:rsidRDefault="00261981" w:rsidP="00650CAE">
      <w:pPr>
        <w:autoSpaceDE w:val="0"/>
        <w:autoSpaceDN w:val="0"/>
        <w:adjustRightInd w:val="0"/>
        <w:ind w:left="142"/>
        <w:rPr>
          <w:rFonts w:cs="AdvTT78ea841c"/>
        </w:rPr>
      </w:pPr>
    </w:p>
    <w:p w14:paraId="513F1C77" w14:textId="77777777" w:rsidR="00261981" w:rsidRPr="00650CAE" w:rsidRDefault="00261981" w:rsidP="00650CAE">
      <w:pPr>
        <w:autoSpaceDE w:val="0"/>
        <w:autoSpaceDN w:val="0"/>
        <w:adjustRightInd w:val="0"/>
        <w:ind w:left="142"/>
        <w:rPr>
          <w:rFonts w:cs="AdvTT78ea841c"/>
        </w:rPr>
      </w:pPr>
      <w:r w:rsidRPr="00650CAE">
        <w:rPr>
          <w:rFonts w:cs="AdvTT78ea841c"/>
        </w:rPr>
        <w:t xml:space="preserve">The purpose of the 1D spatially localized dynamic data was to establish the time course of delivery of the agent. The acquisition provided spectra from an axial slab that covered the prostate and surrounding tissues and applied echo planar encoding from slices in the right-left direction at a 3-s </w:t>
      </w:r>
      <w:r w:rsidRPr="00650CAE">
        <w:rPr>
          <w:rFonts w:cs="AdvTT78ea841c"/>
        </w:rPr>
        <w:lastRenderedPageBreak/>
        <w:t xml:space="preserve">time resolution starting at the end of the injection from a 36- to 60-mm axial slice encompassing the prostate. Echo planar localization was applied in the right-left direction at 10-mm resolution and with echo time (TE)/repetition time (TR)/flip angle of 2 </w:t>
      </w:r>
      <w:proofErr w:type="spellStart"/>
      <w:r w:rsidRPr="00650CAE">
        <w:rPr>
          <w:rFonts w:cs="AdvTT78ea841c"/>
        </w:rPr>
        <w:t>ms</w:t>
      </w:r>
      <w:proofErr w:type="spellEnd"/>
      <w:r w:rsidRPr="00650CAE">
        <w:rPr>
          <w:rFonts w:cs="AdvTT78ea841c"/>
        </w:rPr>
        <w:t>/3 s/10°. These dynamic data demonstrated reproducible delivery of hyperpolarized [1-13</w:t>
      </w:r>
      <w:proofErr w:type="gramStart"/>
      <w:r w:rsidRPr="00650CAE">
        <w:rPr>
          <w:rFonts w:cs="AdvTT78ea841c"/>
        </w:rPr>
        <w:t>C]pyruvate</w:t>
      </w:r>
      <w:proofErr w:type="gramEnd"/>
      <w:r w:rsidRPr="00650CAE">
        <w:rPr>
          <w:rFonts w:cs="AdvTT78ea841c"/>
        </w:rPr>
        <w:t xml:space="preserve"> to the prostate and its conversion to hyperpolarized [1-13C]lactate.  Representative 1D dynamic 13C spectra are shown below:</w:t>
      </w:r>
    </w:p>
    <w:p w14:paraId="7D33E542" w14:textId="77777777" w:rsidR="00261981" w:rsidRPr="00650CAE" w:rsidRDefault="00261981" w:rsidP="00650CAE">
      <w:pPr>
        <w:autoSpaceDE w:val="0"/>
        <w:autoSpaceDN w:val="0"/>
        <w:adjustRightInd w:val="0"/>
        <w:ind w:left="142"/>
        <w:rPr>
          <w:rFonts w:cs="AdvTT78ea841c"/>
        </w:rPr>
      </w:pPr>
    </w:p>
    <w:p w14:paraId="4AEF019F" w14:textId="77777777" w:rsidR="00261981" w:rsidRPr="00650CAE" w:rsidRDefault="00261981" w:rsidP="00650CAE">
      <w:pPr>
        <w:autoSpaceDE w:val="0"/>
        <w:autoSpaceDN w:val="0"/>
        <w:adjustRightInd w:val="0"/>
        <w:ind w:left="142"/>
        <w:jc w:val="center"/>
        <w:rPr>
          <w:rFonts w:ascii="AdvTTaf7f9f4f.B" w:hAnsi="AdvTTaf7f9f4f.B" w:cs="AdvTTaf7f9f4f.B"/>
          <w:sz w:val="19"/>
          <w:szCs w:val="19"/>
        </w:rPr>
      </w:pPr>
      <w:r>
        <w:rPr>
          <w:noProof/>
        </w:rPr>
        <w:drawing>
          <wp:inline distT="0" distB="0" distL="0" distR="0" wp14:anchorId="1DF55D55" wp14:editId="690A486A">
            <wp:extent cx="4826635" cy="13081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26635" cy="1308100"/>
                    </a:xfrm>
                    <a:prstGeom prst="rect">
                      <a:avLst/>
                    </a:prstGeom>
                    <a:noFill/>
                    <a:ln>
                      <a:noFill/>
                    </a:ln>
                  </pic:spPr>
                </pic:pic>
              </a:graphicData>
            </a:graphic>
          </wp:inline>
        </w:drawing>
      </w:r>
    </w:p>
    <w:p w14:paraId="4E1E1949" w14:textId="77777777" w:rsidR="00261981" w:rsidRPr="00650CAE" w:rsidRDefault="00261981" w:rsidP="00650CAE">
      <w:pPr>
        <w:autoSpaceDE w:val="0"/>
        <w:autoSpaceDN w:val="0"/>
        <w:adjustRightInd w:val="0"/>
        <w:ind w:left="142"/>
        <w:rPr>
          <w:rFonts w:ascii="AdvTTaf7f9f4f.B" w:hAnsi="AdvTTaf7f9f4f.B" w:cs="AdvTTaf7f9f4f.B"/>
          <w:sz w:val="19"/>
          <w:szCs w:val="19"/>
        </w:rPr>
      </w:pPr>
    </w:p>
    <w:p w14:paraId="73BCEE44" w14:textId="17441CC2" w:rsidR="00261981" w:rsidRPr="000819C5" w:rsidRDefault="0078540C" w:rsidP="000819C5">
      <w:pPr>
        <w:pStyle w:val="Caption"/>
        <w:rPr>
          <w:b w:val="0"/>
        </w:rPr>
      </w:pPr>
      <w:r>
        <w:t xml:space="preserve">Figure </w:t>
      </w:r>
      <w:r w:rsidR="005C6BC3">
        <w:fldChar w:fldCharType="begin"/>
      </w:r>
      <w:r w:rsidR="005C6BC3">
        <w:instrText xml:space="preserve"> SEQ Figure \* ARABIC </w:instrText>
      </w:r>
      <w:r w:rsidR="005C6BC3">
        <w:fldChar w:fldCharType="separate"/>
      </w:r>
      <w:r w:rsidR="00B263AB">
        <w:rPr>
          <w:noProof/>
        </w:rPr>
        <w:t>5</w:t>
      </w:r>
      <w:r w:rsidR="005C6BC3">
        <w:rPr>
          <w:noProof/>
        </w:rPr>
        <w:fldChar w:fldCharType="end"/>
      </w:r>
      <w:r w:rsidRPr="000819C5">
        <w:rPr>
          <w:b w:val="0"/>
        </w:rPr>
        <w:t xml:space="preserve">. </w:t>
      </w:r>
      <w:r w:rsidR="00261981" w:rsidRPr="000819C5">
        <w:rPr>
          <w:b w:val="0"/>
        </w:rPr>
        <w:t xml:space="preserve">1D 13C dynamic MRSI data: Images are from a representative patient with a current PSA of 12.2 ng/ml, a small volume of biopsy-proven Gleason grade 4 + 3 prostate cancer in the left </w:t>
      </w:r>
      <w:proofErr w:type="spellStart"/>
      <w:r w:rsidR="00261981" w:rsidRPr="000819C5">
        <w:rPr>
          <w:b w:val="0"/>
        </w:rPr>
        <w:t>midgland</w:t>
      </w:r>
      <w:proofErr w:type="spellEnd"/>
      <w:r w:rsidR="00261981" w:rsidRPr="000819C5">
        <w:rPr>
          <w:b w:val="0"/>
        </w:rPr>
        <w:t>, and who received the lowest dose (0.14 ml/kg) of hyperpolarized [1-13</w:t>
      </w:r>
      <w:proofErr w:type="gramStart"/>
      <w:r w:rsidR="00261981" w:rsidRPr="000819C5">
        <w:rPr>
          <w:b w:val="0"/>
        </w:rPr>
        <w:t>C]pyruvate</w:t>
      </w:r>
      <w:proofErr w:type="gramEnd"/>
      <w:r w:rsidR="00261981" w:rsidRPr="000819C5">
        <w:rPr>
          <w:b w:val="0"/>
        </w:rPr>
        <w:t>. (A) Axial T2-weighted image showing slices (dashed lines) obtained from 1D spectral localization. The slice that overlaps the left prostatic peripheral zone (right side of image) contained a small focus of reduced T2 signal intensity corresponding to the region of biopsy-proven cancer (red arrows). The slice overlapping the right peripheral zone (left side of image) contains only normal prostate tissue. (B) Flux of [1-13</w:t>
      </w:r>
      <w:proofErr w:type="gramStart"/>
      <w:r w:rsidR="00261981" w:rsidRPr="000819C5">
        <w:rPr>
          <w:b w:val="0"/>
        </w:rPr>
        <w:t>C]pyruvate</w:t>
      </w:r>
      <w:proofErr w:type="gramEnd"/>
      <w:r w:rsidR="00261981" w:rsidRPr="000819C5">
        <w:rPr>
          <w:b w:val="0"/>
        </w:rPr>
        <w:t xml:space="preserve"> to [1-13C]lactate catalyzed by LDH (top). Dynamic 13C spectra were obtained from the same patient in (A) at 36 s after injection of hyperpolarized [1-13</w:t>
      </w:r>
      <w:proofErr w:type="gramStart"/>
      <w:r w:rsidR="00261981" w:rsidRPr="000819C5">
        <w:rPr>
          <w:b w:val="0"/>
        </w:rPr>
        <w:t>C]pyruvate</w:t>
      </w:r>
      <w:proofErr w:type="gramEnd"/>
      <w:r w:rsidR="00261981" w:rsidRPr="000819C5">
        <w:rPr>
          <w:b w:val="0"/>
        </w:rPr>
        <w:t xml:space="preserve"> (bottom). The cancer spectrum demonstrated a lactate SNR of 25 owing to a high flux of hyperpolarized [1-13</w:t>
      </w:r>
      <w:proofErr w:type="gramStart"/>
      <w:r w:rsidR="00261981" w:rsidRPr="000819C5">
        <w:rPr>
          <w:b w:val="0"/>
        </w:rPr>
        <w:t>C]pyruvate</w:t>
      </w:r>
      <w:proofErr w:type="gramEnd"/>
      <w:r w:rsidR="00261981" w:rsidRPr="000819C5">
        <w:rPr>
          <w:b w:val="0"/>
        </w:rPr>
        <w:t xml:space="preserve"> to [1-13C]lactate. (C) Plot of 1D localized dynamic hyperpolarized pyruvate and lactate data from the slice that overlapped the region of prostate cancer. (D) Plot of 1D localized dynamic hyperpolarized pyruvate and lactate data from the slice that overlapped a contralateral region of the prostate.</w:t>
      </w:r>
    </w:p>
    <w:p w14:paraId="320DA45C" w14:textId="77777777" w:rsidR="00261981" w:rsidRPr="00650CAE" w:rsidRDefault="00261981" w:rsidP="00650CAE">
      <w:pPr>
        <w:autoSpaceDE w:val="0"/>
        <w:autoSpaceDN w:val="0"/>
        <w:adjustRightInd w:val="0"/>
        <w:ind w:left="142"/>
        <w:rPr>
          <w:rFonts w:cs="AdvTT78ea841c"/>
        </w:rPr>
      </w:pPr>
    </w:p>
    <w:p w14:paraId="5067286D" w14:textId="3D741D87" w:rsidR="00261981" w:rsidRPr="00650CAE" w:rsidRDefault="00261981" w:rsidP="00650CAE">
      <w:pPr>
        <w:autoSpaceDE w:val="0"/>
        <w:autoSpaceDN w:val="0"/>
        <w:adjustRightInd w:val="0"/>
        <w:ind w:left="142"/>
        <w:rPr>
          <w:rFonts w:cs="AdvTT78ea841c"/>
        </w:rPr>
      </w:pPr>
      <w:r w:rsidRPr="00650CAE">
        <w:rPr>
          <w:rFonts w:cs="AdvTT78ea841c"/>
        </w:rPr>
        <w:t xml:space="preserve">To resolve the concern with the 1D localized dynamic MRSI data that the contribution from hyperpolarized signals in tissues outside the prostate could confound the interpretation of estimated parameters, 2D spatially localized dynamic MRSI data were acquired in five patients in </w:t>
      </w:r>
      <w:r w:rsidR="008174F7">
        <w:rPr>
          <w:rFonts w:cs="AdvTT78ea841c"/>
        </w:rPr>
        <w:t xml:space="preserve">a </w:t>
      </w:r>
      <w:r w:rsidRPr="00650CAE">
        <w:rPr>
          <w:rFonts w:cs="AdvTT78ea841c"/>
        </w:rPr>
        <w:t xml:space="preserve">phase 2 study. The </w:t>
      </w:r>
      <w:r w:rsidRPr="00650CAE">
        <w:rPr>
          <w:rFonts w:cs="AdvTT99c4c969"/>
        </w:rPr>
        <w:t>2D localized dynamic MRSI s</w:t>
      </w:r>
      <w:r w:rsidRPr="00650CAE">
        <w:rPr>
          <w:rFonts w:cs="AdvTT78ea841c"/>
        </w:rPr>
        <w:t xml:space="preserve">pectra were obtained every 5 s starting at 5 s after the end of injection from a 12- to 40-mm axial slice with eight-phase encodes in one dimension and with 18-step echo planar localization in the other dimension to provide 10-mm in-plane resolution. The radio frequency pulses that were used applied either a 10° flip angle for all metabolites or a specially designed pulse that gave a flip angle of 10° for pyruvate and 20° for lactate. The TE/TR was 3/125 </w:t>
      </w:r>
      <w:proofErr w:type="spellStart"/>
      <w:r w:rsidRPr="00650CAE">
        <w:rPr>
          <w:rFonts w:cs="AdvTT78ea841c"/>
        </w:rPr>
        <w:t>ms.</w:t>
      </w:r>
      <w:proofErr w:type="spellEnd"/>
      <w:r w:rsidRPr="00650CAE">
        <w:rPr>
          <w:rFonts w:cs="AdvTT78ea841c"/>
        </w:rPr>
        <w:t xml:space="preserve">  Representative 2D dynamic 13C spectra are shown below:</w:t>
      </w:r>
    </w:p>
    <w:p w14:paraId="2086B09F" w14:textId="77777777" w:rsidR="00261981" w:rsidRPr="00650CAE" w:rsidRDefault="00261981" w:rsidP="00650CAE">
      <w:pPr>
        <w:autoSpaceDE w:val="0"/>
        <w:autoSpaceDN w:val="0"/>
        <w:adjustRightInd w:val="0"/>
        <w:ind w:left="142"/>
        <w:rPr>
          <w:rFonts w:cs="AdvTT78ea841c"/>
        </w:rPr>
      </w:pPr>
    </w:p>
    <w:p w14:paraId="6A328120" w14:textId="77777777" w:rsidR="00261981" w:rsidRPr="00650CAE" w:rsidRDefault="00261981" w:rsidP="00650CAE">
      <w:pPr>
        <w:autoSpaceDE w:val="0"/>
        <w:autoSpaceDN w:val="0"/>
        <w:adjustRightInd w:val="0"/>
        <w:ind w:left="142"/>
        <w:jc w:val="center"/>
        <w:rPr>
          <w:rFonts w:ascii="AdvTT78ea841c" w:hAnsi="AdvTT78ea841c" w:cs="AdvTT78ea841c"/>
          <w:sz w:val="19"/>
          <w:szCs w:val="19"/>
        </w:rPr>
      </w:pPr>
      <w:r>
        <w:rPr>
          <w:noProof/>
        </w:rPr>
        <w:lastRenderedPageBreak/>
        <w:drawing>
          <wp:inline distT="0" distB="0" distL="0" distR="0" wp14:anchorId="4A88EFBC" wp14:editId="0261E85A">
            <wp:extent cx="2906395" cy="299148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06395" cy="2991485"/>
                    </a:xfrm>
                    <a:prstGeom prst="rect">
                      <a:avLst/>
                    </a:prstGeom>
                    <a:noFill/>
                    <a:ln>
                      <a:noFill/>
                    </a:ln>
                  </pic:spPr>
                </pic:pic>
              </a:graphicData>
            </a:graphic>
          </wp:inline>
        </w:drawing>
      </w:r>
    </w:p>
    <w:p w14:paraId="2E909FC3" w14:textId="7DFF5D74" w:rsidR="00261981" w:rsidRPr="000819C5" w:rsidRDefault="0078540C" w:rsidP="000819C5">
      <w:pPr>
        <w:pStyle w:val="Caption"/>
        <w:rPr>
          <w:rFonts w:cs="AdvTTe45e47d2"/>
          <w:b w:val="0"/>
        </w:rPr>
      </w:pPr>
      <w:r>
        <w:t xml:space="preserve">Figure </w:t>
      </w:r>
      <w:r w:rsidR="005C6BC3">
        <w:fldChar w:fldCharType="begin"/>
      </w:r>
      <w:r w:rsidR="005C6BC3">
        <w:instrText xml:space="preserve"> SEQ Figure \* ARABIC </w:instrText>
      </w:r>
      <w:r w:rsidR="005C6BC3">
        <w:fldChar w:fldCharType="separate"/>
      </w:r>
      <w:r w:rsidR="00B263AB">
        <w:rPr>
          <w:noProof/>
        </w:rPr>
        <w:t>6</w:t>
      </w:r>
      <w:r w:rsidR="005C6BC3">
        <w:rPr>
          <w:noProof/>
        </w:rPr>
        <w:fldChar w:fldCharType="end"/>
      </w:r>
      <w:r>
        <w:t xml:space="preserve">. </w:t>
      </w:r>
      <w:r w:rsidR="00261981" w:rsidRPr="000819C5">
        <w:rPr>
          <w:rFonts w:cs="AdvTTaf7f9f4f.B"/>
          <w:b w:val="0"/>
        </w:rPr>
        <w:t>2D 13C dynamic MRSI data</w:t>
      </w:r>
      <w:r w:rsidR="00261981" w:rsidRPr="000819C5">
        <w:rPr>
          <w:rFonts w:cs="AdvTTe45e47d2"/>
          <w:b w:val="0"/>
        </w:rPr>
        <w:t>: Images are from a representative patient with a current PSA of3.6 ng/ml, who had biopsy-proven prostate cancer in the left apex (Gleason grade 3 + 4) and received the highest dose of hyperpolarized [1-13</w:t>
      </w:r>
      <w:proofErr w:type="gramStart"/>
      <w:r w:rsidR="00261981" w:rsidRPr="000819C5">
        <w:rPr>
          <w:rFonts w:cs="AdvTTe45e47d2"/>
          <w:b w:val="0"/>
        </w:rPr>
        <w:t>C]pyruvate</w:t>
      </w:r>
      <w:proofErr w:type="gramEnd"/>
      <w:r w:rsidR="00261981" w:rsidRPr="000819C5">
        <w:rPr>
          <w:rFonts w:cs="AdvTTe45e47d2"/>
          <w:b w:val="0"/>
        </w:rPr>
        <w:t xml:space="preserve"> (0.43 ml/kg). (</w:t>
      </w:r>
      <w:r w:rsidR="00261981" w:rsidRPr="000819C5">
        <w:rPr>
          <w:rFonts w:cs="AdvTTaf7f9f4f.B"/>
          <w:b w:val="0"/>
        </w:rPr>
        <w:t>A</w:t>
      </w:r>
      <w:r w:rsidR="00261981" w:rsidRPr="000819C5">
        <w:rPr>
          <w:rFonts w:cs="AdvTTe45e47d2"/>
          <w:b w:val="0"/>
        </w:rPr>
        <w:t xml:space="preserve">) A focus of mild </w:t>
      </w:r>
      <w:proofErr w:type="spellStart"/>
      <w:r w:rsidR="00261981" w:rsidRPr="000819C5">
        <w:rPr>
          <w:rFonts w:cs="AdvTTe45e47d2"/>
          <w:b w:val="0"/>
        </w:rPr>
        <w:t>hypointensity</w:t>
      </w:r>
      <w:proofErr w:type="spellEnd"/>
      <w:r w:rsidR="00261981" w:rsidRPr="000819C5">
        <w:rPr>
          <w:rFonts w:cs="AdvTTe45e47d2"/>
          <w:b w:val="0"/>
        </w:rPr>
        <w:t xml:space="preserve"> can be seen on the T2-weighted image, which was consistent with the biopsy findings. (</w:t>
      </w:r>
      <w:r w:rsidR="00261981" w:rsidRPr="000819C5">
        <w:rPr>
          <w:rFonts w:cs="AdvTTaf7f9f4f.B"/>
          <w:b w:val="0"/>
        </w:rPr>
        <w:t xml:space="preserve">B </w:t>
      </w:r>
      <w:r w:rsidR="00261981" w:rsidRPr="000819C5">
        <w:rPr>
          <w:rFonts w:cs="AdvTTe45e47d2"/>
          <w:b w:val="0"/>
        </w:rPr>
        <w:t xml:space="preserve">to </w:t>
      </w:r>
      <w:r w:rsidR="00261981" w:rsidRPr="000819C5">
        <w:rPr>
          <w:rFonts w:cs="AdvTTaf7f9f4f.B"/>
          <w:b w:val="0"/>
        </w:rPr>
        <w:t>D</w:t>
      </w:r>
      <w:r w:rsidR="00261981" w:rsidRPr="000819C5">
        <w:rPr>
          <w:rFonts w:cs="AdvTTe45e47d2"/>
          <w:b w:val="0"/>
        </w:rPr>
        <w:t>) 2D localized dynamic hyperpolarized [1-13</w:t>
      </w:r>
      <w:proofErr w:type="gramStart"/>
      <w:r w:rsidR="00261981" w:rsidRPr="000819C5">
        <w:rPr>
          <w:rFonts w:cs="AdvTTe45e47d2"/>
          <w:b w:val="0"/>
        </w:rPr>
        <w:t>C]pyruvate</w:t>
      </w:r>
      <w:proofErr w:type="gramEnd"/>
      <w:r w:rsidR="00261981" w:rsidRPr="000819C5">
        <w:rPr>
          <w:rFonts w:cs="AdvTTe45e47d2"/>
          <w:b w:val="0"/>
        </w:rPr>
        <w:t xml:space="preserve"> and [1-13C]lactate from spectral data that were acquired every 5 s from voxels overlapping the contralateral region of prostate (turquoise), a region of prostate cancer (yellow), and a vessel outside the prostate (green). </w:t>
      </w:r>
    </w:p>
    <w:p w14:paraId="7D4DCE55" w14:textId="77777777" w:rsidR="00261981" w:rsidRPr="00650CAE" w:rsidRDefault="00261981" w:rsidP="00650CAE">
      <w:pPr>
        <w:autoSpaceDE w:val="0"/>
        <w:autoSpaceDN w:val="0"/>
        <w:adjustRightInd w:val="0"/>
        <w:ind w:left="142"/>
        <w:rPr>
          <w:rFonts w:cs="AdvTT78ea841c"/>
        </w:rPr>
      </w:pPr>
    </w:p>
    <w:p w14:paraId="2CF1928F" w14:textId="77777777" w:rsidR="00261981" w:rsidRPr="00650CAE" w:rsidRDefault="00261981" w:rsidP="00650CAE">
      <w:pPr>
        <w:autoSpaceDE w:val="0"/>
        <w:autoSpaceDN w:val="0"/>
        <w:adjustRightInd w:val="0"/>
        <w:ind w:left="142"/>
        <w:rPr>
          <w:rFonts w:cs="AdvTT78ea841c"/>
        </w:rPr>
      </w:pPr>
      <w:r w:rsidRPr="00650CAE">
        <w:rPr>
          <w:rFonts w:cs="AdvTT78ea841c"/>
        </w:rPr>
        <w:t>To compare the relative levels of [1-13</w:t>
      </w:r>
      <w:proofErr w:type="gramStart"/>
      <w:r w:rsidRPr="00650CAE">
        <w:rPr>
          <w:rFonts w:cs="AdvTT78ea841c"/>
        </w:rPr>
        <w:t>C]lactate</w:t>
      </w:r>
      <w:proofErr w:type="gramEnd"/>
      <w:r w:rsidRPr="00650CAE">
        <w:rPr>
          <w:rFonts w:cs="AdvTT78ea841c"/>
        </w:rPr>
        <w:t xml:space="preserve"> and [1-13C]pyruvate in regions of tumor versus normal prostate and surrounding tissue, 2D single</w:t>
      </w:r>
      <w:r w:rsidRPr="00650CAE">
        <w:rPr>
          <w:rFonts w:eastAsia="AdvTT78ea841c+20" w:cs="AdvTT78ea841c+20"/>
        </w:rPr>
        <w:t>–</w:t>
      </w:r>
      <w:r w:rsidRPr="00650CAE">
        <w:rPr>
          <w:rFonts w:cs="AdvTT78ea841c"/>
        </w:rPr>
        <w:t xml:space="preserve">time point spatially localized MRSI data were acquired. The </w:t>
      </w:r>
      <w:r w:rsidRPr="00650CAE">
        <w:rPr>
          <w:rFonts w:cs="AdvTT99c4c969"/>
        </w:rPr>
        <w:t>2D single</w:t>
      </w:r>
      <w:r w:rsidRPr="00650CAE">
        <w:rPr>
          <w:rFonts w:cs="AdvTT99c4c969+20"/>
        </w:rPr>
        <w:t>–</w:t>
      </w:r>
      <w:r w:rsidRPr="00650CAE">
        <w:rPr>
          <w:rFonts w:cs="AdvTT99c4c969"/>
        </w:rPr>
        <w:t>time point MRSI, s</w:t>
      </w:r>
      <w:r w:rsidRPr="00650CAE">
        <w:rPr>
          <w:rFonts w:cs="AdvTT78ea841c"/>
        </w:rPr>
        <w:t>pectra were obtained from a 10- to 20-mm axial slice with 12 by 12</w:t>
      </w:r>
      <w:r w:rsidRPr="00650CAE">
        <w:rPr>
          <w:rFonts w:eastAsia="AdvTT78ea841c+20" w:cs="AdvTT78ea841c+20"/>
        </w:rPr>
        <w:t>–</w:t>
      </w:r>
      <w:r w:rsidRPr="00650CAE">
        <w:rPr>
          <w:rFonts w:cs="AdvTT78ea841c"/>
        </w:rPr>
        <w:t xml:space="preserve">phase encodes and 7-mm in plane resolution with a progressive flip angle and TE/TR of 3/85 </w:t>
      </w:r>
      <w:proofErr w:type="spellStart"/>
      <w:r w:rsidRPr="00650CAE">
        <w:rPr>
          <w:rFonts w:cs="AdvTT78ea841c"/>
        </w:rPr>
        <w:t>ms.</w:t>
      </w:r>
      <w:proofErr w:type="spellEnd"/>
      <w:r w:rsidRPr="00650CAE">
        <w:rPr>
          <w:rFonts w:cs="AdvTT78ea841c"/>
        </w:rPr>
        <w:t xml:space="preserve"> The acquisition time was 12 s and started 25 to 33 s after the end of the injection. The variation in slice thickness was required to cover the region of putative tumor. Representative 2D </w:t>
      </w:r>
      <w:proofErr w:type="gramStart"/>
      <w:r w:rsidRPr="00650CAE">
        <w:rPr>
          <w:rFonts w:cs="AdvTT78ea841c"/>
        </w:rPr>
        <w:t>single-point</w:t>
      </w:r>
      <w:proofErr w:type="gramEnd"/>
      <w:r w:rsidRPr="00650CAE">
        <w:rPr>
          <w:rFonts w:cs="AdvTT78ea841c"/>
        </w:rPr>
        <w:t xml:space="preserve"> 13C MRSI are shown below:</w:t>
      </w:r>
    </w:p>
    <w:p w14:paraId="4A903F35" w14:textId="77777777" w:rsidR="00261981" w:rsidRPr="00650CAE" w:rsidRDefault="00261981" w:rsidP="00650CAE">
      <w:pPr>
        <w:autoSpaceDE w:val="0"/>
        <w:autoSpaceDN w:val="0"/>
        <w:adjustRightInd w:val="0"/>
        <w:ind w:left="142"/>
        <w:rPr>
          <w:rFonts w:cs="AdvTT78ea841c"/>
        </w:rPr>
      </w:pPr>
    </w:p>
    <w:p w14:paraId="1AD5A421" w14:textId="77777777" w:rsidR="00261981" w:rsidRPr="00650CAE" w:rsidRDefault="00261981" w:rsidP="00650CAE">
      <w:pPr>
        <w:autoSpaceDE w:val="0"/>
        <w:autoSpaceDN w:val="0"/>
        <w:adjustRightInd w:val="0"/>
        <w:ind w:left="142"/>
        <w:jc w:val="center"/>
        <w:rPr>
          <w:rFonts w:ascii="AdvTT78ea841c" w:hAnsi="AdvTT78ea841c" w:cs="AdvTT78ea841c"/>
          <w:sz w:val="19"/>
          <w:szCs w:val="19"/>
        </w:rPr>
      </w:pPr>
      <w:r>
        <w:rPr>
          <w:noProof/>
        </w:rPr>
        <w:lastRenderedPageBreak/>
        <w:drawing>
          <wp:inline distT="0" distB="0" distL="0" distR="0" wp14:anchorId="011B6B23" wp14:editId="13E9D82A">
            <wp:extent cx="3282315" cy="29673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282315" cy="2967355"/>
                    </a:xfrm>
                    <a:prstGeom prst="rect">
                      <a:avLst/>
                    </a:prstGeom>
                    <a:noFill/>
                    <a:ln>
                      <a:noFill/>
                    </a:ln>
                  </pic:spPr>
                </pic:pic>
              </a:graphicData>
            </a:graphic>
          </wp:inline>
        </w:drawing>
      </w:r>
    </w:p>
    <w:p w14:paraId="11065198" w14:textId="6C85FA6B" w:rsidR="00261981" w:rsidRPr="000819C5" w:rsidRDefault="0078540C" w:rsidP="000819C5">
      <w:pPr>
        <w:pStyle w:val="Caption"/>
        <w:rPr>
          <w:rFonts w:cs="AdvTTe45e47d2"/>
          <w:b w:val="0"/>
        </w:rPr>
      </w:pPr>
      <w:r>
        <w:t xml:space="preserve">Figure </w:t>
      </w:r>
      <w:r w:rsidR="005C6BC3">
        <w:fldChar w:fldCharType="begin"/>
      </w:r>
      <w:r w:rsidR="005C6BC3">
        <w:instrText xml:space="preserve"> SEQ Figure \* ARABIC </w:instrText>
      </w:r>
      <w:r w:rsidR="005C6BC3">
        <w:fldChar w:fldCharType="separate"/>
      </w:r>
      <w:r w:rsidR="00B263AB">
        <w:rPr>
          <w:noProof/>
        </w:rPr>
        <w:t>7</w:t>
      </w:r>
      <w:r w:rsidR="005C6BC3">
        <w:rPr>
          <w:noProof/>
        </w:rPr>
        <w:fldChar w:fldCharType="end"/>
      </w:r>
      <w:r>
        <w:t xml:space="preserve">.  </w:t>
      </w:r>
      <w:r w:rsidR="00261981" w:rsidRPr="000819C5">
        <w:rPr>
          <w:rFonts w:cs="AdvTTaf7f9f4f.B"/>
          <w:b w:val="0"/>
        </w:rPr>
        <w:t>2D single</w:t>
      </w:r>
      <w:r w:rsidR="00261981" w:rsidRPr="000819C5">
        <w:rPr>
          <w:rFonts w:cs="AdvTTaf7f9f4f.B+20"/>
          <w:b w:val="0"/>
        </w:rPr>
        <w:t>–</w:t>
      </w:r>
      <w:r w:rsidR="00261981" w:rsidRPr="000819C5">
        <w:rPr>
          <w:rFonts w:cs="AdvTTaf7f9f4f.B"/>
          <w:b w:val="0"/>
        </w:rPr>
        <w:t xml:space="preserve">time point MRSI data: </w:t>
      </w:r>
      <w:r w:rsidR="00261981" w:rsidRPr="000819C5">
        <w:rPr>
          <w:rFonts w:cs="AdvTTe45e47d2"/>
          <w:b w:val="0"/>
        </w:rPr>
        <w:t>Images were obtained from a patient with serum PSA of</w:t>
      </w:r>
      <w:r w:rsidRPr="000819C5">
        <w:rPr>
          <w:rFonts w:cs="AdvTTe45e47d2"/>
          <w:b w:val="0"/>
        </w:rPr>
        <w:t xml:space="preserve"> </w:t>
      </w:r>
      <w:r w:rsidR="00261981" w:rsidRPr="000819C5">
        <w:rPr>
          <w:rFonts w:cs="AdvTTe45e47d2"/>
          <w:b w:val="0"/>
        </w:rPr>
        <w:t>9.5 ng/ml, who was diagnosed with bilateral biopsy-proven Gleason grade 3 + 3 prostate cancer and received the highest dose of hyperpolarized [1-13</w:t>
      </w:r>
      <w:proofErr w:type="gramStart"/>
      <w:r w:rsidR="00261981" w:rsidRPr="000819C5">
        <w:rPr>
          <w:rFonts w:cs="AdvTTe45e47d2"/>
          <w:b w:val="0"/>
        </w:rPr>
        <w:t>C]pyruvate</w:t>
      </w:r>
      <w:proofErr w:type="gramEnd"/>
      <w:r w:rsidR="00261981" w:rsidRPr="000819C5">
        <w:rPr>
          <w:rFonts w:cs="AdvTTe45e47d2"/>
          <w:b w:val="0"/>
        </w:rPr>
        <w:t xml:space="preserve"> (0.43 ml/kg). The axial T2-weighted image shows a unilateral region of reduced signal intensity (red arrows), which is consistent with a reduction in the corresponding ADC. The 1H spectral arrays supported these findings, with voxels with reduced citrate and elevated choline/citrate (highlighted in pink) on the right side of the gland and voxels with normal metabolite ratios on the left side. The 13C spectral arrays show voxels with elevated levels of hyperpolarized [1-13</w:t>
      </w:r>
      <w:proofErr w:type="gramStart"/>
      <w:r w:rsidR="00261981" w:rsidRPr="000819C5">
        <w:rPr>
          <w:rFonts w:cs="AdvTTe45e47d2"/>
          <w:b w:val="0"/>
        </w:rPr>
        <w:t>C]lactate</w:t>
      </w:r>
      <w:proofErr w:type="gramEnd"/>
      <w:r w:rsidR="00261981" w:rsidRPr="000819C5">
        <w:rPr>
          <w:rFonts w:cs="AdvTTe45e47d2"/>
          <w:b w:val="0"/>
        </w:rPr>
        <w:t>/[1-13C]pyruvate (highlighted in pink) on both the right and left sides of the prostate. The location of colored regions in the metabolite image overlay had a ratio of [1-13</w:t>
      </w:r>
      <w:proofErr w:type="gramStart"/>
      <w:r w:rsidR="00261981" w:rsidRPr="000819C5">
        <w:rPr>
          <w:rFonts w:cs="AdvTTe45e47d2"/>
          <w:b w:val="0"/>
        </w:rPr>
        <w:t>C]lactate</w:t>
      </w:r>
      <w:proofErr w:type="gramEnd"/>
      <w:r w:rsidR="00261981" w:rsidRPr="000819C5">
        <w:rPr>
          <w:rFonts w:cs="AdvTTe45e47d2"/>
          <w:b w:val="0"/>
        </w:rPr>
        <w:t>/[1-13C]pyruvate greater than or equal to 0.6.</w:t>
      </w:r>
    </w:p>
    <w:p w14:paraId="3A74F243" w14:textId="77777777" w:rsidR="00261981" w:rsidRPr="00650CAE" w:rsidRDefault="00261981" w:rsidP="00650CAE">
      <w:pPr>
        <w:autoSpaceDE w:val="0"/>
        <w:autoSpaceDN w:val="0"/>
        <w:adjustRightInd w:val="0"/>
        <w:ind w:left="142"/>
        <w:rPr>
          <w:rFonts w:cs="AdvTT78ea841c"/>
        </w:rPr>
      </w:pPr>
    </w:p>
    <w:p w14:paraId="337EB71A" w14:textId="07C173EB" w:rsidR="00261981" w:rsidRPr="00650CAE" w:rsidRDefault="00DD2D09" w:rsidP="00650CAE">
      <w:pPr>
        <w:autoSpaceDE w:val="0"/>
        <w:autoSpaceDN w:val="0"/>
        <w:adjustRightInd w:val="0"/>
        <w:ind w:left="142"/>
        <w:rPr>
          <w:rFonts w:cs="AdvTT78ea841c"/>
        </w:rPr>
      </w:pPr>
      <w:r w:rsidRPr="00650CAE">
        <w:rPr>
          <w:rFonts w:cs="AdvTT78ea841c"/>
        </w:rPr>
        <w:t>To</w:t>
      </w:r>
      <w:r w:rsidR="00261981" w:rsidRPr="00650CAE">
        <w:rPr>
          <w:rFonts w:cs="AdvTT78ea841c"/>
        </w:rPr>
        <w:t xml:space="preserve"> obtain an accurate estimate of the ratio of [1-13</w:t>
      </w:r>
      <w:proofErr w:type="gramStart"/>
      <w:r w:rsidR="00261981" w:rsidRPr="00650CAE">
        <w:rPr>
          <w:rFonts w:cs="AdvTT78ea841c"/>
        </w:rPr>
        <w:t>C]lactate</w:t>
      </w:r>
      <w:proofErr w:type="gramEnd"/>
      <w:r w:rsidR="00261981" w:rsidRPr="00650CAE">
        <w:rPr>
          <w:rFonts w:cs="AdvTT78ea841c"/>
        </w:rPr>
        <w:t xml:space="preserve">/[1-13C]pyruvate for tumor versus normal tissue, </w:t>
      </w:r>
      <w:r w:rsidR="00261981" w:rsidRPr="00650CAE">
        <w:rPr>
          <w:rFonts w:cs="AdvTT99c4c969"/>
        </w:rPr>
        <w:t>3D single</w:t>
      </w:r>
      <w:r w:rsidR="00261981" w:rsidRPr="00650CAE">
        <w:rPr>
          <w:rFonts w:cs="AdvTT99c4c969+20"/>
        </w:rPr>
        <w:t>–</w:t>
      </w:r>
      <w:r w:rsidR="00261981" w:rsidRPr="00650CAE">
        <w:rPr>
          <w:rFonts w:cs="AdvTT99c4c969"/>
        </w:rPr>
        <w:t>time point MRSI were acquired. A</w:t>
      </w:r>
      <w:r w:rsidR="00261981" w:rsidRPr="00650CAE">
        <w:rPr>
          <w:rFonts w:cs="AdvTT78ea841c"/>
        </w:rPr>
        <w:t xml:space="preserve"> 3D array of spectra was obtained from a 43- to 120-mm axial slice with 12 by 8 to 12</w:t>
      </w:r>
      <w:r w:rsidR="00261981" w:rsidRPr="00650CAE">
        <w:rPr>
          <w:rFonts w:eastAsia="AdvTT78ea841c+20" w:cs="AdvTT78ea841c+20"/>
        </w:rPr>
        <w:t>–</w:t>
      </w:r>
      <w:r w:rsidR="00261981" w:rsidRPr="00650CAE">
        <w:rPr>
          <w:rFonts w:cs="AdvTT78ea841c"/>
        </w:rPr>
        <w:t xml:space="preserve">phase encodes and 18 echo planar frequency encodes. The in-plane resolution was 7 </w:t>
      </w:r>
      <w:proofErr w:type="gramStart"/>
      <w:r w:rsidR="00261981" w:rsidRPr="00650CAE">
        <w:rPr>
          <w:rFonts w:cs="AdvTT78ea841c"/>
        </w:rPr>
        <w:t>mm</w:t>
      </w:r>
      <w:proofErr w:type="gramEnd"/>
      <w:r w:rsidR="00261981" w:rsidRPr="00650CAE">
        <w:rPr>
          <w:rFonts w:cs="AdvTT78ea841c"/>
        </w:rPr>
        <w:t xml:space="preserve"> and the through-plane resolution was 7 to 15 mm, with a progressive flip angle and TE/TR of 3/85 to 125 </w:t>
      </w:r>
      <w:proofErr w:type="spellStart"/>
      <w:r w:rsidR="00261981" w:rsidRPr="00650CAE">
        <w:rPr>
          <w:rFonts w:cs="AdvTT78ea841c"/>
        </w:rPr>
        <w:t>ms.</w:t>
      </w:r>
      <w:proofErr w:type="spellEnd"/>
      <w:r w:rsidR="00261981" w:rsidRPr="00650CAE">
        <w:rPr>
          <w:rFonts w:cs="AdvTT78ea841c"/>
        </w:rPr>
        <w:t xml:space="preserve"> Variations of the in-plane slice thickness, number of </w:t>
      </w:r>
      <w:proofErr w:type="gramStart"/>
      <w:r w:rsidR="00261981" w:rsidRPr="00650CAE">
        <w:rPr>
          <w:rFonts w:cs="AdvTT78ea841c"/>
        </w:rPr>
        <w:t>phase</w:t>
      </w:r>
      <w:proofErr w:type="gramEnd"/>
      <w:r w:rsidR="00261981" w:rsidRPr="00650CAE">
        <w:rPr>
          <w:rFonts w:cs="AdvTT78ea841c"/>
        </w:rPr>
        <w:t xml:space="preserve"> encodes, and spatial resolution were driven by differences in the size of the prostate and the spatial extent of the region of tumor. The acquisition time was 8 to 12 s, and it started 25 to 33 s after the end of the injection. Representative 3D </w:t>
      </w:r>
      <w:proofErr w:type="gramStart"/>
      <w:r w:rsidR="00261981" w:rsidRPr="00650CAE">
        <w:rPr>
          <w:rFonts w:cs="AdvTT78ea841c"/>
        </w:rPr>
        <w:t>single-point</w:t>
      </w:r>
      <w:proofErr w:type="gramEnd"/>
      <w:r w:rsidR="00261981" w:rsidRPr="00650CAE">
        <w:rPr>
          <w:rFonts w:cs="AdvTT78ea841c"/>
        </w:rPr>
        <w:t xml:space="preserve"> 13C MRSI are shown below:</w:t>
      </w:r>
    </w:p>
    <w:p w14:paraId="1F433438" w14:textId="77777777" w:rsidR="00261981" w:rsidRPr="00650CAE" w:rsidRDefault="00261981" w:rsidP="00650CAE">
      <w:pPr>
        <w:autoSpaceDE w:val="0"/>
        <w:autoSpaceDN w:val="0"/>
        <w:adjustRightInd w:val="0"/>
        <w:ind w:left="142"/>
        <w:rPr>
          <w:rFonts w:ascii="AdvTTaf7f9f4f.B" w:hAnsi="AdvTTaf7f9f4f.B" w:cs="AdvTTaf7f9f4f.B"/>
          <w:sz w:val="19"/>
          <w:szCs w:val="19"/>
        </w:rPr>
      </w:pPr>
    </w:p>
    <w:p w14:paraId="7036FEAA" w14:textId="77777777" w:rsidR="00261981" w:rsidRPr="00650CAE" w:rsidRDefault="00261981" w:rsidP="00650CAE">
      <w:pPr>
        <w:autoSpaceDE w:val="0"/>
        <w:autoSpaceDN w:val="0"/>
        <w:adjustRightInd w:val="0"/>
        <w:ind w:left="142"/>
        <w:rPr>
          <w:rFonts w:ascii="AdvTT78ea841c" w:hAnsi="AdvTT78ea841c" w:cs="AdvTT78ea841c"/>
          <w:sz w:val="19"/>
          <w:szCs w:val="19"/>
        </w:rPr>
      </w:pPr>
    </w:p>
    <w:p w14:paraId="08D4B40D" w14:textId="77777777" w:rsidR="00261981" w:rsidRPr="00650CAE" w:rsidRDefault="00261981" w:rsidP="00650CAE">
      <w:pPr>
        <w:autoSpaceDE w:val="0"/>
        <w:autoSpaceDN w:val="0"/>
        <w:adjustRightInd w:val="0"/>
        <w:ind w:left="142"/>
        <w:jc w:val="center"/>
        <w:rPr>
          <w:rFonts w:ascii="AdvTT78ea841c" w:hAnsi="AdvTT78ea841c" w:cs="AdvTT78ea841c"/>
          <w:sz w:val="19"/>
          <w:szCs w:val="19"/>
        </w:rPr>
      </w:pPr>
      <w:r>
        <w:rPr>
          <w:noProof/>
        </w:rPr>
        <w:lastRenderedPageBreak/>
        <w:drawing>
          <wp:inline distT="0" distB="0" distL="0" distR="0" wp14:anchorId="0D168172" wp14:editId="3370AFFD">
            <wp:extent cx="3288030" cy="2543175"/>
            <wp:effectExtent l="0" t="0" r="762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288030" cy="2543175"/>
                    </a:xfrm>
                    <a:prstGeom prst="rect">
                      <a:avLst/>
                    </a:prstGeom>
                    <a:noFill/>
                    <a:ln>
                      <a:noFill/>
                    </a:ln>
                  </pic:spPr>
                </pic:pic>
              </a:graphicData>
            </a:graphic>
          </wp:inline>
        </w:drawing>
      </w:r>
    </w:p>
    <w:p w14:paraId="630C069A" w14:textId="3688641D" w:rsidR="00261981" w:rsidRPr="000819C5" w:rsidRDefault="0078540C" w:rsidP="000819C5">
      <w:pPr>
        <w:pStyle w:val="Caption"/>
        <w:rPr>
          <w:rFonts w:cs="AdvTTe45e47d2"/>
          <w:b w:val="0"/>
        </w:rPr>
      </w:pPr>
      <w:r>
        <w:t xml:space="preserve">Figure </w:t>
      </w:r>
      <w:r w:rsidR="005C6BC3">
        <w:fldChar w:fldCharType="begin"/>
      </w:r>
      <w:r w:rsidR="005C6BC3">
        <w:instrText xml:space="preserve"> SEQ Figure \* ARABIC </w:instrText>
      </w:r>
      <w:r w:rsidR="005C6BC3">
        <w:fldChar w:fldCharType="separate"/>
      </w:r>
      <w:r w:rsidR="00B263AB">
        <w:rPr>
          <w:noProof/>
        </w:rPr>
        <w:t>8</w:t>
      </w:r>
      <w:r w:rsidR="005C6BC3">
        <w:rPr>
          <w:noProof/>
        </w:rPr>
        <w:fldChar w:fldCharType="end"/>
      </w:r>
      <w:r>
        <w:t xml:space="preserve">. </w:t>
      </w:r>
      <w:r w:rsidR="00261981" w:rsidRPr="000819C5">
        <w:rPr>
          <w:rFonts w:cs="AdvTTaf7f9f4f.B"/>
          <w:b w:val="0"/>
        </w:rPr>
        <w:t>3D single</w:t>
      </w:r>
      <w:r w:rsidR="00261981" w:rsidRPr="000819C5">
        <w:rPr>
          <w:rFonts w:cs="AdvTTaf7f9f4f.B+20"/>
          <w:b w:val="0"/>
        </w:rPr>
        <w:t>–</w:t>
      </w:r>
      <w:r w:rsidR="00261981" w:rsidRPr="000819C5">
        <w:rPr>
          <w:rFonts w:cs="AdvTTaf7f9f4f.B"/>
          <w:b w:val="0"/>
        </w:rPr>
        <w:t xml:space="preserve">time point localized MRSI data: </w:t>
      </w:r>
      <w:r w:rsidR="00261981" w:rsidRPr="000819C5">
        <w:rPr>
          <w:rFonts w:cs="AdvTTe45e47d2"/>
          <w:b w:val="0"/>
        </w:rPr>
        <w:t xml:space="preserve">Images were obtained from </w:t>
      </w:r>
      <w:r>
        <w:rPr>
          <w:rFonts w:cs="AdvTTe45e47d2"/>
          <w:b w:val="0"/>
        </w:rPr>
        <w:t xml:space="preserve">a </w:t>
      </w:r>
      <w:r w:rsidR="00261981" w:rsidRPr="000819C5">
        <w:rPr>
          <w:rFonts w:cs="AdvTTe45e47d2"/>
          <w:b w:val="0"/>
        </w:rPr>
        <w:t>patient who had a serum PSA of 4.5 ng/ml, was originally diagnosed with bilateral biopsy-proven Gleason grade 3 + 3 prostate cancer, and received the highest dose of hyperpolarized [1-13</w:t>
      </w:r>
      <w:proofErr w:type="gramStart"/>
      <w:r w:rsidR="00261981" w:rsidRPr="000819C5">
        <w:rPr>
          <w:rFonts w:cs="AdvTTe45e47d2"/>
          <w:b w:val="0"/>
        </w:rPr>
        <w:t>C]pyruvate</w:t>
      </w:r>
      <w:proofErr w:type="gramEnd"/>
      <w:r w:rsidR="00261981" w:rsidRPr="000819C5">
        <w:rPr>
          <w:rFonts w:cs="AdvTTe45e47d2"/>
          <w:b w:val="0"/>
        </w:rPr>
        <w:t xml:space="preserve"> (0.43 ml/kg). Upper panel: axial T2-weighted images and corresponding spectral array with the area of putative tumor highlighted by pink shading. A region of tumor was observed on the T2-weighted images (red arrows), as well as on ADC images and 1H MRSI data. A region of relatively high hyperpolarized [1-13</w:t>
      </w:r>
      <w:proofErr w:type="gramStart"/>
      <w:r w:rsidR="00261981" w:rsidRPr="000819C5">
        <w:rPr>
          <w:rFonts w:cs="AdvTTe45e47d2"/>
          <w:b w:val="0"/>
        </w:rPr>
        <w:t>C]lactate</w:t>
      </w:r>
      <w:proofErr w:type="gramEnd"/>
      <w:r w:rsidR="00261981" w:rsidRPr="000819C5">
        <w:rPr>
          <w:rFonts w:cs="AdvTTe45e47d2"/>
          <w:b w:val="0"/>
        </w:rPr>
        <w:t xml:space="preserve"> was observed in the same location as the abnormalities that had been observed on the multi-parametric 1H staging exam. Lower panels: axial T2 images with and without metabolite overlays for different axial slices from the same patient. The colored regions in these overlays have a ratio of [1-13</w:t>
      </w:r>
      <w:proofErr w:type="gramStart"/>
      <w:r w:rsidR="00261981" w:rsidRPr="000819C5">
        <w:rPr>
          <w:rFonts w:cs="AdvTTe45e47d2"/>
          <w:b w:val="0"/>
        </w:rPr>
        <w:t>C]lactate</w:t>
      </w:r>
      <w:proofErr w:type="gramEnd"/>
      <w:r w:rsidR="00261981" w:rsidRPr="000819C5">
        <w:rPr>
          <w:rFonts w:cs="AdvTTe45e47d2"/>
          <w:b w:val="0"/>
        </w:rPr>
        <w:t xml:space="preserve">/[1-13C]pyruvate </w:t>
      </w:r>
      <w:r w:rsidR="00261981" w:rsidRPr="000819C5">
        <w:rPr>
          <w:rFonts w:eastAsia="AdvTTe45e47d2+22" w:cs="AdvTTe45e47d2+22"/>
          <w:b w:val="0"/>
        </w:rPr>
        <w:t>≥</w:t>
      </w:r>
      <w:r w:rsidR="00261981" w:rsidRPr="000819C5">
        <w:rPr>
          <w:rFonts w:cs="AdvTTe45e47d2"/>
          <w:b w:val="0"/>
        </w:rPr>
        <w:t xml:space="preserve">0.2. </w:t>
      </w:r>
    </w:p>
    <w:p w14:paraId="5F661E68" w14:textId="77777777" w:rsidR="00261981" w:rsidRPr="00650CAE" w:rsidRDefault="00261981" w:rsidP="00650CAE">
      <w:pPr>
        <w:autoSpaceDE w:val="0"/>
        <w:autoSpaceDN w:val="0"/>
        <w:adjustRightInd w:val="0"/>
        <w:ind w:left="142"/>
        <w:rPr>
          <w:rFonts w:cs="AdvTTe45e47d2"/>
        </w:rPr>
      </w:pPr>
    </w:p>
    <w:p w14:paraId="6BA95B2A" w14:textId="77777777" w:rsidR="00261981" w:rsidRPr="00650CAE" w:rsidRDefault="00261981" w:rsidP="00650CAE">
      <w:pPr>
        <w:autoSpaceDE w:val="0"/>
        <w:autoSpaceDN w:val="0"/>
        <w:adjustRightInd w:val="0"/>
        <w:ind w:left="142"/>
        <w:jc w:val="center"/>
        <w:rPr>
          <w:rFonts w:cs="AdvTT78ea841c"/>
        </w:rPr>
      </w:pPr>
      <w:r>
        <w:rPr>
          <w:noProof/>
        </w:rPr>
        <w:drawing>
          <wp:inline distT="0" distB="0" distL="0" distR="0" wp14:anchorId="051C4414" wp14:editId="286C5DAD">
            <wp:extent cx="3015615" cy="18224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015615" cy="1822450"/>
                    </a:xfrm>
                    <a:prstGeom prst="rect">
                      <a:avLst/>
                    </a:prstGeom>
                    <a:noFill/>
                    <a:ln>
                      <a:noFill/>
                    </a:ln>
                  </pic:spPr>
                </pic:pic>
              </a:graphicData>
            </a:graphic>
          </wp:inline>
        </w:drawing>
      </w:r>
    </w:p>
    <w:p w14:paraId="5B1B3CDD" w14:textId="77777777" w:rsidR="00261981" w:rsidRPr="00650CAE" w:rsidRDefault="00261981" w:rsidP="00650CAE">
      <w:pPr>
        <w:autoSpaceDE w:val="0"/>
        <w:autoSpaceDN w:val="0"/>
        <w:adjustRightInd w:val="0"/>
        <w:ind w:left="142"/>
        <w:rPr>
          <w:rFonts w:ascii="AdvTT78ea841c" w:hAnsi="AdvTT78ea841c" w:cs="AdvTT78ea841c"/>
          <w:sz w:val="19"/>
          <w:szCs w:val="19"/>
        </w:rPr>
      </w:pPr>
    </w:p>
    <w:p w14:paraId="3EFAC5A0" w14:textId="1A854190" w:rsidR="00261981" w:rsidRPr="000819C5" w:rsidRDefault="0078540C" w:rsidP="00422216">
      <w:pPr>
        <w:pStyle w:val="Caption"/>
        <w:keepNext w:val="0"/>
        <w:rPr>
          <w:rFonts w:cs="AdvTTe45e47d2"/>
          <w:b w:val="0"/>
        </w:rPr>
      </w:pPr>
      <w:r>
        <w:t xml:space="preserve">Figure </w:t>
      </w:r>
      <w:r w:rsidR="005C6BC3">
        <w:fldChar w:fldCharType="begin"/>
      </w:r>
      <w:r w:rsidR="005C6BC3">
        <w:instrText xml:space="preserve"> SEQ Figure \* ARABIC </w:instrText>
      </w:r>
      <w:r w:rsidR="005C6BC3">
        <w:fldChar w:fldCharType="separate"/>
      </w:r>
      <w:r w:rsidR="00B263AB">
        <w:rPr>
          <w:noProof/>
        </w:rPr>
        <w:t>9</w:t>
      </w:r>
      <w:r w:rsidR="005C6BC3">
        <w:rPr>
          <w:noProof/>
        </w:rPr>
        <w:fldChar w:fldCharType="end"/>
      </w:r>
      <w:r>
        <w:t xml:space="preserve">.  </w:t>
      </w:r>
      <w:r w:rsidR="00261981" w:rsidRPr="000819C5">
        <w:rPr>
          <w:rFonts w:cs="AdvTTaf7f9f4f.B"/>
          <w:b w:val="0"/>
        </w:rPr>
        <w:t>Patient’s representative 3D single</w:t>
      </w:r>
      <w:r w:rsidR="00261981" w:rsidRPr="000819C5">
        <w:rPr>
          <w:rFonts w:cs="AdvTTaf7f9f4f.B+20"/>
          <w:b w:val="0"/>
        </w:rPr>
        <w:t>–</w:t>
      </w:r>
      <w:r w:rsidR="00261981" w:rsidRPr="000819C5">
        <w:rPr>
          <w:rFonts w:cs="AdvTTaf7f9f4f.B"/>
          <w:b w:val="0"/>
        </w:rPr>
        <w:t xml:space="preserve">time point MRSI data: </w:t>
      </w:r>
      <w:r w:rsidR="00261981" w:rsidRPr="000819C5">
        <w:rPr>
          <w:rFonts w:cs="AdvTTe45e47d2"/>
          <w:b w:val="0"/>
        </w:rPr>
        <w:t>The axial T2-weighted images and overlays of hyperpolarized [1-13</w:t>
      </w:r>
      <w:proofErr w:type="gramStart"/>
      <w:r w:rsidR="00261981" w:rsidRPr="000819C5">
        <w:rPr>
          <w:rFonts w:cs="AdvTTe45e47d2"/>
          <w:b w:val="0"/>
        </w:rPr>
        <w:t>C]lactate</w:t>
      </w:r>
      <w:proofErr w:type="gramEnd"/>
      <w:r w:rsidR="00261981" w:rsidRPr="000819C5">
        <w:rPr>
          <w:rFonts w:cs="AdvTTe45e47d2"/>
          <w:b w:val="0"/>
        </w:rPr>
        <w:t>/[1-13C]pyruvate. All three of patients had biopsy-proven Gleason grade 3 + 3 prostate cancer and received the highest dose of hyperpolarized [1-13</w:t>
      </w:r>
      <w:proofErr w:type="gramStart"/>
      <w:r w:rsidR="00261981" w:rsidRPr="000819C5">
        <w:rPr>
          <w:rFonts w:cs="AdvTTe45e47d2"/>
          <w:b w:val="0"/>
        </w:rPr>
        <w:t>C]pyruvate</w:t>
      </w:r>
      <w:proofErr w:type="gramEnd"/>
      <w:r w:rsidR="00261981" w:rsidRPr="000819C5">
        <w:rPr>
          <w:rFonts w:cs="AdvTTe45e47d2"/>
          <w:b w:val="0"/>
        </w:rPr>
        <w:t xml:space="preserve"> (0.43 ml/kg). Patient B had a current PSA of 5.1 ng/ml, patient C had a PSA of 9.8 ng/ml, and patient D had a PSA of 1.9 ng/ml. </w:t>
      </w:r>
    </w:p>
    <w:p w14:paraId="0AA9D3F4" w14:textId="2BE42941" w:rsidR="001262A8" w:rsidRPr="006B5FA0" w:rsidRDefault="00702FD0" w:rsidP="00422216">
      <w:pPr>
        <w:pStyle w:val="Heading2"/>
      </w:pPr>
      <w:bookmarkStart w:id="185" w:name="_Ref33511010"/>
      <w:bookmarkStart w:id="186" w:name="_Toc34900002"/>
      <w:bookmarkStart w:id="187" w:name="_Toc33702531"/>
      <w:bookmarkStart w:id="188" w:name="_Toc176276958"/>
      <w:r>
        <w:lastRenderedPageBreak/>
        <w:t xml:space="preserve">6.4 </w:t>
      </w:r>
      <w:r>
        <w:tab/>
      </w:r>
      <w:r w:rsidR="00456B59" w:rsidRPr="006B5FA0">
        <w:t>Literature reported studies</w:t>
      </w:r>
      <w:bookmarkEnd w:id="185"/>
      <w:bookmarkEnd w:id="186"/>
      <w:bookmarkEnd w:id="187"/>
      <w:bookmarkEnd w:id="188"/>
    </w:p>
    <w:p w14:paraId="7CE46FCF" w14:textId="2388C182" w:rsidR="00957F89" w:rsidRPr="005F6CE7" w:rsidRDefault="003008B2" w:rsidP="00422216">
      <w:pPr>
        <w:pStyle w:val="Heading3"/>
        <w:rPr>
          <w:szCs w:val="24"/>
        </w:rPr>
      </w:pPr>
      <w:bookmarkStart w:id="189" w:name="_Toc34900003"/>
      <w:bookmarkStart w:id="190" w:name="_Toc33702532"/>
      <w:bookmarkStart w:id="191" w:name="_Toc176276959"/>
      <w:r w:rsidRPr="00261981">
        <w:rPr>
          <w:rFonts w:cs="AdvTTaf7f9f4f.B"/>
          <w:color w:val="0070C0"/>
        </w:rPr>
        <w:t>6.</w:t>
      </w:r>
      <w:r>
        <w:rPr>
          <w:rFonts w:cs="AdvTTaf7f9f4f.B"/>
          <w:color w:val="0070C0"/>
        </w:rPr>
        <w:t>4</w:t>
      </w:r>
      <w:r w:rsidRPr="00261981">
        <w:rPr>
          <w:rFonts w:cs="AdvTTaf7f9f4f.B"/>
          <w:color w:val="0070C0"/>
        </w:rPr>
        <w:t>.</w:t>
      </w:r>
      <w:r w:rsidR="00E31F5E">
        <w:rPr>
          <w:rFonts w:cs="AdvTTaf7f9f4f.B"/>
          <w:color w:val="0070C0"/>
        </w:rPr>
        <w:t>1</w:t>
      </w:r>
      <w:r w:rsidRPr="00261981">
        <w:rPr>
          <w:rFonts w:cs="AdvTTaf7f9f4f.B"/>
          <w:color w:val="0070C0"/>
        </w:rPr>
        <w:t xml:space="preserve"> </w:t>
      </w:r>
      <w:r w:rsidR="00BA549F">
        <w:rPr>
          <w:rFonts w:cs="AdvTTaf7f9f4f.B"/>
          <w:color w:val="0070C0"/>
        </w:rPr>
        <w:tab/>
      </w:r>
      <w:r>
        <w:t xml:space="preserve">Hyperpolarized </w:t>
      </w:r>
      <w:r w:rsidRPr="003F4FAF">
        <w:rPr>
          <w:sz w:val="21"/>
        </w:rPr>
        <w:t>13</w:t>
      </w:r>
      <w:r>
        <w:t>C Metabolic MRI</w:t>
      </w:r>
      <w:r w:rsidR="00047711" w:rsidRPr="006B5FA0">
        <w:t xml:space="preserve"> of the Human Heart: Initial Experience</w:t>
      </w:r>
      <w:r w:rsidR="00A1182E">
        <w:t xml:space="preserve"> </w:t>
      </w:r>
      <w:r w:rsidR="00A1182E" w:rsidRPr="0022012C">
        <w:rPr>
          <w:szCs w:val="24"/>
        </w:rPr>
        <w:t>(</w:t>
      </w:r>
      <w:r w:rsidR="00A1182E" w:rsidRPr="005F6CE7">
        <w:rPr>
          <w:szCs w:val="24"/>
        </w:rPr>
        <w:t>NCT02648009)</w:t>
      </w:r>
      <w:bookmarkEnd w:id="189"/>
      <w:bookmarkEnd w:id="190"/>
      <w:bookmarkEnd w:id="191"/>
    </w:p>
    <w:p w14:paraId="0E493D4A" w14:textId="77777777" w:rsidR="00BB1E54" w:rsidRPr="006B5FA0" w:rsidRDefault="00BB1E54" w:rsidP="00422216">
      <w:pPr>
        <w:keepNext/>
        <w:rPr>
          <w:b/>
          <w:bCs/>
        </w:rPr>
      </w:pPr>
    </w:p>
    <w:p w14:paraId="05B09FF5" w14:textId="2B174E07" w:rsidR="002062DC" w:rsidRPr="006B5FA0" w:rsidRDefault="00BA549F" w:rsidP="002062DC">
      <w:pPr>
        <w:widowControl/>
        <w:autoSpaceDE w:val="0"/>
        <w:autoSpaceDN w:val="0"/>
        <w:adjustRightInd w:val="0"/>
        <w:rPr>
          <w:rFonts w:cstheme="minorHAnsi"/>
        </w:rPr>
      </w:pPr>
      <w:r w:rsidRPr="009C5E0A">
        <w:t>In this report by Cunningham (2016</w:t>
      </w:r>
      <w:r w:rsidRPr="006B5FA0">
        <w:rPr>
          <w:rFonts w:cstheme="minorHAnsi"/>
        </w:rPr>
        <w:t>)</w:t>
      </w:r>
      <w:r w:rsidR="002062DC" w:rsidRPr="006B5FA0">
        <w:rPr>
          <w:rFonts w:cstheme="minorHAnsi"/>
        </w:rPr>
        <w:t xml:space="preserve"> </w:t>
      </w:r>
      <w:r w:rsidR="00476137">
        <w:rPr>
          <w:rFonts w:cstheme="minorHAnsi"/>
        </w:rPr>
        <w:t>f</w:t>
      </w:r>
      <w:r w:rsidR="002062DC" w:rsidRPr="006B5FA0">
        <w:rPr>
          <w:rFonts w:cstheme="minorHAnsi"/>
        </w:rPr>
        <w:t xml:space="preserve">our healthy subjects underwent conventional proton cardiac magnetic resonance imaging followed by </w:t>
      </w:r>
      <w:r w:rsidR="00476137" w:rsidRPr="006B5FA0">
        <w:rPr>
          <w:rFonts w:cstheme="minorHAnsi"/>
          <w:vertAlign w:val="superscript"/>
        </w:rPr>
        <w:t>13</w:t>
      </w:r>
      <w:r w:rsidR="00476137" w:rsidRPr="006B5FA0">
        <w:rPr>
          <w:rFonts w:cstheme="minorHAnsi"/>
        </w:rPr>
        <w:t>C</w:t>
      </w:r>
      <w:r w:rsidR="00476137" w:rsidRPr="006B5FA0" w:rsidDel="00476137">
        <w:rPr>
          <w:rFonts w:cstheme="minorHAnsi"/>
        </w:rPr>
        <w:t xml:space="preserve"> </w:t>
      </w:r>
      <w:r w:rsidR="002062DC" w:rsidRPr="006B5FA0">
        <w:rPr>
          <w:rFonts w:cstheme="minorHAnsi"/>
        </w:rPr>
        <w:t>imaging and spectroscopic acquisition immediately after intravenous administration of a 0.1 mmol/kg dose of hyperpolarized [1-</w:t>
      </w:r>
      <w:r w:rsidR="00696054">
        <w:rPr>
          <w:rFonts w:ascii="Times-Bold" w:hAnsi="Times-Bold" w:cs="Times-Bold"/>
          <w:sz w:val="12"/>
          <w:szCs w:val="12"/>
          <w:vertAlign w:val="superscript"/>
        </w:rPr>
        <w:t>13</w:t>
      </w:r>
      <w:proofErr w:type="gramStart"/>
      <w:r w:rsidR="00696054" w:rsidRPr="007B5176">
        <w:rPr>
          <w:rFonts w:ascii="Times-Bold" w:hAnsi="Times-Bold" w:cs="Times-Bold"/>
          <w:sz w:val="20"/>
          <w:szCs w:val="20"/>
        </w:rPr>
        <w:t>C</w:t>
      </w:r>
      <w:r w:rsidR="002062DC" w:rsidRPr="006B5FA0">
        <w:rPr>
          <w:rFonts w:cstheme="minorHAnsi"/>
        </w:rPr>
        <w:t>]pyruvate</w:t>
      </w:r>
      <w:proofErr w:type="gramEnd"/>
      <w:r w:rsidR="002062DC" w:rsidRPr="006B5FA0">
        <w:rPr>
          <w:rFonts w:cstheme="minorHAnsi"/>
        </w:rPr>
        <w:t>. All subjects tolerated the procedure well with no adverse effects reported</w:t>
      </w:r>
      <w:r w:rsidR="00400D21" w:rsidRPr="006B5FA0">
        <w:rPr>
          <w:rFonts w:cstheme="minorHAnsi"/>
        </w:rPr>
        <w:t xml:space="preserve"> </w:t>
      </w:r>
      <w:r w:rsidR="002062DC" w:rsidRPr="006B5FA0">
        <w:rPr>
          <w:rFonts w:eastAsia="GandhariUnicode-Bold" w:cstheme="minorHAnsi"/>
        </w:rPr>
        <w:t>≤</w:t>
      </w:r>
      <w:r w:rsidR="002062DC" w:rsidRPr="006B5FA0">
        <w:rPr>
          <w:rFonts w:cstheme="minorHAnsi"/>
        </w:rPr>
        <w:t>1month post procedure. The [1-</w:t>
      </w:r>
      <w:r w:rsidR="00476137" w:rsidRPr="006B5FA0">
        <w:rPr>
          <w:rFonts w:cstheme="minorHAnsi"/>
          <w:vertAlign w:val="superscript"/>
        </w:rPr>
        <w:t>13</w:t>
      </w:r>
      <w:proofErr w:type="gramStart"/>
      <w:r w:rsidR="002062DC" w:rsidRPr="006B5FA0">
        <w:rPr>
          <w:rFonts w:cstheme="minorHAnsi"/>
        </w:rPr>
        <w:t>C]pyruvate</w:t>
      </w:r>
      <w:proofErr w:type="gramEnd"/>
      <w:r w:rsidR="002062DC" w:rsidRPr="006B5FA0">
        <w:rPr>
          <w:rFonts w:cstheme="minorHAnsi"/>
        </w:rPr>
        <w:t xml:space="preserve"> signal appeared within the chambers but not within the muscle.</w:t>
      </w:r>
      <w:r w:rsidR="00400D21" w:rsidRPr="006B5FA0">
        <w:rPr>
          <w:rFonts w:cstheme="minorHAnsi"/>
        </w:rPr>
        <w:t xml:space="preserve"> </w:t>
      </w:r>
      <w:r w:rsidR="002062DC" w:rsidRPr="006B5FA0">
        <w:rPr>
          <w:rFonts w:cstheme="minorHAnsi"/>
        </w:rPr>
        <w:t xml:space="preserve">Imaging of the downstream metabolites showed </w:t>
      </w:r>
      <w:r w:rsidR="00476137" w:rsidRPr="006B5FA0">
        <w:rPr>
          <w:rFonts w:cstheme="minorHAnsi"/>
          <w:vertAlign w:val="superscript"/>
        </w:rPr>
        <w:t>13</w:t>
      </w:r>
      <w:r w:rsidR="00476137" w:rsidRPr="006B5FA0">
        <w:rPr>
          <w:rFonts w:cstheme="minorHAnsi"/>
        </w:rPr>
        <w:t>C</w:t>
      </w:r>
      <w:r w:rsidR="00476137" w:rsidRPr="006B5FA0" w:rsidDel="00476137">
        <w:rPr>
          <w:rFonts w:cstheme="minorHAnsi"/>
        </w:rPr>
        <w:t xml:space="preserve"> </w:t>
      </w:r>
      <w:r w:rsidR="002062DC" w:rsidRPr="006B5FA0">
        <w:rPr>
          <w:rFonts w:cstheme="minorHAnsi"/>
        </w:rPr>
        <w:t>-bicarbonate signal mainly confined to the left ventricular</w:t>
      </w:r>
      <w:r w:rsidR="00400D21" w:rsidRPr="006B5FA0">
        <w:rPr>
          <w:rFonts w:cstheme="minorHAnsi"/>
        </w:rPr>
        <w:t xml:space="preserve"> </w:t>
      </w:r>
      <w:r w:rsidR="002062DC" w:rsidRPr="006B5FA0">
        <w:rPr>
          <w:rFonts w:cstheme="minorHAnsi"/>
        </w:rPr>
        <w:t>myocardium, whereas the [1-13</w:t>
      </w:r>
      <w:proofErr w:type="gramStart"/>
      <w:r w:rsidR="002062DC" w:rsidRPr="006B5FA0">
        <w:rPr>
          <w:rFonts w:cstheme="minorHAnsi"/>
        </w:rPr>
        <w:t>C]lactate</w:t>
      </w:r>
      <w:proofErr w:type="gramEnd"/>
      <w:r w:rsidR="002062DC" w:rsidRPr="006B5FA0">
        <w:rPr>
          <w:rFonts w:cstheme="minorHAnsi"/>
        </w:rPr>
        <w:t xml:space="preserve"> signal appeared both within the chambers and in the myocardium. The</w:t>
      </w:r>
      <w:r w:rsidR="00400D21" w:rsidRPr="006B5FA0">
        <w:rPr>
          <w:rFonts w:cstheme="minorHAnsi"/>
        </w:rPr>
        <w:t xml:space="preserve"> </w:t>
      </w:r>
      <w:r w:rsidR="002062DC" w:rsidRPr="006B5FA0">
        <w:rPr>
          <w:rFonts w:cstheme="minorHAnsi"/>
        </w:rPr>
        <w:t xml:space="preserve">mean </w:t>
      </w:r>
      <w:r w:rsidR="00476137" w:rsidRPr="006B5FA0">
        <w:rPr>
          <w:rFonts w:cstheme="minorHAnsi"/>
          <w:vertAlign w:val="superscript"/>
        </w:rPr>
        <w:t>13</w:t>
      </w:r>
      <w:r w:rsidR="00476137" w:rsidRPr="006B5FA0">
        <w:rPr>
          <w:rFonts w:cstheme="minorHAnsi"/>
        </w:rPr>
        <w:t>C</w:t>
      </w:r>
      <w:r w:rsidR="00476137" w:rsidRPr="006B5FA0" w:rsidDel="00476137">
        <w:rPr>
          <w:rFonts w:cstheme="minorHAnsi"/>
        </w:rPr>
        <w:t xml:space="preserve"> </w:t>
      </w:r>
      <w:r w:rsidR="002062DC" w:rsidRPr="006B5FA0">
        <w:rPr>
          <w:rFonts w:cstheme="minorHAnsi"/>
        </w:rPr>
        <w:t xml:space="preserve">image </w:t>
      </w:r>
      <w:proofErr w:type="spellStart"/>
      <w:r w:rsidR="002062DC" w:rsidRPr="006B5FA0">
        <w:rPr>
          <w:rFonts w:cstheme="minorHAnsi"/>
        </w:rPr>
        <w:t>signal:noise</w:t>
      </w:r>
      <w:proofErr w:type="spellEnd"/>
      <w:r w:rsidR="002062DC" w:rsidRPr="006B5FA0">
        <w:rPr>
          <w:rFonts w:cstheme="minorHAnsi"/>
        </w:rPr>
        <w:t xml:space="preserve"> ratio was 115 for [1-</w:t>
      </w:r>
      <w:r w:rsidR="00476137" w:rsidRPr="006B5FA0">
        <w:rPr>
          <w:rFonts w:cstheme="minorHAnsi"/>
          <w:vertAlign w:val="superscript"/>
        </w:rPr>
        <w:t>13</w:t>
      </w:r>
      <w:proofErr w:type="gramStart"/>
      <w:r w:rsidR="00476137" w:rsidRPr="006B5FA0">
        <w:rPr>
          <w:rFonts w:cstheme="minorHAnsi"/>
        </w:rPr>
        <w:t>C</w:t>
      </w:r>
      <w:r w:rsidR="002062DC" w:rsidRPr="006B5FA0">
        <w:rPr>
          <w:rFonts w:cstheme="minorHAnsi"/>
        </w:rPr>
        <w:t>]pyruvate</w:t>
      </w:r>
      <w:proofErr w:type="gramEnd"/>
      <w:r w:rsidR="002062DC" w:rsidRPr="006B5FA0">
        <w:rPr>
          <w:rFonts w:cstheme="minorHAnsi"/>
        </w:rPr>
        <w:t xml:space="preserve">, 56 for </w:t>
      </w:r>
      <w:r w:rsidR="00476137" w:rsidRPr="006B5FA0">
        <w:rPr>
          <w:rFonts w:cstheme="minorHAnsi"/>
          <w:vertAlign w:val="superscript"/>
        </w:rPr>
        <w:t>13</w:t>
      </w:r>
      <w:r w:rsidR="00476137" w:rsidRPr="006B5FA0">
        <w:rPr>
          <w:rFonts w:cstheme="minorHAnsi"/>
        </w:rPr>
        <w:t>C</w:t>
      </w:r>
      <w:r w:rsidR="00476137" w:rsidRPr="006B5FA0" w:rsidDel="00476137">
        <w:rPr>
          <w:rFonts w:cstheme="minorHAnsi"/>
        </w:rPr>
        <w:t xml:space="preserve"> </w:t>
      </w:r>
      <w:r w:rsidR="002062DC" w:rsidRPr="006B5FA0">
        <w:rPr>
          <w:rFonts w:cstheme="minorHAnsi"/>
        </w:rPr>
        <w:t>-bicarbonate, and 53 for [1-</w:t>
      </w:r>
      <w:r w:rsidR="00476137" w:rsidRPr="006B5FA0">
        <w:rPr>
          <w:rFonts w:cstheme="minorHAnsi"/>
          <w:vertAlign w:val="superscript"/>
        </w:rPr>
        <w:t>13</w:t>
      </w:r>
      <w:r w:rsidR="00476137" w:rsidRPr="006B5FA0">
        <w:rPr>
          <w:rFonts w:cstheme="minorHAnsi"/>
        </w:rPr>
        <w:t>C</w:t>
      </w:r>
      <w:r w:rsidR="002062DC" w:rsidRPr="006B5FA0">
        <w:rPr>
          <w:rFonts w:cstheme="minorHAnsi"/>
        </w:rPr>
        <w:t>]lactate.</w:t>
      </w:r>
    </w:p>
    <w:p w14:paraId="323A0D6D" w14:textId="38191B6A" w:rsidR="00400D21" w:rsidRPr="006B5FA0" w:rsidRDefault="00400D21" w:rsidP="002062DC">
      <w:pPr>
        <w:widowControl/>
        <w:autoSpaceDE w:val="0"/>
        <w:autoSpaceDN w:val="0"/>
        <w:adjustRightInd w:val="0"/>
        <w:rPr>
          <w:rFonts w:cstheme="minorHAnsi"/>
          <w:i/>
          <w:iCs/>
        </w:rPr>
      </w:pPr>
    </w:p>
    <w:p w14:paraId="63F52D07" w14:textId="363D862D" w:rsidR="002062DC" w:rsidRPr="006B5FA0" w:rsidRDefault="002062DC" w:rsidP="002062DC">
      <w:pPr>
        <w:widowControl/>
        <w:autoSpaceDE w:val="0"/>
        <w:autoSpaceDN w:val="0"/>
        <w:adjustRightInd w:val="0"/>
        <w:rPr>
          <w:rFonts w:cstheme="minorHAnsi"/>
        </w:rPr>
      </w:pPr>
      <w:r w:rsidRPr="006B5FA0">
        <w:rPr>
          <w:rFonts w:cstheme="minorHAnsi"/>
        </w:rPr>
        <w:t xml:space="preserve">These results represent the first 13C images of the human heart. The appearance of </w:t>
      </w:r>
      <w:r w:rsidR="00476137" w:rsidRPr="006B5FA0">
        <w:rPr>
          <w:rFonts w:cstheme="minorHAnsi"/>
          <w:vertAlign w:val="superscript"/>
        </w:rPr>
        <w:t>13</w:t>
      </w:r>
      <w:r w:rsidR="00476137" w:rsidRPr="006B5FA0">
        <w:rPr>
          <w:rFonts w:cstheme="minorHAnsi"/>
        </w:rPr>
        <w:t>C</w:t>
      </w:r>
      <w:r w:rsidR="00476137" w:rsidRPr="006B5FA0" w:rsidDel="00476137">
        <w:rPr>
          <w:rFonts w:cstheme="minorHAnsi"/>
        </w:rPr>
        <w:t xml:space="preserve"> </w:t>
      </w:r>
      <w:r w:rsidRPr="006B5FA0">
        <w:rPr>
          <w:rFonts w:cstheme="minorHAnsi"/>
        </w:rPr>
        <w:t>-bicarbonate</w:t>
      </w:r>
    </w:p>
    <w:p w14:paraId="6F907F68" w14:textId="1D07DE5A" w:rsidR="00A1182E" w:rsidRDefault="002062DC" w:rsidP="009C5E0A">
      <w:pPr>
        <w:widowControl/>
        <w:autoSpaceDE w:val="0"/>
        <w:autoSpaceDN w:val="0"/>
        <w:adjustRightInd w:val="0"/>
        <w:rPr>
          <w:rFonts w:cstheme="minorHAnsi"/>
        </w:rPr>
      </w:pPr>
      <w:r w:rsidRPr="006B5FA0">
        <w:rPr>
          <w:rFonts w:cstheme="minorHAnsi"/>
        </w:rPr>
        <w:t>signal after administration of hyperpolarized [1-13</w:t>
      </w:r>
      <w:proofErr w:type="gramStart"/>
      <w:r w:rsidRPr="006B5FA0">
        <w:rPr>
          <w:rFonts w:cstheme="minorHAnsi"/>
        </w:rPr>
        <w:t>C]pyruvate</w:t>
      </w:r>
      <w:proofErr w:type="gramEnd"/>
      <w:r w:rsidRPr="006B5FA0">
        <w:rPr>
          <w:rFonts w:cstheme="minorHAnsi"/>
        </w:rPr>
        <w:t xml:space="preserve"> was readily detected in this healthy cohort (n=4).</w:t>
      </w:r>
      <w:r w:rsidR="009C5E0A" w:rsidRPr="006B5FA0">
        <w:rPr>
          <w:rFonts w:cstheme="minorHAnsi"/>
        </w:rPr>
        <w:t xml:space="preserve"> </w:t>
      </w:r>
      <w:r w:rsidRPr="006B5FA0">
        <w:rPr>
          <w:rFonts w:cstheme="minorHAnsi"/>
        </w:rPr>
        <w:t>This shows that assessment of pyruvate metabolism in vivo in humans is feasible using current technology.</w:t>
      </w:r>
    </w:p>
    <w:p w14:paraId="6042EDAD" w14:textId="02A5024F" w:rsidR="00696054" w:rsidRDefault="00696054" w:rsidP="009C5E0A">
      <w:pPr>
        <w:widowControl/>
        <w:autoSpaceDE w:val="0"/>
        <w:autoSpaceDN w:val="0"/>
        <w:adjustRightInd w:val="0"/>
        <w:rPr>
          <w:rFonts w:cstheme="minorHAnsi"/>
        </w:rPr>
      </w:pPr>
    </w:p>
    <w:p w14:paraId="0F5638DD" w14:textId="389EAF1A" w:rsidR="00696054" w:rsidRPr="006B5FA0" w:rsidRDefault="005F11A1" w:rsidP="006B5FA0">
      <w:pPr>
        <w:pStyle w:val="Heading3"/>
        <w:rPr>
          <w:rFonts w:cs="AdvTTaf7f9f4f.B"/>
          <w:color w:val="0070C0"/>
        </w:rPr>
      </w:pPr>
      <w:bookmarkStart w:id="192" w:name="_Toc34900004"/>
      <w:bookmarkStart w:id="193" w:name="_Toc33702533"/>
      <w:bookmarkStart w:id="194" w:name="_Toc176276960"/>
      <w:r>
        <w:rPr>
          <w:rFonts w:cs="AdvTTaf7f9f4f.B"/>
          <w:color w:val="0070C0"/>
        </w:rPr>
        <w:t>6.4.</w:t>
      </w:r>
      <w:r w:rsidR="00E31F5E">
        <w:rPr>
          <w:rFonts w:cs="AdvTTaf7f9f4f.B"/>
          <w:color w:val="0070C0"/>
        </w:rPr>
        <w:t>2</w:t>
      </w:r>
      <w:r w:rsidR="00E31F5E">
        <w:rPr>
          <w:rFonts w:cs="AdvTTaf7f9f4f.B"/>
          <w:color w:val="0070C0"/>
        </w:rPr>
        <w:tab/>
      </w:r>
      <w:r w:rsidRPr="006B5FA0">
        <w:rPr>
          <w:rFonts w:cs="AdvTTaf7f9f4f.B"/>
          <w:color w:val="0070C0"/>
        </w:rPr>
        <w:t>Hyperpolarized 1-[13C]-Pyruvate Magnetic Resonance Imaging</w:t>
      </w:r>
      <w:r>
        <w:rPr>
          <w:rFonts w:cs="AdvTTaf7f9f4f.B"/>
          <w:color w:val="0070C0"/>
        </w:rPr>
        <w:t xml:space="preserve"> </w:t>
      </w:r>
      <w:r w:rsidRPr="006B5FA0">
        <w:rPr>
          <w:rFonts w:cs="AdvTTaf7f9f4f.B"/>
          <w:color w:val="0070C0"/>
        </w:rPr>
        <w:t>Detects an Early Metabolic Response to Androgen Ablation</w:t>
      </w:r>
      <w:r>
        <w:rPr>
          <w:rFonts w:cs="AdvTTaf7f9f4f.B"/>
          <w:color w:val="0070C0"/>
        </w:rPr>
        <w:t xml:space="preserve"> </w:t>
      </w:r>
      <w:r w:rsidRPr="006B5FA0">
        <w:rPr>
          <w:rFonts w:cs="AdvTTaf7f9f4f.B"/>
          <w:color w:val="0070C0"/>
        </w:rPr>
        <w:t>Therapy in Prostate Cancer</w:t>
      </w:r>
      <w:bookmarkEnd w:id="192"/>
      <w:bookmarkEnd w:id="193"/>
      <w:bookmarkEnd w:id="194"/>
    </w:p>
    <w:p w14:paraId="105A0500" w14:textId="77777777" w:rsidR="00CA7E6C" w:rsidRDefault="00CA7E6C" w:rsidP="00CA7E6C">
      <w:pPr>
        <w:widowControl/>
        <w:autoSpaceDE w:val="0"/>
        <w:autoSpaceDN w:val="0"/>
        <w:adjustRightInd w:val="0"/>
        <w:rPr>
          <w:rFonts w:cstheme="minorHAnsi"/>
        </w:rPr>
      </w:pPr>
    </w:p>
    <w:p w14:paraId="71372195" w14:textId="6854E822" w:rsidR="00047711" w:rsidRDefault="006E6577" w:rsidP="00CF2AD8">
      <w:pPr>
        <w:widowControl/>
        <w:autoSpaceDE w:val="0"/>
        <w:autoSpaceDN w:val="0"/>
        <w:adjustRightInd w:val="0"/>
        <w:rPr>
          <w:rFonts w:cstheme="minorHAnsi"/>
        </w:rPr>
      </w:pPr>
      <w:r w:rsidRPr="00CF2AD8">
        <w:rPr>
          <w:rFonts w:cstheme="minorHAnsi"/>
        </w:rPr>
        <w:t>This report by Agg</w:t>
      </w:r>
      <w:r w:rsidR="00981472">
        <w:rPr>
          <w:rFonts w:cstheme="minorHAnsi"/>
        </w:rPr>
        <w:t>a</w:t>
      </w:r>
      <w:r w:rsidRPr="00CF2AD8">
        <w:rPr>
          <w:rFonts w:cstheme="minorHAnsi"/>
        </w:rPr>
        <w:t>rwal (2017)</w:t>
      </w:r>
      <w:r w:rsidR="00CA7E6C" w:rsidRPr="00CF2AD8">
        <w:rPr>
          <w:rFonts w:cstheme="minorHAnsi"/>
        </w:rPr>
        <w:t xml:space="preserve"> </w:t>
      </w:r>
      <w:r w:rsidR="00CA7E6C" w:rsidRPr="006B5FA0">
        <w:rPr>
          <w:rFonts w:cstheme="minorHAnsi"/>
        </w:rPr>
        <w:t>describes the first results demonstrating the metabolic response to androgen deprivation therapy (ADT) using HP [13C]-pyruvate MRSI.</w:t>
      </w:r>
      <w:r w:rsidR="004D46D1" w:rsidRPr="006B5FA0">
        <w:rPr>
          <w:rFonts w:cstheme="minorHAnsi"/>
        </w:rPr>
        <w:t xml:space="preserve">  A patient with </w:t>
      </w:r>
      <w:r w:rsidR="00862B85" w:rsidRPr="006B5FA0">
        <w:rPr>
          <w:rFonts w:cstheme="minorHAnsi"/>
        </w:rPr>
        <w:t xml:space="preserve">metastatic prostate cancer was imaged at base line and 6weeks after </w:t>
      </w:r>
      <w:r w:rsidR="0066168B" w:rsidRPr="006B5FA0">
        <w:rPr>
          <w:rFonts w:cstheme="minorHAnsi"/>
        </w:rPr>
        <w:t>initiation of ADT. The baseline scan, with markedly elevated lactate peaks within tumor containing voxels.</w:t>
      </w:r>
      <w:r w:rsidR="00FA3B52" w:rsidRPr="006B5FA0">
        <w:rPr>
          <w:rFonts w:cstheme="minorHAnsi"/>
        </w:rPr>
        <w:t xml:space="preserve"> The post therapy scan demonstrated nearly complete abrogation of elevated HP lactate peaks on HP 13C MRI</w:t>
      </w:r>
      <w:r w:rsidR="00CF2AD8" w:rsidRPr="006B5FA0">
        <w:rPr>
          <w:rFonts w:cstheme="minorHAnsi"/>
        </w:rPr>
        <w:t xml:space="preserve">, supporting the ability of HP 13C MRI to detect early metabolic responses before such a response can be ascertained using standard radiographic criteria. Concordant with these findings, the patient subsequently achieved a marked clinical response, with an undetectable serum PSA nadir at 6 </w:t>
      </w:r>
      <w:proofErr w:type="spellStart"/>
      <w:r w:rsidR="00CF2AD8" w:rsidRPr="006B5FA0">
        <w:rPr>
          <w:rFonts w:cstheme="minorHAnsi"/>
        </w:rPr>
        <w:t>mo</w:t>
      </w:r>
      <w:proofErr w:type="spellEnd"/>
      <w:r w:rsidR="00CF2AD8" w:rsidRPr="006B5FA0">
        <w:rPr>
          <w:rFonts w:cstheme="minorHAnsi"/>
        </w:rPr>
        <w:t xml:space="preserve"> after ADT initiation.</w:t>
      </w:r>
    </w:p>
    <w:p w14:paraId="1F6E7726" w14:textId="1B501472" w:rsidR="00CF2AD8" w:rsidRDefault="00CF2AD8" w:rsidP="00CF2AD8">
      <w:pPr>
        <w:widowControl/>
        <w:autoSpaceDE w:val="0"/>
        <w:autoSpaceDN w:val="0"/>
        <w:adjustRightInd w:val="0"/>
        <w:rPr>
          <w:rFonts w:cstheme="minorHAnsi"/>
        </w:rPr>
      </w:pPr>
    </w:p>
    <w:p w14:paraId="6A2D28FC" w14:textId="4B539A45" w:rsidR="00CF2AD8" w:rsidRDefault="00010FB7" w:rsidP="00010FB7">
      <w:pPr>
        <w:pStyle w:val="Heading3"/>
      </w:pPr>
      <w:bookmarkStart w:id="195" w:name="_Toc34900005"/>
      <w:bookmarkStart w:id="196" w:name="_Toc33702534"/>
      <w:bookmarkStart w:id="197" w:name="_Toc176276961"/>
      <w:r>
        <w:t>6.4.3</w:t>
      </w:r>
      <w:r>
        <w:tab/>
      </w:r>
      <w:r w:rsidRPr="006B5FA0">
        <w:t>Quantifying normal human brain metabolism using hyperpolarized [1–13C]</w:t>
      </w:r>
      <w:r w:rsidRPr="00010FB7">
        <w:t xml:space="preserve"> </w:t>
      </w:r>
      <w:r w:rsidRPr="006B5FA0">
        <w:t>pyruvate and magnetic resonance imaging</w:t>
      </w:r>
      <w:bookmarkEnd w:id="195"/>
      <w:bookmarkEnd w:id="196"/>
      <w:bookmarkEnd w:id="197"/>
    </w:p>
    <w:p w14:paraId="58D753BC" w14:textId="77777777" w:rsidR="00010FB7" w:rsidRDefault="00010FB7" w:rsidP="00010FB7">
      <w:pPr>
        <w:widowControl/>
        <w:autoSpaceDE w:val="0"/>
        <w:autoSpaceDN w:val="0"/>
        <w:adjustRightInd w:val="0"/>
        <w:rPr>
          <w:rFonts w:cstheme="minorHAnsi"/>
        </w:rPr>
      </w:pPr>
    </w:p>
    <w:p w14:paraId="6152192A" w14:textId="67F6C054" w:rsidR="00010FB7" w:rsidRDefault="00010FB7" w:rsidP="00010FB7">
      <w:pPr>
        <w:widowControl/>
        <w:autoSpaceDE w:val="0"/>
        <w:autoSpaceDN w:val="0"/>
        <w:adjustRightInd w:val="0"/>
        <w:rPr>
          <w:rFonts w:cstheme="minorHAnsi"/>
        </w:rPr>
      </w:pPr>
      <w:r>
        <w:rPr>
          <w:rFonts w:cstheme="minorHAnsi"/>
        </w:rPr>
        <w:t>This report by Grist (2019) studied</w:t>
      </w:r>
      <w:r w:rsidRPr="006B5FA0">
        <w:rPr>
          <w:rFonts w:cstheme="minorHAnsi"/>
        </w:rPr>
        <w:t xml:space="preserve"> the cerebral metabolism of</w:t>
      </w:r>
      <w:r>
        <w:rPr>
          <w:rFonts w:cstheme="minorHAnsi"/>
        </w:rPr>
        <w:t xml:space="preserve"> </w:t>
      </w:r>
      <w:r w:rsidRPr="006B5FA0">
        <w:rPr>
          <w:rFonts w:cstheme="minorHAnsi"/>
        </w:rPr>
        <w:t>intravenously injected hyperpolarized [1–13</w:t>
      </w:r>
      <w:proofErr w:type="gramStart"/>
      <w:r w:rsidRPr="006B5FA0">
        <w:rPr>
          <w:rFonts w:cstheme="minorHAnsi"/>
        </w:rPr>
        <w:t>C]pyruvate</w:t>
      </w:r>
      <w:proofErr w:type="gramEnd"/>
      <w:r w:rsidRPr="006B5FA0">
        <w:rPr>
          <w:rFonts w:cstheme="minorHAnsi"/>
        </w:rPr>
        <w:t xml:space="preserve"> in the brain of healthy human volunteers for the first time.</w:t>
      </w:r>
      <w:r>
        <w:rPr>
          <w:rFonts w:cstheme="minorHAnsi"/>
        </w:rPr>
        <w:t xml:space="preserve"> </w:t>
      </w:r>
      <w:r w:rsidRPr="006B5FA0">
        <w:rPr>
          <w:rFonts w:cstheme="minorHAnsi"/>
        </w:rPr>
        <w:t>Dynamic acquisition of 13C images demonstrated 13C-labeling of both lactate and bicarbonate, catalyzed by</w:t>
      </w:r>
      <w:r>
        <w:rPr>
          <w:rFonts w:cstheme="minorHAnsi"/>
        </w:rPr>
        <w:t xml:space="preserve"> </w:t>
      </w:r>
      <w:r w:rsidRPr="006B5FA0">
        <w:rPr>
          <w:rFonts w:cstheme="minorHAnsi"/>
        </w:rPr>
        <w:t>cytosolic lactate dehydrogenase and mitochondrial pyruvate dehydrogenase respectively. This demonstrates that</w:t>
      </w:r>
      <w:r>
        <w:rPr>
          <w:rFonts w:cstheme="minorHAnsi"/>
        </w:rPr>
        <w:t xml:space="preserve"> </w:t>
      </w:r>
      <w:r w:rsidRPr="006B5FA0">
        <w:rPr>
          <w:rFonts w:cstheme="minorHAnsi"/>
        </w:rPr>
        <w:t xml:space="preserve">both enzymes can be probed </w:t>
      </w:r>
      <w:r w:rsidRPr="005F6CE7">
        <w:rPr>
          <w:rFonts w:cstheme="minorHAnsi"/>
          <w:i/>
          <w:iCs/>
        </w:rPr>
        <w:t>in vivo</w:t>
      </w:r>
      <w:r w:rsidRPr="006B5FA0">
        <w:rPr>
          <w:rFonts w:cstheme="minorHAnsi"/>
        </w:rPr>
        <w:t xml:space="preserve"> in the presence of an intact blood-brain barrier: the measured apparent exchange</w:t>
      </w:r>
      <w:r>
        <w:rPr>
          <w:rFonts w:cstheme="minorHAnsi"/>
        </w:rPr>
        <w:t xml:space="preserve"> </w:t>
      </w:r>
      <w:r w:rsidRPr="006B5FA0">
        <w:rPr>
          <w:rFonts w:cstheme="minorHAnsi"/>
        </w:rPr>
        <w:t>rate constant (</w:t>
      </w:r>
      <w:proofErr w:type="spellStart"/>
      <w:r w:rsidRPr="006B5FA0">
        <w:rPr>
          <w:rFonts w:cstheme="minorHAnsi"/>
        </w:rPr>
        <w:t>kPL</w:t>
      </w:r>
      <w:proofErr w:type="spellEnd"/>
      <w:r w:rsidRPr="006B5FA0">
        <w:rPr>
          <w:rFonts w:cstheme="minorHAnsi"/>
        </w:rPr>
        <w:t>) for exchange of the hyperpolarized 13C label between [1–13C]pyruvate and the</w:t>
      </w:r>
      <w:r>
        <w:rPr>
          <w:rFonts w:cstheme="minorHAnsi"/>
        </w:rPr>
        <w:t xml:space="preserve"> </w:t>
      </w:r>
      <w:r w:rsidRPr="006B5FA0">
        <w:rPr>
          <w:rFonts w:cstheme="minorHAnsi"/>
        </w:rPr>
        <w:t>endogenous lactate pool was 0.012 _ 0.006 s</w:t>
      </w:r>
      <w:r w:rsidR="00373523">
        <w:rPr>
          <w:rFonts w:cs="Calibri (Body)"/>
          <w:vertAlign w:val="superscript"/>
        </w:rPr>
        <w:t>-</w:t>
      </w:r>
      <w:r w:rsidRPr="00373523">
        <w:rPr>
          <w:rFonts w:cs="Calibri (Body)"/>
          <w:vertAlign w:val="superscript"/>
        </w:rPr>
        <w:t>1</w:t>
      </w:r>
      <w:r w:rsidRPr="006B5FA0">
        <w:rPr>
          <w:rFonts w:cstheme="minorHAnsi"/>
        </w:rPr>
        <w:t xml:space="preserve"> and the apparent rate constant (</w:t>
      </w:r>
      <w:proofErr w:type="spellStart"/>
      <w:r w:rsidRPr="006B5FA0">
        <w:rPr>
          <w:rFonts w:cstheme="minorHAnsi"/>
        </w:rPr>
        <w:t>kPB</w:t>
      </w:r>
      <w:proofErr w:type="spellEnd"/>
      <w:r w:rsidRPr="006B5FA0">
        <w:rPr>
          <w:rFonts w:cstheme="minorHAnsi"/>
        </w:rPr>
        <w:t>) for the irreversible flux of</w:t>
      </w:r>
      <w:r>
        <w:rPr>
          <w:rFonts w:cstheme="minorHAnsi"/>
        </w:rPr>
        <w:t xml:space="preserve"> </w:t>
      </w:r>
      <w:r w:rsidRPr="006B5FA0">
        <w:rPr>
          <w:rFonts w:cstheme="minorHAnsi"/>
        </w:rPr>
        <w:t xml:space="preserve">[1–13C]pyruvate to [13C]bicarbonate was 0.002 </w:t>
      </w:r>
      <w:r w:rsidR="00373523">
        <w:rPr>
          <w:rFonts w:cstheme="minorHAnsi"/>
        </w:rPr>
        <w:t xml:space="preserve">- </w:t>
      </w:r>
      <w:r w:rsidRPr="006B5FA0">
        <w:rPr>
          <w:rFonts w:cstheme="minorHAnsi"/>
        </w:rPr>
        <w:t xml:space="preserve">0.002 </w:t>
      </w:r>
      <w:r w:rsidR="00373523" w:rsidRPr="006B5FA0">
        <w:rPr>
          <w:rFonts w:cstheme="minorHAnsi"/>
        </w:rPr>
        <w:t>s</w:t>
      </w:r>
      <w:r w:rsidR="00373523">
        <w:rPr>
          <w:rFonts w:cs="Calibri (Body)"/>
          <w:vertAlign w:val="superscript"/>
        </w:rPr>
        <w:t>-</w:t>
      </w:r>
      <w:r w:rsidR="00373523" w:rsidRPr="00373523">
        <w:rPr>
          <w:rFonts w:cs="Calibri (Body)"/>
          <w:vertAlign w:val="superscript"/>
        </w:rPr>
        <w:t>1</w:t>
      </w:r>
      <w:r w:rsidRPr="006B5FA0">
        <w:rPr>
          <w:rFonts w:cstheme="minorHAnsi"/>
        </w:rPr>
        <w:t>. Imaging also revealed that [1–13</w:t>
      </w:r>
      <w:proofErr w:type="gramStart"/>
      <w:r w:rsidRPr="006B5FA0">
        <w:rPr>
          <w:rFonts w:cstheme="minorHAnsi"/>
        </w:rPr>
        <w:t>C]pyruvate</w:t>
      </w:r>
      <w:proofErr w:type="gramEnd"/>
      <w:r w:rsidRPr="006B5FA0">
        <w:rPr>
          <w:rFonts w:cstheme="minorHAnsi"/>
        </w:rPr>
        <w:t>, [1–13C]</w:t>
      </w:r>
      <w:r>
        <w:rPr>
          <w:rFonts w:cstheme="minorHAnsi"/>
        </w:rPr>
        <w:t xml:space="preserve"> </w:t>
      </w:r>
      <w:r w:rsidRPr="006B5FA0">
        <w:rPr>
          <w:rFonts w:cstheme="minorHAnsi"/>
        </w:rPr>
        <w:t>lactate and [13C]bicarbonate were significantly higher in gray matter compared to white matter. Imaging normal</w:t>
      </w:r>
      <w:r>
        <w:rPr>
          <w:rFonts w:cstheme="minorHAnsi"/>
        </w:rPr>
        <w:t xml:space="preserve"> </w:t>
      </w:r>
      <w:r w:rsidRPr="006B5FA0">
        <w:rPr>
          <w:rFonts w:cstheme="minorHAnsi"/>
        </w:rPr>
        <w:t xml:space="preserve">brain metabolism with </w:t>
      </w:r>
      <w:r w:rsidRPr="006B5FA0">
        <w:rPr>
          <w:rFonts w:cstheme="minorHAnsi"/>
        </w:rPr>
        <w:lastRenderedPageBreak/>
        <w:t>hyperpolarized [1–13</w:t>
      </w:r>
      <w:proofErr w:type="gramStart"/>
      <w:r w:rsidRPr="006B5FA0">
        <w:rPr>
          <w:rFonts w:cstheme="minorHAnsi"/>
        </w:rPr>
        <w:t>C]pyruvate</w:t>
      </w:r>
      <w:proofErr w:type="gramEnd"/>
      <w:r w:rsidRPr="006B5FA0">
        <w:rPr>
          <w:rFonts w:cstheme="minorHAnsi"/>
        </w:rPr>
        <w:t xml:space="preserve"> and subsequent quantification, have important implications</w:t>
      </w:r>
      <w:r>
        <w:rPr>
          <w:rFonts w:cstheme="minorHAnsi"/>
        </w:rPr>
        <w:t xml:space="preserve"> </w:t>
      </w:r>
      <w:r w:rsidRPr="006B5FA0">
        <w:rPr>
          <w:rFonts w:cstheme="minorHAnsi"/>
        </w:rPr>
        <w:t>for interpreting pathological cerebral metabolism in future studies.</w:t>
      </w:r>
    </w:p>
    <w:p w14:paraId="5495B39D" w14:textId="6FC12C9E" w:rsidR="00010FB7" w:rsidRDefault="00010FB7" w:rsidP="00010FB7">
      <w:pPr>
        <w:widowControl/>
        <w:autoSpaceDE w:val="0"/>
        <w:autoSpaceDN w:val="0"/>
        <w:adjustRightInd w:val="0"/>
        <w:rPr>
          <w:rFonts w:cstheme="minorHAnsi"/>
        </w:rPr>
      </w:pPr>
    </w:p>
    <w:p w14:paraId="5E4C235B" w14:textId="096480D4" w:rsidR="00010FB7" w:rsidRPr="003F4FAF" w:rsidRDefault="00010FB7" w:rsidP="00010FB7">
      <w:pPr>
        <w:pStyle w:val="Heading3"/>
      </w:pPr>
      <w:bookmarkStart w:id="198" w:name="_Toc34900006"/>
      <w:bookmarkStart w:id="199" w:name="_Toc33702535"/>
      <w:bookmarkStart w:id="200" w:name="_Toc176276962"/>
      <w:r w:rsidRPr="0081396D">
        <w:t>6.5.4</w:t>
      </w:r>
      <w:r w:rsidRPr="0081396D">
        <w:tab/>
      </w:r>
      <w:r w:rsidRPr="003F4FAF">
        <w:t xml:space="preserve">Non-Invasive </w:t>
      </w:r>
      <w:r w:rsidRPr="005F6CE7">
        <w:rPr>
          <w:i/>
          <w:iCs/>
        </w:rPr>
        <w:t>In Vivo</w:t>
      </w:r>
      <w:r w:rsidRPr="003F4FAF">
        <w:t xml:space="preserve"> Assessment of Cardiac Metabolism in the Healthy and Diabetic Human Heart Using Hyperpolarized 13C MRI</w:t>
      </w:r>
      <w:bookmarkEnd w:id="198"/>
      <w:bookmarkEnd w:id="199"/>
      <w:bookmarkEnd w:id="200"/>
    </w:p>
    <w:p w14:paraId="0A8C457B" w14:textId="4CCA63DA" w:rsidR="00010FB7" w:rsidRPr="003F4FAF" w:rsidRDefault="00010FB7" w:rsidP="00010FB7">
      <w:pPr>
        <w:widowControl/>
        <w:autoSpaceDE w:val="0"/>
        <w:autoSpaceDN w:val="0"/>
        <w:adjustRightInd w:val="0"/>
      </w:pPr>
    </w:p>
    <w:p w14:paraId="16316F0C" w14:textId="3189EC1C" w:rsidR="00010FB7" w:rsidRPr="0081396D" w:rsidRDefault="00010FB7">
      <w:pPr>
        <w:widowControl/>
        <w:autoSpaceDE w:val="0"/>
        <w:autoSpaceDN w:val="0"/>
        <w:adjustRightInd w:val="0"/>
      </w:pPr>
      <w:r w:rsidRPr="0081396D">
        <w:t xml:space="preserve">This study by Rider (2020) recorded changes in cardiac metabolism in the healthy and diseased human heart in participants with and without type 2 diabetes (T2DM). </w:t>
      </w:r>
    </w:p>
    <w:p w14:paraId="19F963D7" w14:textId="5660B3A7" w:rsidR="00010FB7" w:rsidRPr="0081396D" w:rsidRDefault="00010FB7" w:rsidP="00010FB7">
      <w:pPr>
        <w:widowControl/>
        <w:autoSpaceDE w:val="0"/>
        <w:autoSpaceDN w:val="0"/>
        <w:adjustRightInd w:val="0"/>
      </w:pPr>
      <w:r w:rsidRPr="003F4FAF">
        <w:t xml:space="preserve">Methods and Results: </w:t>
      </w:r>
      <w:r w:rsidRPr="0081396D">
        <w:t>Thirteen people with type 2 diabetes (HbA1c 6.9</w:t>
      </w:r>
      <w:r w:rsidRPr="0081396D">
        <w:rPr>
          <w:rFonts w:hint="eastAsia"/>
        </w:rPr>
        <w:t>±</w:t>
      </w:r>
      <w:r w:rsidRPr="0081396D">
        <w:t>1.0%) and 12 age-matched healthy controls underwent assessment of cardiac systolic and diastolic function, myocardial energetics (31P-MRS) and lipid content (1H-MRS) in the fasted state. In a subset (5 T2DM, 5 control), hyperpolarized [1-13</w:t>
      </w:r>
      <w:proofErr w:type="gramStart"/>
      <w:r w:rsidRPr="0081396D">
        <w:t>C]pyruvate</w:t>
      </w:r>
      <w:proofErr w:type="gramEnd"/>
      <w:r w:rsidRPr="0081396D">
        <w:t xml:space="preserve"> MR spectra were also acquired and in five of these participants (3 T2DM, 2 controls), this was successfully repeated 45 minutes after a 75g oral glucose challenge. Downstream metabolism of [1-13</w:t>
      </w:r>
      <w:proofErr w:type="gramStart"/>
      <w:r w:rsidRPr="0081396D">
        <w:t>C]pyruvate</w:t>
      </w:r>
      <w:proofErr w:type="gramEnd"/>
      <w:r w:rsidRPr="0081396D">
        <w:t xml:space="preserve"> via pyruvate dehydrogenase (PDH, [13C]bicarbonate), lactate dehydrogenase ([1-13C]lactate) and alanine transaminase ([1-13C]alanine) was assessed. Metabolic flux through cardiac PDH was significantly reduced in the people with type 2 diabetes (Fasted:0.0084</w:t>
      </w:r>
      <w:r w:rsidRPr="0081396D">
        <w:rPr>
          <w:rFonts w:hint="eastAsia"/>
        </w:rPr>
        <w:t>±</w:t>
      </w:r>
      <w:r w:rsidRPr="0081396D">
        <w:t>0.0067[Control] vs. 0.0016</w:t>
      </w:r>
      <w:r w:rsidRPr="0081396D">
        <w:rPr>
          <w:rFonts w:hint="eastAsia"/>
        </w:rPr>
        <w:t>±</w:t>
      </w:r>
      <w:r w:rsidRPr="0081396D">
        <w:t>0.0014[T2DM], Fed:0.0184</w:t>
      </w:r>
      <w:r w:rsidRPr="0081396D">
        <w:rPr>
          <w:rFonts w:hint="eastAsia"/>
        </w:rPr>
        <w:t>±</w:t>
      </w:r>
      <w:r w:rsidRPr="0081396D">
        <w:t>0.0109 vs. 0.0053</w:t>
      </w:r>
      <w:r w:rsidRPr="0081396D">
        <w:rPr>
          <w:rFonts w:hint="eastAsia"/>
        </w:rPr>
        <w:t>±</w:t>
      </w:r>
      <w:r w:rsidRPr="0081396D">
        <w:t>0.0041, p=.013). In addition, a significant increase</w:t>
      </w:r>
      <w:r w:rsidR="0022012C">
        <w:t xml:space="preserve"> </w:t>
      </w:r>
      <w:r w:rsidRPr="0081396D">
        <w:t>in metabolic flux through PDH was observed after the oral glucose challenge (p&lt;.001). As is characteristic of diabetes, impaired myocardial energetics, myocardial lipid content and diastolic function were also demonstrated in the wider study cohort.</w:t>
      </w:r>
    </w:p>
    <w:p w14:paraId="6A4C92C7" w14:textId="77777777" w:rsidR="00010FB7" w:rsidRPr="003F4FAF" w:rsidRDefault="00010FB7" w:rsidP="00010FB7">
      <w:pPr>
        <w:widowControl/>
        <w:autoSpaceDE w:val="0"/>
        <w:autoSpaceDN w:val="0"/>
        <w:adjustRightInd w:val="0"/>
      </w:pPr>
    </w:p>
    <w:p w14:paraId="6FAEFFC2" w14:textId="4B26A2A5" w:rsidR="00010FB7" w:rsidRPr="0081396D" w:rsidRDefault="00010FB7" w:rsidP="006B5FA0">
      <w:pPr>
        <w:widowControl/>
        <w:autoSpaceDE w:val="0"/>
        <w:autoSpaceDN w:val="0"/>
        <w:adjustRightInd w:val="0"/>
      </w:pPr>
      <w:r w:rsidRPr="0081396D">
        <w:t>This work represents the first demonstration of the ability of hyperpolarized 13C MRS to noninvasively detect and quantify metabolic alterations in cardiac metabolism in the human heart in the setting of cardiovascular disease.</w:t>
      </w:r>
    </w:p>
    <w:p w14:paraId="60D99179" w14:textId="327A58C2" w:rsidR="00010FB7" w:rsidRDefault="00010FB7" w:rsidP="00010FB7">
      <w:pPr>
        <w:pStyle w:val="Heading3"/>
      </w:pPr>
      <w:bookmarkStart w:id="201" w:name="_Toc34900007"/>
      <w:bookmarkStart w:id="202" w:name="_Toc33702536"/>
      <w:bookmarkStart w:id="203" w:name="_Toc176276963"/>
      <w:r>
        <w:t>6.4.5</w:t>
      </w:r>
      <w:r>
        <w:tab/>
      </w:r>
      <w:r w:rsidRPr="006B5FA0">
        <w:t xml:space="preserve">First-in-human </w:t>
      </w:r>
      <w:r w:rsidRPr="005F6CE7">
        <w:rPr>
          <w:i/>
          <w:iCs/>
        </w:rPr>
        <w:t>in vivo</w:t>
      </w:r>
      <w:r w:rsidRPr="006B5FA0">
        <w:t xml:space="preserve"> non-invasive assessment of </w:t>
      </w:r>
      <w:r w:rsidR="0081396D" w:rsidRPr="006B5FA0">
        <w:t>intertumoral</w:t>
      </w:r>
      <w:r w:rsidRPr="006B5FA0">
        <w:t xml:space="preserve"> metabolic heterogeneity in renal cell carcinoma</w:t>
      </w:r>
      <w:bookmarkEnd w:id="201"/>
      <w:bookmarkEnd w:id="202"/>
      <w:bookmarkEnd w:id="203"/>
    </w:p>
    <w:p w14:paraId="3D732E77" w14:textId="77777777" w:rsidR="00010FB7" w:rsidRDefault="00010FB7" w:rsidP="00010FB7">
      <w:pPr>
        <w:widowControl/>
        <w:autoSpaceDE w:val="0"/>
        <w:autoSpaceDN w:val="0"/>
        <w:adjustRightInd w:val="0"/>
        <w:rPr>
          <w:rFonts w:cstheme="minorHAnsi"/>
        </w:rPr>
      </w:pPr>
    </w:p>
    <w:p w14:paraId="0A108964" w14:textId="7EC177ED" w:rsidR="00010FB7" w:rsidRPr="005E269D" w:rsidRDefault="00010FB7" w:rsidP="00010FB7">
      <w:pPr>
        <w:widowControl/>
        <w:autoSpaceDE w:val="0"/>
        <w:autoSpaceDN w:val="0"/>
        <w:adjustRightInd w:val="0"/>
        <w:rPr>
          <w:rFonts w:ascii="Gotham-Book" w:hAnsi="Gotham-Book" w:cs="Gotham-Book"/>
          <w:color w:val="000000" w:themeColor="text1"/>
          <w:sz w:val="16"/>
          <w:szCs w:val="16"/>
        </w:rPr>
      </w:pPr>
      <w:r w:rsidRPr="005E269D">
        <w:rPr>
          <w:rFonts w:cstheme="minorHAnsi"/>
          <w:color w:val="000000" w:themeColor="text1"/>
        </w:rPr>
        <w:t xml:space="preserve">This report by Tran (2019) reports the first-in-human </w:t>
      </w:r>
      <w:r w:rsidRPr="005E269D">
        <w:rPr>
          <w:rFonts w:cstheme="minorHAnsi"/>
          <w:i/>
          <w:iCs/>
          <w:color w:val="000000" w:themeColor="text1"/>
        </w:rPr>
        <w:t xml:space="preserve">in vivo </w:t>
      </w:r>
      <w:r w:rsidRPr="005E269D">
        <w:rPr>
          <w:rFonts w:cstheme="minorHAnsi"/>
          <w:color w:val="000000" w:themeColor="text1"/>
        </w:rPr>
        <w:t xml:space="preserve">non-invasive metabolic interrogation of renal cell carcinoma using hyperpolarized carbon-13 (13C) MRI in a single patient and describes the validation of </w:t>
      </w:r>
      <w:r w:rsidRPr="005E269D">
        <w:rPr>
          <w:rFonts w:cstheme="minorHAnsi"/>
          <w:i/>
          <w:iCs/>
          <w:color w:val="000000" w:themeColor="text1"/>
        </w:rPr>
        <w:t xml:space="preserve">in vivo </w:t>
      </w:r>
      <w:r w:rsidRPr="005E269D">
        <w:rPr>
          <w:rFonts w:cstheme="minorHAnsi"/>
          <w:color w:val="000000" w:themeColor="text1"/>
        </w:rPr>
        <w:t xml:space="preserve">lactate metabolic heterogeneity against multi regional </w:t>
      </w:r>
      <w:r w:rsidRPr="005E269D">
        <w:rPr>
          <w:rFonts w:cstheme="minorHAnsi"/>
          <w:i/>
          <w:iCs/>
          <w:color w:val="000000" w:themeColor="text1"/>
        </w:rPr>
        <w:t xml:space="preserve">ex vivo </w:t>
      </w:r>
      <w:r w:rsidRPr="005E269D">
        <w:rPr>
          <w:rFonts w:cstheme="minorHAnsi"/>
          <w:color w:val="000000" w:themeColor="text1"/>
        </w:rPr>
        <w:t xml:space="preserve">mass spectrometry. hyperpolarized carbon-13 (13C)-MRI provides an </w:t>
      </w:r>
      <w:r w:rsidRPr="005E269D">
        <w:rPr>
          <w:rFonts w:cstheme="minorHAnsi"/>
          <w:i/>
          <w:iCs/>
          <w:color w:val="000000" w:themeColor="text1"/>
        </w:rPr>
        <w:t xml:space="preserve">in vivo </w:t>
      </w:r>
      <w:r w:rsidRPr="005E269D">
        <w:rPr>
          <w:rFonts w:cstheme="minorHAnsi"/>
          <w:color w:val="000000" w:themeColor="text1"/>
        </w:rPr>
        <w:t>assessment of metabolism and provides a novel opportunity to safely and non-invasively assess cancer heterogeneity</w:t>
      </w:r>
      <w:r w:rsidRPr="005E269D">
        <w:rPr>
          <w:rFonts w:ascii="Gotham-Book" w:hAnsi="Gotham-Book" w:cs="Gotham-Book"/>
          <w:color w:val="000000" w:themeColor="text1"/>
          <w:sz w:val="16"/>
          <w:szCs w:val="16"/>
        </w:rPr>
        <w:t>.</w:t>
      </w:r>
    </w:p>
    <w:p w14:paraId="5F22AE24" w14:textId="507F7C69" w:rsidR="00010FB7" w:rsidRPr="005E269D" w:rsidRDefault="00010FB7" w:rsidP="00010FB7">
      <w:pPr>
        <w:widowControl/>
        <w:autoSpaceDE w:val="0"/>
        <w:autoSpaceDN w:val="0"/>
        <w:adjustRightInd w:val="0"/>
        <w:rPr>
          <w:rFonts w:ascii="Gotham-Book" w:hAnsi="Gotham-Book" w:cs="Gotham-Book"/>
          <w:color w:val="000000" w:themeColor="text1"/>
          <w:sz w:val="16"/>
          <w:szCs w:val="16"/>
        </w:rPr>
      </w:pPr>
    </w:p>
    <w:p w14:paraId="45D4A01C" w14:textId="75CEAC78" w:rsidR="00010FB7" w:rsidRDefault="00010FB7" w:rsidP="00010FB7">
      <w:pPr>
        <w:pStyle w:val="Heading3"/>
      </w:pPr>
      <w:bookmarkStart w:id="204" w:name="_Toc34900008"/>
      <w:bookmarkStart w:id="205" w:name="_Toc33702537"/>
      <w:bookmarkStart w:id="206" w:name="_Toc176276964"/>
      <w:r w:rsidRPr="006B5FA0">
        <w:t>6.4.</w:t>
      </w:r>
      <w:r>
        <w:t>6</w:t>
      </w:r>
      <w:r w:rsidRPr="006B5FA0">
        <w:tab/>
      </w:r>
      <w:r w:rsidRPr="00010FB7">
        <w:t>Hyperpolari</w:t>
      </w:r>
      <w:r w:rsidR="00981472">
        <w:t>z</w:t>
      </w:r>
      <w:r w:rsidRPr="00010FB7">
        <w:t>ed 13C MRI: a new horizon for noninvasive diagnosis of aggressive breast cancer</w:t>
      </w:r>
      <w:r w:rsidRPr="006B5FA0">
        <w:t>.</w:t>
      </w:r>
      <w:bookmarkEnd w:id="204"/>
      <w:bookmarkEnd w:id="205"/>
      <w:bookmarkEnd w:id="206"/>
    </w:p>
    <w:p w14:paraId="07542380" w14:textId="77777777" w:rsidR="00010FB7" w:rsidRPr="005E269D" w:rsidRDefault="00010FB7" w:rsidP="00010FB7">
      <w:pPr>
        <w:widowControl/>
        <w:autoSpaceDE w:val="0"/>
        <w:autoSpaceDN w:val="0"/>
        <w:adjustRightInd w:val="0"/>
        <w:rPr>
          <w:rFonts w:cstheme="minorHAnsi"/>
          <w:color w:val="000000" w:themeColor="text1"/>
        </w:rPr>
      </w:pPr>
    </w:p>
    <w:p w14:paraId="64A03A96" w14:textId="323959C6" w:rsidR="00010FB7" w:rsidRPr="005E269D" w:rsidRDefault="00010FB7" w:rsidP="006B5FA0">
      <w:pPr>
        <w:widowControl/>
        <w:autoSpaceDE w:val="0"/>
        <w:autoSpaceDN w:val="0"/>
        <w:adjustRightInd w:val="0"/>
        <w:rPr>
          <w:rFonts w:ascii="MinionPro-Regular" w:hAnsi="MinionPro-Regular" w:cs="MinionPro-Regular"/>
          <w:color w:val="000000" w:themeColor="text1"/>
          <w:sz w:val="19"/>
          <w:szCs w:val="19"/>
        </w:rPr>
      </w:pPr>
      <w:r w:rsidRPr="005E269D">
        <w:rPr>
          <w:rFonts w:cstheme="minorHAnsi"/>
          <w:color w:val="000000" w:themeColor="text1"/>
        </w:rPr>
        <w:t xml:space="preserve">This report by </w:t>
      </w:r>
      <w:proofErr w:type="spellStart"/>
      <w:r w:rsidRPr="005E269D">
        <w:rPr>
          <w:rFonts w:cstheme="minorHAnsi"/>
          <w:color w:val="000000" w:themeColor="text1"/>
        </w:rPr>
        <w:t>Abeyakoon</w:t>
      </w:r>
      <w:proofErr w:type="spellEnd"/>
      <w:r w:rsidR="00981472">
        <w:rPr>
          <w:rFonts w:cstheme="minorHAnsi"/>
          <w:color w:val="000000" w:themeColor="text1"/>
        </w:rPr>
        <w:t xml:space="preserve"> </w:t>
      </w:r>
      <w:r w:rsidRPr="005E269D">
        <w:rPr>
          <w:rFonts w:cstheme="minorHAnsi"/>
          <w:color w:val="000000" w:themeColor="text1"/>
        </w:rPr>
        <w:t xml:space="preserve">(2019) describes a single case of breast cancer imaged using HP-MRI alongside correlative conventional imaging, including breast MRI.  This young female with extensive Grade two ductal carcinoma. Her diagnostic work up included all the standard investigations and highlighted the importance of a multimodality approach to accurately map the anatomical extent of disease. The addition of HP-MRI to this case provided proof-of-concept for non-invasive </w:t>
      </w:r>
      <w:r w:rsidRPr="005E269D">
        <w:rPr>
          <w:rFonts w:cstheme="minorHAnsi"/>
          <w:i/>
          <w:iCs/>
          <w:color w:val="000000" w:themeColor="text1"/>
        </w:rPr>
        <w:t xml:space="preserve">in-vivo </w:t>
      </w:r>
      <w:r w:rsidRPr="005E269D">
        <w:rPr>
          <w:rFonts w:cstheme="minorHAnsi"/>
          <w:color w:val="000000" w:themeColor="text1"/>
        </w:rPr>
        <w:t>metabolic assessment of human breast tumor and the potential of identifying aggressive cancers</w:t>
      </w:r>
      <w:r w:rsidRPr="005E269D">
        <w:rPr>
          <w:rFonts w:ascii="MinionPro-Regular" w:hAnsi="MinionPro-Regular" w:cs="MinionPro-Regular"/>
          <w:color w:val="000000" w:themeColor="text1"/>
          <w:sz w:val="19"/>
          <w:szCs w:val="19"/>
        </w:rPr>
        <w:t>.</w:t>
      </w:r>
    </w:p>
    <w:p w14:paraId="70019B3D" w14:textId="71851576" w:rsidR="00894432" w:rsidRDefault="00894432" w:rsidP="006B5FA0">
      <w:pPr>
        <w:widowControl/>
        <w:autoSpaceDE w:val="0"/>
        <w:autoSpaceDN w:val="0"/>
        <w:adjustRightInd w:val="0"/>
        <w:rPr>
          <w:rFonts w:ascii="MinionPro-Regular" w:hAnsi="MinionPro-Regular" w:cs="MinionPro-Regular"/>
          <w:sz w:val="19"/>
          <w:szCs w:val="19"/>
        </w:rPr>
      </w:pPr>
    </w:p>
    <w:p w14:paraId="19955564" w14:textId="77777777" w:rsidR="001158B4" w:rsidRDefault="001158B4" w:rsidP="006B5FA0">
      <w:pPr>
        <w:widowControl/>
        <w:autoSpaceDE w:val="0"/>
        <w:autoSpaceDN w:val="0"/>
        <w:adjustRightInd w:val="0"/>
        <w:rPr>
          <w:rFonts w:ascii="MinionPro-Regular" w:hAnsi="MinionPro-Regular" w:cs="MinionPro-Regular"/>
          <w:sz w:val="19"/>
          <w:szCs w:val="19"/>
        </w:rPr>
      </w:pPr>
    </w:p>
    <w:p w14:paraId="4E939926" w14:textId="77777777" w:rsidR="00E32EEF" w:rsidRPr="00C570DE" w:rsidRDefault="00E32EEF" w:rsidP="00E32EEF">
      <w:pPr>
        <w:pStyle w:val="Heading3"/>
      </w:pPr>
      <w:bookmarkStart w:id="207" w:name="_Toc33702538"/>
      <w:bookmarkStart w:id="208" w:name="_Toc176276965"/>
      <w:r w:rsidRPr="00C570DE">
        <w:lastRenderedPageBreak/>
        <w:t>6.4.7</w:t>
      </w:r>
      <w:r w:rsidRPr="00C570DE">
        <w:tab/>
        <w:t>Hyperpolarized MRI of Human Prostate Cancer Reveals Increased Lactate with Tumor Grade Driven by Monocarboxylate Transporter 1</w:t>
      </w:r>
      <w:bookmarkEnd w:id="207"/>
      <w:bookmarkEnd w:id="208"/>
    </w:p>
    <w:p w14:paraId="0F672F98" w14:textId="77777777" w:rsidR="00E32EEF" w:rsidRDefault="00E32EEF" w:rsidP="00E32EEF">
      <w:pPr>
        <w:widowControl/>
        <w:autoSpaceDE w:val="0"/>
        <w:autoSpaceDN w:val="0"/>
        <w:adjustRightInd w:val="0"/>
      </w:pPr>
    </w:p>
    <w:p w14:paraId="0499A1DB" w14:textId="77777777" w:rsidR="00E32EEF" w:rsidRPr="002949F6" w:rsidRDefault="00E32EEF" w:rsidP="00E32EEF">
      <w:pPr>
        <w:widowControl/>
        <w:autoSpaceDE w:val="0"/>
        <w:autoSpaceDN w:val="0"/>
        <w:adjustRightInd w:val="0"/>
        <w:rPr>
          <w:rFonts w:cstheme="minorHAnsi"/>
        </w:rPr>
      </w:pPr>
      <w:r w:rsidRPr="002949F6">
        <w:rPr>
          <w:rFonts w:cstheme="minorHAnsi"/>
        </w:rPr>
        <w:t>This report by Granlund (2019) studied a cohort of 12 biopsy proven prostate cancer patients with C-13 pyruvate hyperpolarized MRI, assessing their pyruvate metabolism and the reproducibility of delivery.  The</w:t>
      </w:r>
      <w:r>
        <w:rPr>
          <w:rFonts w:cstheme="minorHAnsi"/>
        </w:rPr>
        <w:t xml:space="preserve"> </w:t>
      </w:r>
      <w:r w:rsidRPr="002949F6">
        <w:rPr>
          <w:rFonts w:cstheme="minorHAnsi"/>
        </w:rPr>
        <w:t xml:space="preserve">time to max of pyruvate does not vary significantly within patients undergoing two separate injections or across patients. </w:t>
      </w:r>
      <w:r>
        <w:rPr>
          <w:rFonts w:cstheme="minorHAnsi"/>
        </w:rPr>
        <w:t>They show that</w:t>
      </w:r>
      <w:r w:rsidRPr="002949F6">
        <w:rPr>
          <w:rFonts w:cstheme="minorHAnsi"/>
        </w:rPr>
        <w:t xml:space="preserve"> lactate increases with Gleason grade. RNA sequencing data demonstrate a significant increase in the predominant pyruvate uptake transporter, monocarboxylate transporter 1. Increased protein expression was also observed in regions of high lactate signal, implicating it as the driver of lactate signal </w:t>
      </w:r>
      <w:r w:rsidRPr="005F6CE7">
        <w:rPr>
          <w:rFonts w:cstheme="minorHAnsi"/>
          <w:i/>
          <w:iCs/>
        </w:rPr>
        <w:t>in vivo</w:t>
      </w:r>
      <w:r w:rsidRPr="002949F6">
        <w:rPr>
          <w:rFonts w:cstheme="minorHAnsi"/>
        </w:rPr>
        <w:t>. Targeted DNA sequencing for actionable mutations revealed the highest lactate occurred in patients with PTEN loss. Th</w:t>
      </w:r>
      <w:r>
        <w:rPr>
          <w:rFonts w:cstheme="minorHAnsi"/>
        </w:rPr>
        <w:t xml:space="preserve">erefore, this </w:t>
      </w:r>
      <w:r w:rsidRPr="002949F6">
        <w:rPr>
          <w:rFonts w:cstheme="minorHAnsi"/>
        </w:rPr>
        <w:t>work identifies a potential link between actionable genomic alterations and metabolic information derived from hyperpolarized pyruvate MRI.</w:t>
      </w:r>
    </w:p>
    <w:p w14:paraId="587D0C99" w14:textId="77777777" w:rsidR="00894432" w:rsidRPr="003F4FAF" w:rsidRDefault="00894432" w:rsidP="006B5FA0">
      <w:pPr>
        <w:widowControl/>
        <w:autoSpaceDE w:val="0"/>
        <w:autoSpaceDN w:val="0"/>
        <w:adjustRightInd w:val="0"/>
      </w:pPr>
    </w:p>
    <w:p w14:paraId="62A25447" w14:textId="2E8A7EFC" w:rsidR="00957F89" w:rsidRPr="00C73849" w:rsidRDefault="00D92D87">
      <w:pPr>
        <w:pStyle w:val="Heading2"/>
        <w:rPr>
          <w:rFonts w:eastAsia="Times New Roman" w:hAnsi="Times New Roman" w:cs="Times New Roman"/>
          <w:szCs w:val="28"/>
        </w:rPr>
      </w:pPr>
      <w:bookmarkStart w:id="209" w:name="_Toc34900009"/>
      <w:bookmarkStart w:id="210" w:name="_Toc33702539"/>
      <w:bookmarkStart w:id="211" w:name="_Toc176276966"/>
      <w:r w:rsidRPr="00C73849">
        <w:t>6.</w:t>
      </w:r>
      <w:r w:rsidR="00702FD0">
        <w:t>5</w:t>
      </w:r>
      <w:r w:rsidRPr="00C73849">
        <w:tab/>
      </w:r>
      <w:r w:rsidRPr="00047711">
        <w:t>References</w:t>
      </w:r>
      <w:r w:rsidRPr="00C73849">
        <w:t>:</w:t>
      </w:r>
      <w:bookmarkEnd w:id="209"/>
      <w:bookmarkEnd w:id="210"/>
      <w:bookmarkEnd w:id="211"/>
    </w:p>
    <w:p w14:paraId="54383E0B" w14:textId="77777777" w:rsidR="00010FB7" w:rsidRDefault="00010FB7" w:rsidP="00712E4E"/>
    <w:p w14:paraId="63107317" w14:textId="7D4647FC" w:rsidR="00010FB7" w:rsidRPr="00981472" w:rsidRDefault="00010FB7" w:rsidP="006B5FA0">
      <w:pPr>
        <w:widowControl/>
        <w:autoSpaceDE w:val="0"/>
        <w:autoSpaceDN w:val="0"/>
        <w:adjustRightInd w:val="0"/>
        <w:rPr>
          <w:rFonts w:cstheme="minorHAnsi"/>
        </w:rPr>
      </w:pPr>
      <w:proofErr w:type="spellStart"/>
      <w:r w:rsidRPr="00981472">
        <w:rPr>
          <w:rFonts w:cstheme="minorHAnsi"/>
        </w:rPr>
        <w:t>Abeyakoon</w:t>
      </w:r>
      <w:proofErr w:type="spellEnd"/>
      <w:r w:rsidRPr="00981472">
        <w:rPr>
          <w:rFonts w:cstheme="minorHAnsi"/>
        </w:rPr>
        <w:t xml:space="preserve"> O, </w:t>
      </w:r>
      <w:proofErr w:type="spellStart"/>
      <w:r w:rsidRPr="00981472">
        <w:rPr>
          <w:rFonts w:cstheme="minorHAnsi"/>
        </w:rPr>
        <w:t>Latifoltojar</w:t>
      </w:r>
      <w:proofErr w:type="spellEnd"/>
      <w:r w:rsidRPr="00981472">
        <w:rPr>
          <w:rFonts w:cstheme="minorHAnsi"/>
        </w:rPr>
        <w:t xml:space="preserve"> A, Gong F, </w:t>
      </w:r>
      <w:proofErr w:type="spellStart"/>
      <w:r w:rsidRPr="00981472">
        <w:rPr>
          <w:rFonts w:cstheme="minorHAnsi"/>
        </w:rPr>
        <w:t>Papoutsaki</w:t>
      </w:r>
      <w:proofErr w:type="spellEnd"/>
      <w:r w:rsidRPr="00981472">
        <w:rPr>
          <w:rFonts w:cstheme="minorHAnsi"/>
        </w:rPr>
        <w:t xml:space="preserve"> M-V, Chowdhury R, Glaser M, et al. </w:t>
      </w:r>
      <w:proofErr w:type="spellStart"/>
      <w:r w:rsidRPr="00981472">
        <w:rPr>
          <w:rFonts w:cstheme="minorHAnsi"/>
        </w:rPr>
        <w:t>Hyperpolarised</w:t>
      </w:r>
      <w:proofErr w:type="spellEnd"/>
      <w:r w:rsidRPr="00981472">
        <w:rPr>
          <w:rFonts w:cstheme="minorHAnsi"/>
        </w:rPr>
        <w:t xml:space="preserve"> 13C MRI: a new horizon for noninvasive diagnosis of aggressive breast cancer</w:t>
      </w:r>
      <w:r w:rsidRPr="00981472">
        <w:rPr>
          <w:rFonts w:cstheme="minorHAnsi"/>
          <w:i/>
          <w:iCs/>
        </w:rPr>
        <w:t xml:space="preserve">. BJR Case Rep </w:t>
      </w:r>
      <w:r w:rsidRPr="00981472">
        <w:rPr>
          <w:rFonts w:cstheme="minorHAnsi"/>
        </w:rPr>
        <w:t xml:space="preserve">2019; </w:t>
      </w:r>
      <w:r w:rsidRPr="00981472">
        <w:rPr>
          <w:rFonts w:cstheme="minorHAnsi"/>
          <w:b/>
          <w:bCs/>
        </w:rPr>
        <w:t>5</w:t>
      </w:r>
      <w:r w:rsidRPr="00981472">
        <w:rPr>
          <w:rFonts w:cstheme="minorHAnsi"/>
        </w:rPr>
        <w:t xml:space="preserve">: 20190026 </w:t>
      </w:r>
    </w:p>
    <w:p w14:paraId="15DCAE0B" w14:textId="77777777" w:rsidR="00010FB7" w:rsidRPr="00981472" w:rsidRDefault="00010FB7" w:rsidP="00010FB7">
      <w:pPr>
        <w:rPr>
          <w:rFonts w:cstheme="minorHAnsi"/>
        </w:rPr>
      </w:pPr>
    </w:p>
    <w:p w14:paraId="34C535E5" w14:textId="0C4495CC" w:rsidR="003F21B2" w:rsidRDefault="00955B21" w:rsidP="003F21B2">
      <w:pPr>
        <w:rPr>
          <w:rFonts w:cstheme="minorHAnsi"/>
        </w:rPr>
      </w:pPr>
      <w:hyperlink r:id="rId86" w:history="1">
        <w:r w:rsidR="00712E4E" w:rsidRPr="00981472">
          <w:rPr>
            <w:rFonts w:cstheme="minorHAnsi"/>
          </w:rPr>
          <w:t>Aggarwal R</w:t>
        </w:r>
      </w:hyperlink>
      <w:r w:rsidR="00712E4E" w:rsidRPr="00981472">
        <w:rPr>
          <w:rFonts w:cstheme="minorHAnsi"/>
        </w:rPr>
        <w:t xml:space="preserve">, Vigneron DB, </w:t>
      </w:r>
      <w:hyperlink r:id="rId87" w:history="1">
        <w:proofErr w:type="spellStart"/>
        <w:r w:rsidR="00712E4E" w:rsidRPr="00981472">
          <w:rPr>
            <w:rFonts w:cstheme="minorHAnsi"/>
          </w:rPr>
          <w:t>Kurhanewicz</w:t>
        </w:r>
        <w:proofErr w:type="spellEnd"/>
        <w:r w:rsidR="00712E4E" w:rsidRPr="00981472">
          <w:rPr>
            <w:rFonts w:cstheme="minorHAnsi"/>
          </w:rPr>
          <w:t xml:space="preserve"> J</w:t>
        </w:r>
      </w:hyperlink>
      <w:r w:rsidR="00712E4E" w:rsidRPr="00981472">
        <w:rPr>
          <w:rFonts w:cstheme="minorHAnsi"/>
        </w:rPr>
        <w:t>. Hyperpolarized 1-[13C]-Pyruvate Magnetic Resonance Imaging Detects an Early Metabolic Response to Androgen Ablation Therapy in Prostate Cancer.</w:t>
      </w:r>
      <w:r w:rsidR="001C080C" w:rsidRPr="00981472">
        <w:rPr>
          <w:rFonts w:cstheme="minorHAnsi"/>
        </w:rPr>
        <w:t xml:space="preserve"> </w:t>
      </w:r>
      <w:hyperlink r:id="rId88" w:tooltip="European urology." w:history="1">
        <w:proofErr w:type="spellStart"/>
        <w:r w:rsidR="003F21B2" w:rsidRPr="00981472">
          <w:rPr>
            <w:rFonts w:cstheme="minorHAnsi"/>
          </w:rPr>
          <w:t>Eur</w:t>
        </w:r>
        <w:proofErr w:type="spellEnd"/>
        <w:r w:rsidR="003F21B2" w:rsidRPr="00981472">
          <w:rPr>
            <w:rFonts w:cstheme="minorHAnsi"/>
          </w:rPr>
          <w:t xml:space="preserve"> Urol.</w:t>
        </w:r>
      </w:hyperlink>
      <w:r w:rsidR="003F21B2" w:rsidRPr="00981472">
        <w:rPr>
          <w:rFonts w:cstheme="minorHAnsi"/>
        </w:rPr>
        <w:t xml:space="preserve"> 2017 Dec;72(6):1028-1029. </w:t>
      </w:r>
      <w:proofErr w:type="spellStart"/>
      <w:r w:rsidR="003F21B2" w:rsidRPr="00981472">
        <w:rPr>
          <w:rFonts w:cstheme="minorHAnsi"/>
        </w:rPr>
        <w:t>doi</w:t>
      </w:r>
      <w:proofErr w:type="spellEnd"/>
      <w:r w:rsidR="003F21B2" w:rsidRPr="00981472">
        <w:rPr>
          <w:rFonts w:cstheme="minorHAnsi"/>
        </w:rPr>
        <w:t xml:space="preserve">: 10.1016/j.eururo.2017.07.022. </w:t>
      </w:r>
      <w:proofErr w:type="spellStart"/>
      <w:r w:rsidR="003F21B2" w:rsidRPr="00981472">
        <w:rPr>
          <w:rFonts w:cstheme="minorHAnsi"/>
        </w:rPr>
        <w:t>Epub</w:t>
      </w:r>
      <w:proofErr w:type="spellEnd"/>
      <w:r w:rsidR="003F21B2" w:rsidRPr="00981472">
        <w:rPr>
          <w:rFonts w:cstheme="minorHAnsi"/>
        </w:rPr>
        <w:t xml:space="preserve"> 2017 Jul 29</w:t>
      </w:r>
    </w:p>
    <w:p w14:paraId="1EFEB53B" w14:textId="77777777" w:rsidR="00BA112C" w:rsidRPr="00981472" w:rsidRDefault="00BA112C" w:rsidP="003F21B2">
      <w:pPr>
        <w:rPr>
          <w:rFonts w:cstheme="minorHAnsi"/>
        </w:rPr>
      </w:pPr>
    </w:p>
    <w:p w14:paraId="7F4CF73D" w14:textId="3E336157" w:rsidR="00BA112C" w:rsidRDefault="00BA112C" w:rsidP="00BA112C">
      <w:pPr>
        <w:rPr>
          <w:rFonts w:cstheme="minorHAnsi"/>
        </w:rPr>
      </w:pPr>
      <w:r w:rsidRPr="00BA112C">
        <w:rPr>
          <w:rFonts w:cstheme="minorHAnsi"/>
        </w:rPr>
        <w:t>Autry A, Park I, Kline C, et al. Pilot Study of Hyperpolarized 13C Metabolic Imaging in Pediatric Patients with Diffuse Intrinsic Pontine Glioma and Other CNS Cancers. American Journal of Neuroradiology. January 2021, 42 (1) 178-184</w:t>
      </w:r>
    </w:p>
    <w:p w14:paraId="37AEA650" w14:textId="77777777" w:rsidR="00D30E5A" w:rsidRDefault="00D30E5A" w:rsidP="00BA112C">
      <w:pPr>
        <w:rPr>
          <w:rFonts w:cstheme="minorHAnsi"/>
        </w:rPr>
      </w:pPr>
    </w:p>
    <w:p w14:paraId="6F29E295" w14:textId="3CA7C1AD" w:rsidR="00D30E5A" w:rsidRDefault="00D30E5A" w:rsidP="00BA112C">
      <w:pPr>
        <w:rPr>
          <w:rFonts w:cstheme="minorHAnsi"/>
        </w:rPr>
      </w:pPr>
      <w:r w:rsidRPr="00D30E5A">
        <w:rPr>
          <w:rFonts w:cstheme="minorHAnsi"/>
        </w:rPr>
        <w:t>Autry A, Vaziri S, Jeremy G, et al. Advanced Hyperpolarized 13C Metabolic Imaging Protocol for Patients with Gliomas: A Comprehensive Multimodal MRI Approach. Cancers. 2024, 16, 354</w:t>
      </w:r>
    </w:p>
    <w:p w14:paraId="60EF5A95" w14:textId="77777777" w:rsidR="00D30E5A" w:rsidRDefault="00D30E5A" w:rsidP="00BA112C">
      <w:pPr>
        <w:rPr>
          <w:rFonts w:cstheme="minorHAnsi"/>
        </w:rPr>
      </w:pPr>
    </w:p>
    <w:p w14:paraId="700A5241" w14:textId="3998D1FD" w:rsidR="00D30E5A" w:rsidRPr="00BA112C" w:rsidRDefault="00D30E5A" w:rsidP="00BA112C">
      <w:pPr>
        <w:rPr>
          <w:rFonts w:cstheme="minorHAnsi"/>
        </w:rPr>
      </w:pPr>
      <w:r w:rsidRPr="00D30E5A">
        <w:rPr>
          <w:rFonts w:cstheme="minorHAnsi"/>
        </w:rPr>
        <w:t xml:space="preserve">Autry A, Vaziri S, LaFontaine M, et al. </w:t>
      </w:r>
      <w:proofErr w:type="gramStart"/>
      <w:r w:rsidRPr="00D30E5A">
        <w:rPr>
          <w:rFonts w:cstheme="minorHAnsi"/>
        </w:rPr>
        <w:t>Multi-parametric</w:t>
      </w:r>
      <w:proofErr w:type="gramEnd"/>
      <w:r w:rsidRPr="00D30E5A">
        <w:rPr>
          <w:rFonts w:cstheme="minorHAnsi"/>
        </w:rPr>
        <w:t xml:space="preserve"> hyperpolarized 13C/1H imaging reveals Warburg-related metabolic dysfunction and associated regional heterogeneity in high-grade human gliomas. </w:t>
      </w:r>
      <w:proofErr w:type="spellStart"/>
      <w:r w:rsidRPr="00D30E5A">
        <w:rPr>
          <w:rFonts w:cstheme="minorHAnsi"/>
        </w:rPr>
        <w:t>NeuroImage</w:t>
      </w:r>
      <w:proofErr w:type="spellEnd"/>
      <w:r w:rsidRPr="00D30E5A">
        <w:rPr>
          <w:rFonts w:cstheme="minorHAnsi"/>
        </w:rPr>
        <w:t>: Clinical. 2023; 39 103501</w:t>
      </w:r>
    </w:p>
    <w:p w14:paraId="1C0D65FE" w14:textId="0184B5EA" w:rsidR="00452C72" w:rsidRDefault="00452C72" w:rsidP="006B5FA0">
      <w:pPr>
        <w:rPr>
          <w:rFonts w:cstheme="minorHAnsi"/>
        </w:rPr>
      </w:pPr>
    </w:p>
    <w:p w14:paraId="5B4394EB" w14:textId="542A2337" w:rsidR="0063101E" w:rsidRDefault="0063101E" w:rsidP="0063101E">
      <w:pPr>
        <w:rPr>
          <w:rFonts w:cstheme="minorHAnsi"/>
        </w:rPr>
      </w:pPr>
      <w:r w:rsidRPr="0063101E">
        <w:rPr>
          <w:rFonts w:cstheme="minorHAnsi"/>
        </w:rPr>
        <w:t>Chowdhury</w:t>
      </w:r>
      <w:r>
        <w:rPr>
          <w:rFonts w:cstheme="minorHAnsi"/>
        </w:rPr>
        <w:t xml:space="preserve"> R, Mueller C, Smith L, et al. </w:t>
      </w:r>
      <w:r w:rsidRPr="0063101E">
        <w:rPr>
          <w:rFonts w:cstheme="minorHAnsi"/>
        </w:rPr>
        <w:t>Quantification of Prostate Cancer</w:t>
      </w:r>
      <w:r>
        <w:rPr>
          <w:rFonts w:cstheme="minorHAnsi"/>
        </w:rPr>
        <w:t xml:space="preserve"> </w:t>
      </w:r>
      <w:r w:rsidRPr="0063101E">
        <w:rPr>
          <w:rFonts w:cstheme="minorHAnsi"/>
        </w:rPr>
        <w:t xml:space="preserve">Metabolism Using 3D </w:t>
      </w:r>
      <w:proofErr w:type="spellStart"/>
      <w:r w:rsidRPr="0063101E">
        <w:rPr>
          <w:rFonts w:cstheme="minorHAnsi"/>
        </w:rPr>
        <w:t>Multiecho</w:t>
      </w:r>
      <w:proofErr w:type="spellEnd"/>
      <w:r w:rsidRPr="0063101E">
        <w:rPr>
          <w:rFonts w:cstheme="minorHAnsi"/>
        </w:rPr>
        <w:t xml:space="preserve"> </w:t>
      </w:r>
      <w:proofErr w:type="spellStart"/>
      <w:r w:rsidRPr="0063101E">
        <w:rPr>
          <w:rFonts w:cstheme="minorHAnsi"/>
        </w:rPr>
        <w:t>bSSFP</w:t>
      </w:r>
      <w:proofErr w:type="spellEnd"/>
      <w:r>
        <w:rPr>
          <w:rFonts w:cstheme="minorHAnsi"/>
        </w:rPr>
        <w:t xml:space="preserve"> </w:t>
      </w:r>
      <w:r w:rsidRPr="0063101E">
        <w:rPr>
          <w:rFonts w:cstheme="minorHAnsi"/>
        </w:rPr>
        <w:t>and Hyperpolarized [1-13C] Pyruvate:</w:t>
      </w:r>
      <w:r>
        <w:rPr>
          <w:rFonts w:cstheme="minorHAnsi"/>
        </w:rPr>
        <w:t xml:space="preserve"> </w:t>
      </w:r>
      <w:r w:rsidRPr="0063101E">
        <w:rPr>
          <w:rFonts w:cstheme="minorHAnsi"/>
        </w:rPr>
        <w:t>Metabolism Differs Between Tumors</w:t>
      </w:r>
      <w:r>
        <w:rPr>
          <w:rFonts w:cstheme="minorHAnsi"/>
        </w:rPr>
        <w:t xml:space="preserve"> </w:t>
      </w:r>
      <w:r w:rsidRPr="0063101E">
        <w:rPr>
          <w:rFonts w:cstheme="minorHAnsi"/>
        </w:rPr>
        <w:t>of the Same Gleason Grade</w:t>
      </w:r>
      <w:r>
        <w:rPr>
          <w:rFonts w:cstheme="minorHAnsi"/>
        </w:rPr>
        <w:t xml:space="preserve">. </w:t>
      </w:r>
      <w:r w:rsidRPr="0063101E">
        <w:rPr>
          <w:rFonts w:cstheme="minorHAnsi"/>
        </w:rPr>
        <w:t>Journal of Magnetic Resonance Imaging</w:t>
      </w:r>
      <w:r>
        <w:rPr>
          <w:rFonts w:cstheme="minorHAnsi"/>
        </w:rPr>
        <w:t>. 2022</w:t>
      </w:r>
    </w:p>
    <w:p w14:paraId="71442794" w14:textId="77777777" w:rsidR="0063101E" w:rsidRDefault="0063101E" w:rsidP="006B5FA0">
      <w:pPr>
        <w:rPr>
          <w:rFonts w:cstheme="minorHAnsi"/>
        </w:rPr>
      </w:pPr>
    </w:p>
    <w:p w14:paraId="7901E2C9" w14:textId="6F95E24C" w:rsidR="0028530F" w:rsidRDefault="0028530F" w:rsidP="006B5FA0">
      <w:pPr>
        <w:widowControl/>
        <w:autoSpaceDE w:val="0"/>
        <w:autoSpaceDN w:val="0"/>
        <w:adjustRightInd w:val="0"/>
        <w:rPr>
          <w:rFonts w:cstheme="minorHAnsi"/>
        </w:rPr>
      </w:pPr>
      <w:r w:rsidRPr="00981472">
        <w:rPr>
          <w:rFonts w:cstheme="minorHAnsi"/>
        </w:rPr>
        <w:t>Cunningham CH, Lau JYC, Chen AP, Geraghty BJ, Perks WJ,</w:t>
      </w:r>
      <w:r w:rsidR="001A7007" w:rsidRPr="00981472">
        <w:rPr>
          <w:rFonts w:cstheme="minorHAnsi"/>
        </w:rPr>
        <w:t xml:space="preserve"> </w:t>
      </w:r>
      <w:proofErr w:type="spellStart"/>
      <w:r w:rsidRPr="00981472">
        <w:rPr>
          <w:rFonts w:cstheme="minorHAnsi"/>
        </w:rPr>
        <w:t>Roifman</w:t>
      </w:r>
      <w:proofErr w:type="spellEnd"/>
      <w:r w:rsidR="001A7007" w:rsidRPr="00981472">
        <w:rPr>
          <w:rFonts w:cstheme="minorHAnsi"/>
        </w:rPr>
        <w:t xml:space="preserve"> I</w:t>
      </w:r>
      <w:r w:rsidRPr="00981472">
        <w:rPr>
          <w:rFonts w:cstheme="minorHAnsi"/>
        </w:rPr>
        <w:t>, Wright</w:t>
      </w:r>
      <w:r w:rsidR="001A7007" w:rsidRPr="00981472">
        <w:rPr>
          <w:rFonts w:cstheme="minorHAnsi"/>
        </w:rPr>
        <w:t xml:space="preserve"> GA</w:t>
      </w:r>
      <w:r w:rsidRPr="00981472">
        <w:rPr>
          <w:rFonts w:cstheme="minorHAnsi"/>
        </w:rPr>
        <w:t>, Connelly</w:t>
      </w:r>
      <w:r w:rsidR="001A7007" w:rsidRPr="00981472">
        <w:rPr>
          <w:rFonts w:cstheme="minorHAnsi"/>
        </w:rPr>
        <w:t xml:space="preserve"> KA, </w:t>
      </w:r>
      <w:r w:rsidR="00F403D0" w:rsidRPr="00981472">
        <w:rPr>
          <w:rFonts w:cstheme="minorHAnsi"/>
        </w:rPr>
        <w:t xml:space="preserve">Hyperpolarized 13C Metabolic MRI of the Human Heart: </w:t>
      </w:r>
      <w:proofErr w:type="gramStart"/>
      <w:r w:rsidR="00F403D0" w:rsidRPr="00981472">
        <w:rPr>
          <w:rFonts w:cstheme="minorHAnsi"/>
        </w:rPr>
        <w:t>Initial  Experience</w:t>
      </w:r>
      <w:proofErr w:type="gramEnd"/>
      <w:r w:rsidR="00F403D0" w:rsidRPr="00981472">
        <w:rPr>
          <w:rFonts w:cstheme="minorHAnsi"/>
        </w:rPr>
        <w:t xml:space="preserve">, </w:t>
      </w:r>
      <w:r w:rsidRPr="00981472">
        <w:rPr>
          <w:rFonts w:cstheme="minorHAnsi"/>
        </w:rPr>
        <w:t>Circ Res. 2016;119:1177-1182. DOI: 10.1161/CIRCRESAHA.116.309769</w:t>
      </w:r>
    </w:p>
    <w:p w14:paraId="2BC840CC" w14:textId="77777777" w:rsidR="00355CD0" w:rsidRDefault="00355CD0" w:rsidP="006B5FA0">
      <w:pPr>
        <w:widowControl/>
        <w:autoSpaceDE w:val="0"/>
        <w:autoSpaceDN w:val="0"/>
        <w:adjustRightInd w:val="0"/>
        <w:rPr>
          <w:rFonts w:cstheme="minorHAnsi"/>
        </w:rPr>
      </w:pPr>
    </w:p>
    <w:p w14:paraId="17D840DE" w14:textId="11CD2FA2" w:rsidR="00355CD0" w:rsidRPr="00981472" w:rsidRDefault="00355CD0" w:rsidP="006B5FA0">
      <w:pPr>
        <w:widowControl/>
        <w:autoSpaceDE w:val="0"/>
        <w:autoSpaceDN w:val="0"/>
        <w:adjustRightInd w:val="0"/>
        <w:rPr>
          <w:rFonts w:cstheme="minorHAnsi"/>
        </w:rPr>
      </w:pPr>
      <w:r w:rsidRPr="00355CD0">
        <w:rPr>
          <w:rFonts w:cstheme="minorHAnsi"/>
        </w:rPr>
        <w:t>Deen S, Rooney C, Shinozaki A, et al. Hyperpolarized Carbon 13 MRI: Clinical Applications and Future Directions in Oncology. Radiology: Imaging Cancer 2023; 5(5</w:t>
      </w:r>
      <w:proofErr w:type="gramStart"/>
      <w:r w:rsidRPr="00355CD0">
        <w:rPr>
          <w:rFonts w:cstheme="minorHAnsi"/>
        </w:rPr>
        <w:t>):e</w:t>
      </w:r>
      <w:proofErr w:type="gramEnd"/>
      <w:r w:rsidRPr="00355CD0">
        <w:rPr>
          <w:rFonts w:cstheme="minorHAnsi"/>
        </w:rPr>
        <w:t>230005</w:t>
      </w:r>
    </w:p>
    <w:p w14:paraId="08882035" w14:textId="6274C4DB" w:rsidR="00957F89" w:rsidRDefault="00D92D87">
      <w:pPr>
        <w:pStyle w:val="BodyText"/>
        <w:spacing w:before="233"/>
        <w:ind w:right="151"/>
        <w:rPr>
          <w:rFonts w:cstheme="minorHAnsi"/>
          <w:szCs w:val="22"/>
        </w:rPr>
      </w:pPr>
      <w:r w:rsidRPr="00981472">
        <w:rPr>
          <w:rFonts w:cstheme="minorHAnsi"/>
          <w:szCs w:val="22"/>
        </w:rPr>
        <w:t xml:space="preserve">Dijkstra U, </w:t>
      </w:r>
      <w:proofErr w:type="spellStart"/>
      <w:r w:rsidRPr="00981472">
        <w:rPr>
          <w:rFonts w:cstheme="minorHAnsi"/>
          <w:szCs w:val="22"/>
        </w:rPr>
        <w:t>Gabreels</w:t>
      </w:r>
      <w:proofErr w:type="spellEnd"/>
      <w:r w:rsidRPr="00981472">
        <w:rPr>
          <w:rFonts w:cstheme="minorHAnsi"/>
          <w:szCs w:val="22"/>
        </w:rPr>
        <w:t xml:space="preserve"> F, Joosten E, Wevers R</w:t>
      </w:r>
      <w:proofErr w:type="gramStart"/>
      <w:r w:rsidRPr="00981472">
        <w:rPr>
          <w:rFonts w:cstheme="minorHAnsi"/>
          <w:szCs w:val="22"/>
        </w:rPr>
        <w:t>, .Lamers</w:t>
      </w:r>
      <w:proofErr w:type="gramEnd"/>
      <w:r w:rsidRPr="00981472">
        <w:rPr>
          <w:rFonts w:cstheme="minorHAnsi"/>
          <w:szCs w:val="22"/>
        </w:rPr>
        <w:t xml:space="preserve"> K, Doesburg W, Renier W. Friedreich’s</w:t>
      </w:r>
      <w:r w:rsidRPr="00981472">
        <w:rPr>
          <w:rFonts w:cstheme="minorHAnsi"/>
          <w:w w:val="99"/>
          <w:szCs w:val="22"/>
        </w:rPr>
        <w:t xml:space="preserve"> </w:t>
      </w:r>
      <w:r w:rsidRPr="00981472">
        <w:rPr>
          <w:rFonts w:cstheme="minorHAnsi"/>
          <w:szCs w:val="22"/>
        </w:rPr>
        <w:t xml:space="preserve">ataxia: intravenous pyruvate load to demonstrate a defect in pyruvate metabolism. Neurology 1984; </w:t>
      </w:r>
      <w:r w:rsidRPr="00981472">
        <w:rPr>
          <w:rFonts w:cstheme="minorHAnsi"/>
          <w:szCs w:val="22"/>
        </w:rPr>
        <w:lastRenderedPageBreak/>
        <w:t>34(11):1493-7</w:t>
      </w:r>
      <w:r w:rsidR="00355CD0">
        <w:rPr>
          <w:rFonts w:cstheme="minorHAnsi"/>
          <w:szCs w:val="22"/>
        </w:rPr>
        <w:t>.</w:t>
      </w:r>
    </w:p>
    <w:p w14:paraId="3B3F65CC" w14:textId="07C7B932" w:rsidR="00355CD0" w:rsidRPr="00981472" w:rsidRDefault="00355CD0">
      <w:pPr>
        <w:pStyle w:val="BodyText"/>
        <w:spacing w:before="233"/>
        <w:ind w:right="151"/>
        <w:rPr>
          <w:rFonts w:cstheme="minorHAnsi"/>
          <w:szCs w:val="22"/>
        </w:rPr>
      </w:pPr>
      <w:r w:rsidRPr="00355CD0">
        <w:rPr>
          <w:rFonts w:cstheme="minorHAnsi"/>
          <w:szCs w:val="22"/>
        </w:rPr>
        <w:t>Gordon J, Chen H, Nickles T, et al. Hyperpolarized 13C Metabolic MRI of Patients with Pancreatic Ductal Adenocarcinoma. J. MAGN. RESON. IMAGING 2024; 60:741–749</w:t>
      </w:r>
    </w:p>
    <w:p w14:paraId="2766FB95" w14:textId="77777777" w:rsidR="00BB522B" w:rsidRDefault="00BB522B" w:rsidP="003E0370">
      <w:pPr>
        <w:rPr>
          <w:rFonts w:eastAsia="Times New Roman" w:cstheme="minorHAnsi"/>
        </w:rPr>
      </w:pPr>
    </w:p>
    <w:p w14:paraId="251BCE25" w14:textId="64177E56" w:rsidR="003E0370" w:rsidRPr="00981472" w:rsidRDefault="003E0370" w:rsidP="003E0370">
      <w:pPr>
        <w:rPr>
          <w:rFonts w:eastAsia="Times New Roman" w:cstheme="minorHAnsi"/>
        </w:rPr>
      </w:pPr>
      <w:r w:rsidRPr="00981472">
        <w:rPr>
          <w:rFonts w:eastAsia="Times New Roman" w:cstheme="minorHAnsi"/>
        </w:rPr>
        <w:t xml:space="preserve">Granlund KL, Tee SS, Vargas HA, </w:t>
      </w:r>
      <w:proofErr w:type="spellStart"/>
      <w:r w:rsidRPr="00981472">
        <w:rPr>
          <w:rFonts w:eastAsia="Times New Roman" w:cstheme="minorHAnsi"/>
        </w:rPr>
        <w:t>Lyashchenko</w:t>
      </w:r>
      <w:proofErr w:type="spellEnd"/>
      <w:r w:rsidRPr="00981472">
        <w:rPr>
          <w:rFonts w:eastAsia="Times New Roman" w:cstheme="minorHAnsi"/>
        </w:rPr>
        <w:t xml:space="preserve"> SK, Reznik E, Fine S, Laudone V, Eastham JA, </w:t>
      </w:r>
      <w:proofErr w:type="spellStart"/>
      <w:r w:rsidRPr="00981472">
        <w:rPr>
          <w:rFonts w:eastAsia="Times New Roman" w:cstheme="minorHAnsi"/>
        </w:rPr>
        <w:t>Touijer</w:t>
      </w:r>
      <w:proofErr w:type="spellEnd"/>
      <w:r w:rsidRPr="00981472">
        <w:rPr>
          <w:rFonts w:eastAsia="Times New Roman" w:cstheme="minorHAnsi"/>
        </w:rPr>
        <w:t xml:space="preserve"> KA, Reuter VE, Gonen M, Sosa RE, Nicholson D, Guo YW, Chen AP, Tropp J, Robb F, </w:t>
      </w:r>
      <w:proofErr w:type="spellStart"/>
      <w:r w:rsidRPr="00981472">
        <w:rPr>
          <w:rFonts w:eastAsia="Times New Roman" w:cstheme="minorHAnsi"/>
        </w:rPr>
        <w:t>Hricak</w:t>
      </w:r>
      <w:proofErr w:type="spellEnd"/>
      <w:r w:rsidRPr="00981472">
        <w:rPr>
          <w:rFonts w:eastAsia="Times New Roman" w:cstheme="minorHAnsi"/>
        </w:rPr>
        <w:t xml:space="preserve"> H, Keshari KR. Hyperpolarized MRI of Human Prostate Cancer Reveals Increased Lactate with Tumor Grade Driven by Monocarboxylate Transporter 1. Cell </w:t>
      </w:r>
      <w:proofErr w:type="spellStart"/>
      <w:r w:rsidRPr="00981472">
        <w:rPr>
          <w:rFonts w:eastAsia="Times New Roman" w:cstheme="minorHAnsi"/>
        </w:rPr>
        <w:t>Metab</w:t>
      </w:r>
      <w:proofErr w:type="spellEnd"/>
      <w:r w:rsidRPr="00981472">
        <w:rPr>
          <w:rFonts w:eastAsia="Times New Roman" w:cstheme="minorHAnsi"/>
        </w:rPr>
        <w:t xml:space="preserve">. 2020 Jan 7;31(1):105-114.e3. </w:t>
      </w:r>
      <w:proofErr w:type="spellStart"/>
      <w:r w:rsidRPr="00981472">
        <w:rPr>
          <w:rFonts w:eastAsia="Times New Roman" w:cstheme="minorHAnsi"/>
        </w:rPr>
        <w:t>doi</w:t>
      </w:r>
      <w:proofErr w:type="spellEnd"/>
      <w:r w:rsidRPr="00981472">
        <w:rPr>
          <w:rFonts w:eastAsia="Times New Roman" w:cstheme="minorHAnsi"/>
        </w:rPr>
        <w:t xml:space="preserve">: 10.1016/j.cmet.2019.08.024. </w:t>
      </w:r>
      <w:proofErr w:type="spellStart"/>
      <w:r w:rsidRPr="00981472">
        <w:rPr>
          <w:rFonts w:eastAsia="Times New Roman" w:cstheme="minorHAnsi"/>
        </w:rPr>
        <w:t>Epub</w:t>
      </w:r>
      <w:proofErr w:type="spellEnd"/>
      <w:r w:rsidRPr="00981472">
        <w:rPr>
          <w:rFonts w:eastAsia="Times New Roman" w:cstheme="minorHAnsi"/>
        </w:rPr>
        <w:t xml:space="preserve"> 2019 Sep 26</w:t>
      </w:r>
    </w:p>
    <w:p w14:paraId="694840C2" w14:textId="7456857A" w:rsidR="00957F89" w:rsidRPr="00981472" w:rsidRDefault="00BB522B" w:rsidP="00BB522B">
      <w:pPr>
        <w:pStyle w:val="Title1"/>
        <w:rPr>
          <w:rFonts w:asciiTheme="minorHAnsi" w:hAnsiTheme="minorHAnsi" w:cstheme="minorHAnsi"/>
          <w:sz w:val="22"/>
          <w:szCs w:val="22"/>
        </w:rPr>
      </w:pPr>
      <w:r w:rsidRPr="00981472">
        <w:rPr>
          <w:rFonts w:asciiTheme="minorHAnsi" w:hAnsiTheme="minorHAnsi" w:cstheme="minorHAnsi"/>
          <w:sz w:val="22"/>
          <w:szCs w:val="22"/>
        </w:rPr>
        <w:t xml:space="preserve">Grist JT, McLean MA, Riemer F, Schulte RF, Deen SS, </w:t>
      </w:r>
      <w:proofErr w:type="spellStart"/>
      <w:r w:rsidRPr="00981472">
        <w:rPr>
          <w:rFonts w:asciiTheme="minorHAnsi" w:hAnsiTheme="minorHAnsi" w:cstheme="minorHAnsi"/>
          <w:sz w:val="22"/>
          <w:szCs w:val="22"/>
        </w:rPr>
        <w:t>Zaccagna</w:t>
      </w:r>
      <w:proofErr w:type="spellEnd"/>
      <w:r w:rsidRPr="00981472">
        <w:rPr>
          <w:rFonts w:asciiTheme="minorHAnsi" w:hAnsiTheme="minorHAnsi" w:cstheme="minorHAnsi"/>
          <w:sz w:val="22"/>
          <w:szCs w:val="22"/>
        </w:rPr>
        <w:t xml:space="preserve"> F, </w:t>
      </w:r>
      <w:proofErr w:type="spellStart"/>
      <w:r w:rsidRPr="00981472">
        <w:rPr>
          <w:rFonts w:asciiTheme="minorHAnsi" w:hAnsiTheme="minorHAnsi" w:cstheme="minorHAnsi"/>
          <w:sz w:val="22"/>
          <w:szCs w:val="22"/>
        </w:rPr>
        <w:t>Woitek</w:t>
      </w:r>
      <w:proofErr w:type="spellEnd"/>
      <w:r w:rsidRPr="00981472">
        <w:rPr>
          <w:rFonts w:asciiTheme="minorHAnsi" w:hAnsiTheme="minorHAnsi" w:cstheme="minorHAnsi"/>
          <w:sz w:val="22"/>
          <w:szCs w:val="22"/>
        </w:rPr>
        <w:t xml:space="preserve"> R, Daniels CJ, </w:t>
      </w:r>
      <w:proofErr w:type="spellStart"/>
      <w:r w:rsidRPr="00981472">
        <w:rPr>
          <w:rFonts w:asciiTheme="minorHAnsi" w:hAnsiTheme="minorHAnsi" w:cstheme="minorHAnsi"/>
          <w:sz w:val="22"/>
          <w:szCs w:val="22"/>
        </w:rPr>
        <w:t>Kaggie</w:t>
      </w:r>
      <w:proofErr w:type="spellEnd"/>
      <w:r w:rsidRPr="00981472">
        <w:rPr>
          <w:rFonts w:asciiTheme="minorHAnsi" w:hAnsiTheme="minorHAnsi" w:cstheme="minorHAnsi"/>
          <w:sz w:val="22"/>
          <w:szCs w:val="22"/>
        </w:rPr>
        <w:t xml:space="preserve"> JD, Matys T, Patterson I, Slough R, Gill AB, Chhabra A, Eichenberger R, Laurent MC, Comment A, Gillard JH, Coles AJ, Tyler DJ, Wilkinson I, Basu B, Lomas DJ, Graves MJ, Brindle KM, Gallagher FA, </w:t>
      </w:r>
      <w:hyperlink r:id="rId89" w:history="1">
        <w:r w:rsidRPr="00981472">
          <w:rPr>
            <w:rFonts w:asciiTheme="minorHAnsi" w:eastAsiaTheme="majorEastAsia" w:hAnsiTheme="minorHAnsi" w:cstheme="minorHAnsi"/>
            <w:sz w:val="22"/>
            <w:szCs w:val="22"/>
          </w:rPr>
          <w:t>Quantifying normal human brain metabolism using hyperpolarized [1-13C]pyruvate and magnetic resonance imaging.</w:t>
        </w:r>
      </w:hyperlink>
      <w:r w:rsidRPr="00981472">
        <w:rPr>
          <w:rFonts w:asciiTheme="minorHAnsi" w:hAnsiTheme="minorHAnsi" w:cstheme="minorHAnsi"/>
          <w:sz w:val="22"/>
          <w:szCs w:val="22"/>
        </w:rPr>
        <w:t xml:space="preserve"> Neuroimage. 2019 Apr </w:t>
      </w:r>
      <w:proofErr w:type="gramStart"/>
      <w:r w:rsidRPr="00981472">
        <w:rPr>
          <w:rFonts w:asciiTheme="minorHAnsi" w:hAnsiTheme="minorHAnsi" w:cstheme="minorHAnsi"/>
          <w:sz w:val="22"/>
          <w:szCs w:val="22"/>
        </w:rPr>
        <w:t>1;189:171</w:t>
      </w:r>
      <w:proofErr w:type="gramEnd"/>
      <w:r w:rsidRPr="00981472">
        <w:rPr>
          <w:rFonts w:asciiTheme="minorHAnsi" w:hAnsiTheme="minorHAnsi" w:cstheme="minorHAnsi"/>
          <w:sz w:val="22"/>
          <w:szCs w:val="22"/>
        </w:rPr>
        <w:t xml:space="preserve">-179. </w:t>
      </w:r>
      <w:proofErr w:type="spellStart"/>
      <w:r w:rsidRPr="00981472">
        <w:rPr>
          <w:rFonts w:asciiTheme="minorHAnsi" w:hAnsiTheme="minorHAnsi" w:cstheme="minorHAnsi"/>
          <w:sz w:val="22"/>
          <w:szCs w:val="22"/>
        </w:rPr>
        <w:t>doi</w:t>
      </w:r>
      <w:proofErr w:type="spellEnd"/>
      <w:r w:rsidRPr="00981472">
        <w:rPr>
          <w:rFonts w:asciiTheme="minorHAnsi" w:hAnsiTheme="minorHAnsi" w:cstheme="minorHAnsi"/>
          <w:sz w:val="22"/>
          <w:szCs w:val="22"/>
        </w:rPr>
        <w:t xml:space="preserve">: 10.1016/j.neuroimage.2019.01.027. </w:t>
      </w:r>
      <w:proofErr w:type="spellStart"/>
      <w:r w:rsidRPr="00981472">
        <w:rPr>
          <w:rFonts w:asciiTheme="minorHAnsi" w:hAnsiTheme="minorHAnsi" w:cstheme="minorHAnsi"/>
          <w:sz w:val="22"/>
          <w:szCs w:val="22"/>
        </w:rPr>
        <w:t>Epub</w:t>
      </w:r>
      <w:proofErr w:type="spellEnd"/>
      <w:r w:rsidRPr="00981472">
        <w:rPr>
          <w:rFonts w:asciiTheme="minorHAnsi" w:hAnsiTheme="minorHAnsi" w:cstheme="minorHAnsi"/>
          <w:sz w:val="22"/>
          <w:szCs w:val="22"/>
        </w:rPr>
        <w:t xml:space="preserve"> 2019 Jan 11</w:t>
      </w:r>
    </w:p>
    <w:p w14:paraId="13E93276" w14:textId="77777777" w:rsidR="00957F89" w:rsidRDefault="00D92D87">
      <w:pPr>
        <w:pStyle w:val="BodyText"/>
        <w:ind w:right="181"/>
        <w:rPr>
          <w:rFonts w:cstheme="minorHAnsi"/>
          <w:szCs w:val="22"/>
        </w:rPr>
      </w:pPr>
      <w:r w:rsidRPr="00981472">
        <w:rPr>
          <w:rFonts w:cstheme="minorHAnsi"/>
          <w:szCs w:val="22"/>
        </w:rPr>
        <w:t xml:space="preserve">Hermann HP, Pieske B, </w:t>
      </w:r>
      <w:proofErr w:type="spellStart"/>
      <w:r w:rsidRPr="00981472">
        <w:rPr>
          <w:rFonts w:cstheme="minorHAnsi"/>
          <w:szCs w:val="22"/>
        </w:rPr>
        <w:t>Schwarzmüller</w:t>
      </w:r>
      <w:proofErr w:type="spellEnd"/>
      <w:r w:rsidRPr="00981472">
        <w:rPr>
          <w:rFonts w:cstheme="minorHAnsi"/>
          <w:szCs w:val="22"/>
        </w:rPr>
        <w:t xml:space="preserve"> E, Keul J, Just H, Hasenfuss G. </w:t>
      </w:r>
      <w:proofErr w:type="spellStart"/>
      <w:r w:rsidRPr="00981472">
        <w:rPr>
          <w:rFonts w:cstheme="minorHAnsi"/>
          <w:szCs w:val="22"/>
        </w:rPr>
        <w:t>Haemodynamic</w:t>
      </w:r>
      <w:proofErr w:type="spellEnd"/>
      <w:r w:rsidRPr="00981472">
        <w:rPr>
          <w:rFonts w:cstheme="minorHAnsi"/>
          <w:szCs w:val="22"/>
        </w:rPr>
        <w:t xml:space="preserve"> effects</w:t>
      </w:r>
      <w:r w:rsidRPr="00981472">
        <w:rPr>
          <w:rFonts w:cstheme="minorHAnsi"/>
          <w:w w:val="99"/>
          <w:szCs w:val="22"/>
        </w:rPr>
        <w:t xml:space="preserve"> </w:t>
      </w:r>
      <w:r w:rsidRPr="00981472">
        <w:rPr>
          <w:rFonts w:cstheme="minorHAnsi"/>
          <w:szCs w:val="22"/>
        </w:rPr>
        <w:t>of intracoronary pyruvate in patients with congestive heart failure: an open study. Lancet</w:t>
      </w:r>
      <w:r w:rsidRPr="00981472">
        <w:rPr>
          <w:rFonts w:cstheme="minorHAnsi"/>
          <w:w w:val="99"/>
          <w:szCs w:val="22"/>
        </w:rPr>
        <w:t xml:space="preserve"> </w:t>
      </w:r>
      <w:proofErr w:type="gramStart"/>
      <w:r w:rsidRPr="00981472">
        <w:rPr>
          <w:rFonts w:cstheme="minorHAnsi"/>
          <w:szCs w:val="22"/>
        </w:rPr>
        <w:t>1999;353:1321</w:t>
      </w:r>
      <w:proofErr w:type="gramEnd"/>
      <w:r w:rsidRPr="00981472">
        <w:rPr>
          <w:rFonts w:cstheme="minorHAnsi"/>
          <w:szCs w:val="22"/>
        </w:rPr>
        <w:t>-23</w:t>
      </w:r>
    </w:p>
    <w:p w14:paraId="10E5AB92" w14:textId="77777777" w:rsidR="00355CD0" w:rsidRDefault="00355CD0">
      <w:pPr>
        <w:pStyle w:val="BodyText"/>
        <w:ind w:right="181"/>
        <w:rPr>
          <w:rFonts w:cstheme="minorHAnsi"/>
          <w:szCs w:val="22"/>
        </w:rPr>
      </w:pPr>
    </w:p>
    <w:p w14:paraId="4FC2FAAB" w14:textId="5471870F" w:rsidR="00355CD0" w:rsidRDefault="00355CD0">
      <w:pPr>
        <w:pStyle w:val="BodyText"/>
        <w:ind w:right="181"/>
        <w:rPr>
          <w:rFonts w:cstheme="minorHAnsi"/>
          <w:szCs w:val="22"/>
        </w:rPr>
      </w:pPr>
      <w:r w:rsidRPr="00355CD0">
        <w:rPr>
          <w:rFonts w:cstheme="minorHAnsi"/>
          <w:szCs w:val="22"/>
        </w:rPr>
        <w:t xml:space="preserve">Lai Y, Hsieh C, Juan Y, et al. Hyperpolarized Carbon-13 Magnetic Resonance Imaging: Technical Considerations and Clinical Applications. Korean J </w:t>
      </w:r>
      <w:proofErr w:type="spellStart"/>
      <w:r w:rsidRPr="00355CD0">
        <w:rPr>
          <w:rFonts w:cstheme="minorHAnsi"/>
          <w:szCs w:val="22"/>
        </w:rPr>
        <w:t>Radiol</w:t>
      </w:r>
      <w:proofErr w:type="spellEnd"/>
      <w:r w:rsidRPr="00355CD0">
        <w:rPr>
          <w:rFonts w:cstheme="minorHAnsi"/>
          <w:szCs w:val="22"/>
        </w:rPr>
        <w:t>. 2024;25(5):459-472</w:t>
      </w:r>
    </w:p>
    <w:p w14:paraId="324E0DD3" w14:textId="77777777" w:rsidR="00355CD0" w:rsidRDefault="00355CD0">
      <w:pPr>
        <w:pStyle w:val="BodyText"/>
        <w:ind w:right="181"/>
        <w:rPr>
          <w:rFonts w:cstheme="minorHAnsi"/>
          <w:szCs w:val="22"/>
        </w:rPr>
      </w:pPr>
    </w:p>
    <w:p w14:paraId="6E4BE1E6" w14:textId="5D7DFFE4" w:rsidR="00355CD0" w:rsidRPr="00981472" w:rsidRDefault="00355CD0">
      <w:pPr>
        <w:pStyle w:val="BodyText"/>
        <w:ind w:right="181"/>
        <w:rPr>
          <w:rFonts w:cstheme="minorHAnsi"/>
          <w:szCs w:val="22"/>
        </w:rPr>
      </w:pPr>
      <w:r w:rsidRPr="00355CD0">
        <w:rPr>
          <w:rFonts w:cstheme="minorHAnsi"/>
          <w:szCs w:val="22"/>
        </w:rPr>
        <w:t>Larson P, Bernard J, Bankson J, et al. Current methods for hyperpolarized [1-13</w:t>
      </w:r>
      <w:proofErr w:type="gramStart"/>
      <w:r w:rsidRPr="00355CD0">
        <w:rPr>
          <w:rFonts w:cstheme="minorHAnsi"/>
          <w:szCs w:val="22"/>
        </w:rPr>
        <w:t>C]pyruvate</w:t>
      </w:r>
      <w:proofErr w:type="gramEnd"/>
      <w:r w:rsidRPr="00355CD0">
        <w:rPr>
          <w:rFonts w:cstheme="minorHAnsi"/>
          <w:szCs w:val="22"/>
        </w:rPr>
        <w:t xml:space="preserve"> MRI human studies. Magn </w:t>
      </w:r>
      <w:proofErr w:type="spellStart"/>
      <w:r w:rsidRPr="00355CD0">
        <w:rPr>
          <w:rFonts w:cstheme="minorHAnsi"/>
          <w:szCs w:val="22"/>
        </w:rPr>
        <w:t>Reson</w:t>
      </w:r>
      <w:proofErr w:type="spellEnd"/>
      <w:r w:rsidRPr="00355CD0">
        <w:rPr>
          <w:rFonts w:cstheme="minorHAnsi"/>
          <w:szCs w:val="22"/>
        </w:rPr>
        <w:t xml:space="preserve"> Med. </w:t>
      </w:r>
      <w:proofErr w:type="gramStart"/>
      <w:r w:rsidRPr="00355CD0">
        <w:rPr>
          <w:rFonts w:cstheme="minorHAnsi"/>
          <w:szCs w:val="22"/>
        </w:rPr>
        <w:t>2024;91:2204</w:t>
      </w:r>
      <w:proofErr w:type="gramEnd"/>
      <w:r w:rsidRPr="00355CD0">
        <w:rPr>
          <w:rFonts w:cstheme="minorHAnsi"/>
          <w:szCs w:val="22"/>
        </w:rPr>
        <w:t>–2228</w:t>
      </w:r>
    </w:p>
    <w:p w14:paraId="089641D1" w14:textId="77777777" w:rsidR="00F60ACC" w:rsidRPr="00981472" w:rsidRDefault="00F60ACC">
      <w:pPr>
        <w:spacing w:before="10"/>
        <w:rPr>
          <w:rFonts w:cstheme="minorHAnsi"/>
        </w:rPr>
      </w:pPr>
    </w:p>
    <w:p w14:paraId="159D1082" w14:textId="77777777" w:rsidR="00957F89" w:rsidRDefault="00D92D87">
      <w:pPr>
        <w:pStyle w:val="BodyText"/>
        <w:ind w:right="311"/>
        <w:rPr>
          <w:rFonts w:cstheme="minorHAnsi"/>
          <w:szCs w:val="22"/>
        </w:rPr>
      </w:pPr>
      <w:r w:rsidRPr="00981472">
        <w:rPr>
          <w:rFonts w:cstheme="minorHAnsi"/>
          <w:szCs w:val="22"/>
        </w:rPr>
        <w:t xml:space="preserve">Leong HS, </w:t>
      </w:r>
      <w:proofErr w:type="spellStart"/>
      <w:r w:rsidRPr="00981472">
        <w:rPr>
          <w:rFonts w:cstheme="minorHAnsi"/>
          <w:szCs w:val="22"/>
        </w:rPr>
        <w:t>Brownsey</w:t>
      </w:r>
      <w:proofErr w:type="spellEnd"/>
      <w:r w:rsidRPr="00981472">
        <w:rPr>
          <w:rFonts w:cstheme="minorHAnsi"/>
          <w:szCs w:val="22"/>
        </w:rPr>
        <w:t xml:space="preserve"> RW, Kulpa JE, Allard MF. Glycolysis and pyruvate oxidation in cardiac</w:t>
      </w:r>
      <w:r w:rsidRPr="00981472">
        <w:rPr>
          <w:rFonts w:cstheme="minorHAnsi"/>
          <w:w w:val="99"/>
          <w:szCs w:val="22"/>
        </w:rPr>
        <w:t xml:space="preserve"> </w:t>
      </w:r>
      <w:r w:rsidRPr="00981472">
        <w:rPr>
          <w:rFonts w:cstheme="minorHAnsi"/>
          <w:szCs w:val="22"/>
        </w:rPr>
        <w:t>hypertrophy – Why so unbalanced? Comparative Biochemistry and Physiology Part A 2003;135: 499-513</w:t>
      </w:r>
    </w:p>
    <w:p w14:paraId="78D38792" w14:textId="77777777" w:rsidR="00355CD0" w:rsidRDefault="00355CD0">
      <w:pPr>
        <w:pStyle w:val="BodyText"/>
        <w:ind w:right="311"/>
        <w:rPr>
          <w:rFonts w:cstheme="minorHAnsi"/>
          <w:szCs w:val="22"/>
        </w:rPr>
      </w:pPr>
    </w:p>
    <w:p w14:paraId="1420482A" w14:textId="5B32583D" w:rsidR="00355CD0" w:rsidRPr="00981472" w:rsidRDefault="00355CD0">
      <w:pPr>
        <w:pStyle w:val="BodyText"/>
        <w:ind w:right="311"/>
        <w:rPr>
          <w:rFonts w:cstheme="minorHAnsi"/>
          <w:szCs w:val="22"/>
        </w:rPr>
      </w:pPr>
      <w:r w:rsidRPr="00355CD0">
        <w:rPr>
          <w:rFonts w:cstheme="minorHAnsi"/>
          <w:szCs w:val="22"/>
        </w:rPr>
        <w:t>Lin G, Hsieh C, Lai Y, et al. Hyperpolarized [1.13C</w:t>
      </w:r>
      <w:proofErr w:type="gramStart"/>
      <w:r w:rsidRPr="00355CD0">
        <w:rPr>
          <w:rFonts w:cstheme="minorHAnsi"/>
          <w:szCs w:val="22"/>
        </w:rPr>
        <w:t>].pyruvate</w:t>
      </w:r>
      <w:proofErr w:type="gramEnd"/>
      <w:r w:rsidRPr="00355CD0">
        <w:rPr>
          <w:rFonts w:cstheme="minorHAnsi"/>
          <w:szCs w:val="22"/>
        </w:rPr>
        <w:t xml:space="preserve"> MRS evaluates immune potential and predicts response to radiotherapy in cervical cancer. European Radiology Experimental. 2024; 8:46</w:t>
      </w:r>
    </w:p>
    <w:p w14:paraId="458F11E2" w14:textId="77777777" w:rsidR="00957F89" w:rsidRPr="00981472" w:rsidRDefault="00957F89">
      <w:pPr>
        <w:spacing w:before="10"/>
        <w:rPr>
          <w:rFonts w:cstheme="minorHAnsi"/>
        </w:rPr>
      </w:pPr>
    </w:p>
    <w:p w14:paraId="1CADEFF5" w14:textId="77777777" w:rsidR="00957F89" w:rsidRPr="00981472" w:rsidRDefault="00D92D87">
      <w:pPr>
        <w:pStyle w:val="BodyText"/>
        <w:ind w:right="248"/>
        <w:rPr>
          <w:rFonts w:cstheme="minorHAnsi"/>
          <w:szCs w:val="22"/>
        </w:rPr>
      </w:pPr>
      <w:r w:rsidRPr="00981472">
        <w:rPr>
          <w:rFonts w:cstheme="minorHAnsi"/>
          <w:szCs w:val="22"/>
        </w:rPr>
        <w:t xml:space="preserve">Mateva L, Petkova I, Petrov K, </w:t>
      </w:r>
      <w:proofErr w:type="spellStart"/>
      <w:r w:rsidRPr="00981472">
        <w:rPr>
          <w:rFonts w:cstheme="minorHAnsi"/>
          <w:szCs w:val="22"/>
        </w:rPr>
        <w:t>Beniozef</w:t>
      </w:r>
      <w:proofErr w:type="spellEnd"/>
      <w:r w:rsidRPr="00981472">
        <w:rPr>
          <w:rFonts w:cstheme="minorHAnsi"/>
          <w:szCs w:val="22"/>
        </w:rPr>
        <w:t xml:space="preserve"> D, </w:t>
      </w:r>
      <w:proofErr w:type="spellStart"/>
      <w:r w:rsidRPr="00981472">
        <w:rPr>
          <w:rFonts w:cstheme="minorHAnsi"/>
          <w:szCs w:val="22"/>
        </w:rPr>
        <w:t>Bojilova</w:t>
      </w:r>
      <w:proofErr w:type="spellEnd"/>
      <w:r w:rsidRPr="00981472">
        <w:rPr>
          <w:rFonts w:cstheme="minorHAnsi"/>
          <w:szCs w:val="22"/>
        </w:rPr>
        <w:t xml:space="preserve"> M, </w:t>
      </w:r>
      <w:proofErr w:type="spellStart"/>
      <w:r w:rsidRPr="00981472">
        <w:rPr>
          <w:rFonts w:cstheme="minorHAnsi"/>
          <w:szCs w:val="22"/>
        </w:rPr>
        <w:t>Vankova</w:t>
      </w:r>
      <w:proofErr w:type="spellEnd"/>
      <w:r w:rsidRPr="00981472">
        <w:rPr>
          <w:rFonts w:cstheme="minorHAnsi"/>
          <w:szCs w:val="22"/>
        </w:rPr>
        <w:t xml:space="preserve"> L, Thorn W. Ten-day course</w:t>
      </w:r>
      <w:r w:rsidRPr="00981472">
        <w:rPr>
          <w:rFonts w:cstheme="minorHAnsi"/>
          <w:w w:val="99"/>
          <w:szCs w:val="22"/>
        </w:rPr>
        <w:t xml:space="preserve"> </w:t>
      </w:r>
      <w:r w:rsidRPr="00981472">
        <w:rPr>
          <w:rFonts w:cstheme="minorHAnsi"/>
          <w:szCs w:val="22"/>
        </w:rPr>
        <w:t xml:space="preserve">of sodium pyruvate infusions sin patients with chronic liver diseases (CLD). </w:t>
      </w:r>
      <w:proofErr w:type="spellStart"/>
      <w:r w:rsidRPr="00981472">
        <w:rPr>
          <w:rFonts w:cstheme="minorHAnsi"/>
          <w:szCs w:val="22"/>
        </w:rPr>
        <w:t>Jpn</w:t>
      </w:r>
      <w:proofErr w:type="spellEnd"/>
      <w:r w:rsidRPr="00981472">
        <w:rPr>
          <w:rFonts w:cstheme="minorHAnsi"/>
          <w:szCs w:val="22"/>
        </w:rPr>
        <w:t xml:space="preserve"> </w:t>
      </w:r>
      <w:proofErr w:type="spellStart"/>
      <w:r w:rsidRPr="00981472">
        <w:rPr>
          <w:rFonts w:cstheme="minorHAnsi"/>
          <w:szCs w:val="22"/>
        </w:rPr>
        <w:t>Pharmacol</w:t>
      </w:r>
      <w:proofErr w:type="spellEnd"/>
      <w:r w:rsidRPr="00981472">
        <w:rPr>
          <w:rFonts w:cstheme="minorHAnsi"/>
          <w:w w:val="99"/>
          <w:szCs w:val="22"/>
        </w:rPr>
        <w:t xml:space="preserve"> </w:t>
      </w:r>
      <w:r w:rsidRPr="00981472">
        <w:rPr>
          <w:rFonts w:cstheme="minorHAnsi"/>
          <w:szCs w:val="22"/>
        </w:rPr>
        <w:t xml:space="preserve">Ther </w:t>
      </w:r>
      <w:proofErr w:type="gramStart"/>
      <w:r w:rsidRPr="00981472">
        <w:rPr>
          <w:rFonts w:cstheme="minorHAnsi"/>
          <w:szCs w:val="22"/>
        </w:rPr>
        <w:t>1996;21:12</w:t>
      </w:r>
      <w:proofErr w:type="gramEnd"/>
    </w:p>
    <w:p w14:paraId="57DB5036" w14:textId="77777777" w:rsidR="00957F89" w:rsidRPr="00981472" w:rsidRDefault="00957F89">
      <w:pPr>
        <w:spacing w:before="10"/>
        <w:rPr>
          <w:rFonts w:cstheme="minorHAnsi"/>
        </w:rPr>
      </w:pPr>
    </w:p>
    <w:p w14:paraId="13A10907" w14:textId="69DC9281" w:rsidR="00957F89" w:rsidRPr="00981472" w:rsidRDefault="00D92D87">
      <w:pPr>
        <w:pStyle w:val="BodyText"/>
        <w:ind w:right="151"/>
        <w:rPr>
          <w:rFonts w:cstheme="minorHAnsi"/>
          <w:szCs w:val="22"/>
        </w:rPr>
      </w:pPr>
      <w:r w:rsidRPr="00981472">
        <w:rPr>
          <w:rFonts w:cstheme="minorHAnsi"/>
          <w:szCs w:val="22"/>
        </w:rPr>
        <w:t xml:space="preserve">Matthys D, Van Coster R, </w:t>
      </w:r>
      <w:proofErr w:type="spellStart"/>
      <w:r w:rsidRPr="00981472">
        <w:rPr>
          <w:rFonts w:cstheme="minorHAnsi"/>
          <w:szCs w:val="22"/>
        </w:rPr>
        <w:t>Verhaaren</w:t>
      </w:r>
      <w:proofErr w:type="spellEnd"/>
      <w:r w:rsidRPr="00981472">
        <w:rPr>
          <w:rFonts w:cstheme="minorHAnsi"/>
          <w:szCs w:val="22"/>
        </w:rPr>
        <w:t xml:space="preserve"> H. Fatal outcome of pyruvate loading test in child with</w:t>
      </w:r>
      <w:r w:rsidRPr="00981472">
        <w:rPr>
          <w:rFonts w:cstheme="minorHAnsi"/>
          <w:w w:val="99"/>
          <w:szCs w:val="22"/>
        </w:rPr>
        <w:t xml:space="preserve"> </w:t>
      </w:r>
      <w:r w:rsidRPr="00981472">
        <w:rPr>
          <w:rFonts w:cstheme="minorHAnsi"/>
          <w:szCs w:val="22"/>
        </w:rPr>
        <w:t xml:space="preserve">restrictive cardiomyopathy. Lancet </w:t>
      </w:r>
      <w:proofErr w:type="gramStart"/>
      <w:r w:rsidRPr="00981472">
        <w:rPr>
          <w:rFonts w:cstheme="minorHAnsi"/>
          <w:szCs w:val="22"/>
        </w:rPr>
        <w:t>1991;338:1020</w:t>
      </w:r>
      <w:proofErr w:type="gramEnd"/>
      <w:r w:rsidRPr="00981472">
        <w:rPr>
          <w:rFonts w:cstheme="minorHAnsi"/>
          <w:szCs w:val="22"/>
        </w:rPr>
        <w:t>-1021</w:t>
      </w:r>
    </w:p>
    <w:p w14:paraId="4DED46CA" w14:textId="77777777" w:rsidR="00201EA2" w:rsidRPr="00981472" w:rsidRDefault="00201EA2">
      <w:pPr>
        <w:pStyle w:val="BodyText"/>
        <w:ind w:right="151"/>
        <w:rPr>
          <w:rFonts w:cstheme="minorHAnsi"/>
          <w:szCs w:val="22"/>
        </w:rPr>
      </w:pPr>
    </w:p>
    <w:p w14:paraId="668AAA5B" w14:textId="364B8A2A" w:rsidR="00201EA2" w:rsidRPr="00981472" w:rsidRDefault="00201EA2" w:rsidP="00201EA2">
      <w:pPr>
        <w:rPr>
          <w:rFonts w:eastAsia="Times New Roman" w:cstheme="minorHAnsi"/>
        </w:rPr>
      </w:pPr>
      <w:proofErr w:type="spellStart"/>
      <w:r w:rsidRPr="00981472">
        <w:rPr>
          <w:rFonts w:eastAsia="Times New Roman" w:cstheme="minorHAnsi"/>
        </w:rPr>
        <w:t>Miloushev</w:t>
      </w:r>
      <w:proofErr w:type="spellEnd"/>
      <w:r w:rsidRPr="00981472">
        <w:rPr>
          <w:rFonts w:eastAsia="Times New Roman" w:cstheme="minorHAnsi"/>
        </w:rPr>
        <w:t xml:space="preserve"> VZ, Granlund KL, </w:t>
      </w:r>
      <w:proofErr w:type="spellStart"/>
      <w:r w:rsidRPr="00981472">
        <w:rPr>
          <w:rFonts w:eastAsia="Times New Roman" w:cstheme="minorHAnsi"/>
        </w:rPr>
        <w:t>Boltyanskiy</w:t>
      </w:r>
      <w:proofErr w:type="spellEnd"/>
      <w:r w:rsidRPr="00981472">
        <w:rPr>
          <w:rFonts w:eastAsia="Times New Roman" w:cstheme="minorHAnsi"/>
        </w:rPr>
        <w:t xml:space="preserve"> R, </w:t>
      </w:r>
      <w:proofErr w:type="spellStart"/>
      <w:r w:rsidRPr="00981472">
        <w:rPr>
          <w:rFonts w:eastAsia="Times New Roman" w:cstheme="minorHAnsi"/>
        </w:rPr>
        <w:t>Lyashchenko</w:t>
      </w:r>
      <w:proofErr w:type="spellEnd"/>
      <w:r w:rsidRPr="00981472">
        <w:rPr>
          <w:rFonts w:eastAsia="Times New Roman" w:cstheme="minorHAnsi"/>
        </w:rPr>
        <w:t xml:space="preserve"> SK, DeAngelis LM, </w:t>
      </w:r>
      <w:proofErr w:type="spellStart"/>
      <w:r w:rsidRPr="00981472">
        <w:rPr>
          <w:rFonts w:eastAsia="Times New Roman" w:cstheme="minorHAnsi"/>
        </w:rPr>
        <w:t>Mellinghoff</w:t>
      </w:r>
      <w:proofErr w:type="spellEnd"/>
      <w:r w:rsidRPr="00981472">
        <w:rPr>
          <w:rFonts w:eastAsia="Times New Roman" w:cstheme="minorHAnsi"/>
        </w:rPr>
        <w:t xml:space="preserve"> IK, Brennan CW, Tabar V, Yang TJ, </w:t>
      </w:r>
      <w:proofErr w:type="spellStart"/>
      <w:r w:rsidRPr="00981472">
        <w:rPr>
          <w:rFonts w:eastAsia="Times New Roman" w:cstheme="minorHAnsi"/>
        </w:rPr>
        <w:t>Holodny</w:t>
      </w:r>
      <w:proofErr w:type="spellEnd"/>
      <w:r w:rsidRPr="00981472">
        <w:rPr>
          <w:rFonts w:eastAsia="Times New Roman" w:cstheme="minorHAnsi"/>
        </w:rPr>
        <w:t xml:space="preserve"> AI, Sosa </w:t>
      </w:r>
      <w:proofErr w:type="spellStart"/>
      <w:proofErr w:type="gramStart"/>
      <w:r w:rsidRPr="00981472">
        <w:rPr>
          <w:rFonts w:eastAsia="Times New Roman" w:cstheme="minorHAnsi"/>
        </w:rPr>
        <w:t>RE,GuoYW</w:t>
      </w:r>
      <w:proofErr w:type="spellEnd"/>
      <w:proofErr w:type="gramEnd"/>
      <w:r w:rsidRPr="00981472">
        <w:rPr>
          <w:rFonts w:eastAsia="Times New Roman" w:cstheme="minorHAnsi"/>
        </w:rPr>
        <w:t xml:space="preserve">, Chen AP, Tropp J, Robb F and Keshari KR. Metabolic Imaging of the Human Brain with Hyperpolarized 13C Pyruvate Demonstrates 13C Lactate Production in Brain Tumor Patients. Cancer Res. 2018 Jul 15;78(14):3755-3760. </w:t>
      </w:r>
      <w:proofErr w:type="spellStart"/>
      <w:r w:rsidRPr="00981472">
        <w:rPr>
          <w:rFonts w:eastAsia="Times New Roman" w:cstheme="minorHAnsi"/>
        </w:rPr>
        <w:t>doi</w:t>
      </w:r>
      <w:proofErr w:type="spellEnd"/>
      <w:r w:rsidRPr="00981472">
        <w:rPr>
          <w:rFonts w:eastAsia="Times New Roman" w:cstheme="minorHAnsi"/>
        </w:rPr>
        <w:t xml:space="preserve">: 10.1158/0008-5472.CAN-18-0221. </w:t>
      </w:r>
      <w:proofErr w:type="spellStart"/>
      <w:r w:rsidRPr="00981472">
        <w:rPr>
          <w:rFonts w:eastAsia="Times New Roman" w:cstheme="minorHAnsi"/>
        </w:rPr>
        <w:t>Epub</w:t>
      </w:r>
      <w:proofErr w:type="spellEnd"/>
      <w:r w:rsidRPr="00981472">
        <w:rPr>
          <w:rFonts w:eastAsia="Times New Roman" w:cstheme="minorHAnsi"/>
        </w:rPr>
        <w:t xml:space="preserve"> 2018 May 16</w:t>
      </w:r>
    </w:p>
    <w:p w14:paraId="23E40A1E" w14:textId="77777777" w:rsidR="00957F89" w:rsidRPr="00981472" w:rsidRDefault="00957F89">
      <w:pPr>
        <w:spacing w:before="10"/>
        <w:rPr>
          <w:rFonts w:cstheme="minorHAnsi"/>
        </w:rPr>
      </w:pPr>
    </w:p>
    <w:p w14:paraId="7E64D9B1" w14:textId="0B003604" w:rsidR="008C609E" w:rsidRPr="00981472" w:rsidRDefault="008C609E">
      <w:pPr>
        <w:spacing w:before="10"/>
        <w:rPr>
          <w:rFonts w:cstheme="minorHAnsi"/>
        </w:rPr>
      </w:pPr>
      <w:r w:rsidRPr="00981472">
        <w:rPr>
          <w:rFonts w:cstheme="minorHAnsi"/>
        </w:rPr>
        <w:t xml:space="preserve">Nelson SJ, </w:t>
      </w:r>
      <w:proofErr w:type="spellStart"/>
      <w:r w:rsidRPr="00981472">
        <w:rPr>
          <w:rFonts w:cstheme="minorHAnsi"/>
        </w:rPr>
        <w:t>Kurhanewicz</w:t>
      </w:r>
      <w:proofErr w:type="spellEnd"/>
      <w:r w:rsidRPr="00981472">
        <w:rPr>
          <w:rFonts w:cstheme="minorHAnsi"/>
        </w:rPr>
        <w:t xml:space="preserve"> J, Vigneron DB, et al. Metabolic imaging of patients with prostate cancer </w:t>
      </w:r>
      <w:r w:rsidRPr="00981472">
        <w:rPr>
          <w:rFonts w:cstheme="minorHAnsi"/>
        </w:rPr>
        <w:lastRenderedPageBreak/>
        <w:t>using hyperpolarized [1-(13</w:t>
      </w:r>
      <w:proofErr w:type="gramStart"/>
      <w:r w:rsidRPr="00981472">
        <w:rPr>
          <w:rFonts w:cstheme="minorHAnsi"/>
        </w:rPr>
        <w:t>)C]pyruvate</w:t>
      </w:r>
      <w:proofErr w:type="gramEnd"/>
      <w:r w:rsidRPr="00981472">
        <w:rPr>
          <w:rFonts w:cstheme="minorHAnsi"/>
        </w:rPr>
        <w:t xml:space="preserve">. Sci </w:t>
      </w:r>
      <w:proofErr w:type="spellStart"/>
      <w:r w:rsidRPr="00981472">
        <w:rPr>
          <w:rFonts w:cstheme="minorHAnsi"/>
        </w:rPr>
        <w:t>Transl</w:t>
      </w:r>
      <w:proofErr w:type="spellEnd"/>
      <w:r w:rsidRPr="00981472">
        <w:rPr>
          <w:rFonts w:cstheme="minorHAnsi"/>
        </w:rPr>
        <w:t xml:space="preserve"> Med 2013; 5:198–208</w:t>
      </w:r>
    </w:p>
    <w:p w14:paraId="7E004F5C" w14:textId="77777777" w:rsidR="008C609E" w:rsidRPr="00981472" w:rsidRDefault="008C609E">
      <w:pPr>
        <w:spacing w:before="10"/>
        <w:rPr>
          <w:rFonts w:cstheme="minorHAnsi"/>
        </w:rPr>
      </w:pPr>
    </w:p>
    <w:p w14:paraId="6CF18A8F" w14:textId="77777777" w:rsidR="00957F89" w:rsidRPr="00981472" w:rsidRDefault="00D92D87">
      <w:pPr>
        <w:pStyle w:val="BodyText"/>
        <w:ind w:right="276"/>
        <w:rPr>
          <w:rFonts w:cstheme="minorHAnsi"/>
          <w:szCs w:val="22"/>
        </w:rPr>
      </w:pPr>
      <w:r w:rsidRPr="00981472">
        <w:rPr>
          <w:rFonts w:cstheme="minorHAnsi"/>
          <w:szCs w:val="22"/>
        </w:rPr>
        <w:t xml:space="preserve">Petkova I, Mateva L, </w:t>
      </w:r>
      <w:proofErr w:type="spellStart"/>
      <w:r w:rsidRPr="00981472">
        <w:rPr>
          <w:rFonts w:cstheme="minorHAnsi"/>
          <w:szCs w:val="22"/>
        </w:rPr>
        <w:t>Beniozef</w:t>
      </w:r>
      <w:proofErr w:type="spellEnd"/>
      <w:r w:rsidRPr="00981472">
        <w:rPr>
          <w:rFonts w:cstheme="minorHAnsi"/>
          <w:szCs w:val="22"/>
        </w:rPr>
        <w:t xml:space="preserve"> D, Petrov K, Thorn W. Sodium pyruvate infusions in patients</w:t>
      </w:r>
      <w:r w:rsidRPr="00981472">
        <w:rPr>
          <w:rFonts w:cstheme="minorHAnsi"/>
          <w:w w:val="99"/>
          <w:szCs w:val="22"/>
        </w:rPr>
        <w:t xml:space="preserve"> </w:t>
      </w:r>
      <w:r w:rsidRPr="00981472">
        <w:rPr>
          <w:rFonts w:cstheme="minorHAnsi"/>
          <w:szCs w:val="22"/>
        </w:rPr>
        <w:t xml:space="preserve">with alcoholic liver disease. Preliminary Report. Acta </w:t>
      </w:r>
      <w:proofErr w:type="spellStart"/>
      <w:r w:rsidRPr="00981472">
        <w:rPr>
          <w:rFonts w:cstheme="minorHAnsi"/>
          <w:szCs w:val="22"/>
        </w:rPr>
        <w:t>Physiologica</w:t>
      </w:r>
      <w:proofErr w:type="spellEnd"/>
      <w:r w:rsidRPr="00981472">
        <w:rPr>
          <w:rFonts w:cstheme="minorHAnsi"/>
          <w:szCs w:val="22"/>
        </w:rPr>
        <w:t xml:space="preserve"> </w:t>
      </w:r>
      <w:proofErr w:type="spellStart"/>
      <w:r w:rsidRPr="00981472">
        <w:rPr>
          <w:rFonts w:cstheme="minorHAnsi"/>
          <w:szCs w:val="22"/>
        </w:rPr>
        <w:t>Pharmacologica</w:t>
      </w:r>
      <w:proofErr w:type="spellEnd"/>
      <w:r w:rsidRPr="00981472">
        <w:rPr>
          <w:rFonts w:cstheme="minorHAnsi"/>
          <w:szCs w:val="22"/>
        </w:rPr>
        <w:t xml:space="preserve"> </w:t>
      </w:r>
      <w:proofErr w:type="spellStart"/>
      <w:r w:rsidRPr="00981472">
        <w:rPr>
          <w:rFonts w:cstheme="minorHAnsi"/>
          <w:szCs w:val="22"/>
        </w:rPr>
        <w:t>Bulgarica</w:t>
      </w:r>
      <w:proofErr w:type="spellEnd"/>
      <w:r w:rsidRPr="00981472">
        <w:rPr>
          <w:rFonts w:cstheme="minorHAnsi"/>
          <w:w w:val="99"/>
          <w:szCs w:val="22"/>
        </w:rPr>
        <w:t xml:space="preserve"> </w:t>
      </w:r>
      <w:proofErr w:type="gramStart"/>
      <w:r w:rsidRPr="00981472">
        <w:rPr>
          <w:rFonts w:cstheme="minorHAnsi"/>
          <w:szCs w:val="22"/>
        </w:rPr>
        <w:t>2000;25:103</w:t>
      </w:r>
      <w:proofErr w:type="gramEnd"/>
      <w:r w:rsidRPr="00981472">
        <w:rPr>
          <w:rFonts w:cstheme="minorHAnsi"/>
          <w:szCs w:val="22"/>
        </w:rPr>
        <w:t>-108</w:t>
      </w:r>
    </w:p>
    <w:p w14:paraId="748819B3" w14:textId="77777777" w:rsidR="00010FB7" w:rsidRPr="00981472" w:rsidRDefault="00010FB7" w:rsidP="00010FB7">
      <w:pPr>
        <w:rPr>
          <w:rFonts w:cstheme="minorHAnsi"/>
        </w:rPr>
      </w:pPr>
      <w:r w:rsidRPr="00981472">
        <w:rPr>
          <w:rFonts w:cstheme="minorHAnsi"/>
        </w:rPr>
        <w:fldChar w:fldCharType="begin"/>
      </w:r>
      <w:r w:rsidRPr="00981472">
        <w:rPr>
          <w:rFonts w:cstheme="minorHAnsi"/>
        </w:rPr>
        <w:instrText xml:space="preserve"> HYPERLINK "https://www.ahajournals.org/doi/10.1161/CIRCRESAHA.119.316260" </w:instrText>
      </w:r>
      <w:r w:rsidRPr="00981472">
        <w:rPr>
          <w:rFonts w:cstheme="minorHAnsi"/>
        </w:rPr>
      </w:r>
      <w:r w:rsidRPr="00981472">
        <w:rPr>
          <w:rFonts w:cstheme="minorHAnsi"/>
        </w:rPr>
        <w:fldChar w:fldCharType="separate"/>
      </w:r>
    </w:p>
    <w:p w14:paraId="243ED760" w14:textId="06359218" w:rsidR="00010FB7" w:rsidRPr="00981472" w:rsidRDefault="00010FB7" w:rsidP="006B5FA0">
      <w:pPr>
        <w:rPr>
          <w:rFonts w:cstheme="minorHAnsi"/>
        </w:rPr>
      </w:pPr>
      <w:r w:rsidRPr="00981472">
        <w:rPr>
          <w:rFonts w:cstheme="minorHAnsi"/>
        </w:rPr>
        <w:fldChar w:fldCharType="end"/>
      </w:r>
      <w:hyperlink r:id="rId90" w:tooltip="Oliver J Rider" w:history="1">
        <w:r w:rsidRPr="00981472">
          <w:rPr>
            <w:rFonts w:cstheme="minorHAnsi"/>
          </w:rPr>
          <w:t>Rider</w:t>
        </w:r>
      </w:hyperlink>
      <w:r w:rsidRPr="00981472">
        <w:rPr>
          <w:rFonts w:cstheme="minorHAnsi"/>
        </w:rPr>
        <w:t xml:space="preserve"> OJ,  </w:t>
      </w:r>
      <w:hyperlink r:id="rId91" w:tooltip="Andrew Apps" w:history="1">
        <w:r w:rsidRPr="00981472">
          <w:rPr>
            <w:rFonts w:cstheme="minorHAnsi"/>
          </w:rPr>
          <w:t>Apps</w:t>
        </w:r>
      </w:hyperlink>
      <w:r w:rsidRPr="00981472">
        <w:rPr>
          <w:rFonts w:cstheme="minorHAnsi"/>
        </w:rPr>
        <w:t xml:space="preserve"> A,  </w:t>
      </w:r>
      <w:hyperlink r:id="rId92" w:tooltip="Jack J Miller" w:history="1">
        <w:r w:rsidRPr="00981472">
          <w:rPr>
            <w:rFonts w:cstheme="minorHAnsi"/>
          </w:rPr>
          <w:t>Miller</w:t>
        </w:r>
      </w:hyperlink>
      <w:r w:rsidRPr="00981472">
        <w:rPr>
          <w:rFonts w:cstheme="minorHAnsi"/>
        </w:rPr>
        <w:t xml:space="preserve"> JJ, </w:t>
      </w:r>
      <w:hyperlink r:id="rId93" w:tooltip="Justin YC Lau" w:history="1">
        <w:r w:rsidRPr="00981472">
          <w:rPr>
            <w:rFonts w:cstheme="minorHAnsi"/>
          </w:rPr>
          <w:t xml:space="preserve"> Lau</w:t>
        </w:r>
      </w:hyperlink>
      <w:r w:rsidRPr="00981472">
        <w:rPr>
          <w:rFonts w:cstheme="minorHAnsi"/>
        </w:rPr>
        <w:t xml:space="preserve"> JYC,  </w:t>
      </w:r>
      <w:hyperlink r:id="rId94" w:tooltip="Andrew JM Lewis" w:history="1">
        <w:r w:rsidRPr="00981472">
          <w:rPr>
            <w:rFonts w:cstheme="minorHAnsi"/>
          </w:rPr>
          <w:t>lewis</w:t>
        </w:r>
      </w:hyperlink>
      <w:r w:rsidRPr="00981472">
        <w:rPr>
          <w:rFonts w:cstheme="minorHAnsi"/>
        </w:rPr>
        <w:t xml:space="preserve"> AJM,  </w:t>
      </w:r>
      <w:hyperlink r:id="rId95" w:tooltip="Mark A Peterzan" w:history="1">
        <w:r w:rsidRPr="00981472">
          <w:rPr>
            <w:rFonts w:cstheme="minorHAnsi"/>
          </w:rPr>
          <w:t>Peterzan</w:t>
        </w:r>
      </w:hyperlink>
      <w:r w:rsidRPr="00981472">
        <w:rPr>
          <w:rFonts w:cstheme="minorHAnsi"/>
        </w:rPr>
        <w:t xml:space="preserve"> MA,  </w:t>
      </w:r>
      <w:hyperlink r:id="rId96" w:tooltip="Michael S Dodd" w:history="1">
        <w:r w:rsidRPr="00981472">
          <w:rPr>
            <w:rFonts w:cstheme="minorHAnsi"/>
          </w:rPr>
          <w:t xml:space="preserve"> Dodd</w:t>
        </w:r>
      </w:hyperlink>
      <w:r w:rsidRPr="00981472">
        <w:rPr>
          <w:rFonts w:cstheme="minorHAnsi"/>
        </w:rPr>
        <w:t xml:space="preserve"> MS,  </w:t>
      </w:r>
      <w:hyperlink r:id="rId97" w:tooltip="Angus Z Lau" w:history="1">
        <w:r w:rsidRPr="00981472">
          <w:rPr>
            <w:rFonts w:cstheme="minorHAnsi"/>
          </w:rPr>
          <w:t>Lau</w:t>
        </w:r>
      </w:hyperlink>
      <w:r w:rsidRPr="00981472">
        <w:rPr>
          <w:rFonts w:cstheme="minorHAnsi"/>
        </w:rPr>
        <w:t xml:space="preserve"> AZ,  </w:t>
      </w:r>
      <w:hyperlink r:id="rId98" w:tooltip="Claire Trumper" w:history="1">
        <w:r w:rsidRPr="00981472">
          <w:rPr>
            <w:rFonts w:cstheme="minorHAnsi"/>
          </w:rPr>
          <w:t>Trumper</w:t>
        </w:r>
      </w:hyperlink>
      <w:r w:rsidRPr="00981472">
        <w:rPr>
          <w:rFonts w:cstheme="minorHAnsi"/>
        </w:rPr>
        <w:t xml:space="preserve"> C,  </w:t>
      </w:r>
      <w:hyperlink r:id="rId99" w:tooltip="Ferdia Gallagher" w:history="1">
        <w:r w:rsidRPr="00981472">
          <w:rPr>
            <w:rFonts w:cstheme="minorHAnsi"/>
          </w:rPr>
          <w:t>Gallagher</w:t>
        </w:r>
      </w:hyperlink>
      <w:r w:rsidRPr="00981472">
        <w:rPr>
          <w:rFonts w:cstheme="minorHAnsi"/>
        </w:rPr>
        <w:t xml:space="preserve"> F,  </w:t>
      </w:r>
      <w:hyperlink r:id="rId100" w:tooltip="James T Grist" w:history="1">
        <w:r w:rsidRPr="00981472">
          <w:rPr>
            <w:rFonts w:cstheme="minorHAnsi"/>
          </w:rPr>
          <w:t xml:space="preserve"> Grist</w:t>
        </w:r>
      </w:hyperlink>
      <w:r w:rsidRPr="00981472">
        <w:rPr>
          <w:rFonts w:cstheme="minorHAnsi"/>
        </w:rPr>
        <w:t xml:space="preserve"> JT,  </w:t>
      </w:r>
      <w:hyperlink r:id="rId101" w:tooltip="Kevin Brindle" w:history="1">
        <w:r w:rsidRPr="00981472">
          <w:rPr>
            <w:rFonts w:cstheme="minorHAnsi"/>
          </w:rPr>
          <w:t>Brindle</w:t>
        </w:r>
      </w:hyperlink>
      <w:r w:rsidRPr="00981472">
        <w:rPr>
          <w:rFonts w:cstheme="minorHAnsi"/>
        </w:rPr>
        <w:t xml:space="preserve"> K,  </w:t>
      </w:r>
      <w:hyperlink r:id="rId102" w:tooltip="Stefan Neubauer" w:history="1">
        <w:r w:rsidRPr="00981472">
          <w:rPr>
            <w:rFonts w:cstheme="minorHAnsi"/>
          </w:rPr>
          <w:t>Neubauer</w:t>
        </w:r>
      </w:hyperlink>
      <w:r w:rsidRPr="00981472">
        <w:rPr>
          <w:rFonts w:cstheme="minorHAnsi"/>
        </w:rPr>
        <w:t xml:space="preserve"> S, and  </w:t>
      </w:r>
      <w:hyperlink r:id="rId103" w:tooltip="Damian J Tyler" w:history="1">
        <w:r w:rsidRPr="00981472">
          <w:rPr>
            <w:rFonts w:cstheme="minorHAnsi"/>
          </w:rPr>
          <w:t>Tyler</w:t>
        </w:r>
      </w:hyperlink>
      <w:r w:rsidRPr="00981472">
        <w:rPr>
          <w:rFonts w:cstheme="minorHAnsi"/>
        </w:rPr>
        <w:t xml:space="preserve"> DJ. Non-Invasive In Vivo Assessment of Cardiac Metabolism in the Healthy and Diabetic Human Heart Using Hyperpolarized 13C </w:t>
      </w:r>
      <w:proofErr w:type="gramStart"/>
      <w:r w:rsidRPr="00981472">
        <w:rPr>
          <w:rFonts w:cstheme="minorHAnsi"/>
        </w:rPr>
        <w:t>MRI  Circulation</w:t>
      </w:r>
      <w:proofErr w:type="gramEnd"/>
      <w:r w:rsidRPr="00981472">
        <w:rPr>
          <w:rFonts w:cstheme="minorHAnsi"/>
        </w:rPr>
        <w:t xml:space="preserve"> Research. 2020, </w:t>
      </w:r>
      <w:hyperlink r:id="rId104" w:tgtFrame="_blank" w:history="1">
        <w:r w:rsidRPr="00981472">
          <w:rPr>
            <w:rFonts w:cstheme="minorHAnsi"/>
          </w:rPr>
          <w:t>https://doi.org/10.1161/CIRCRESAHA.119.316260</w:t>
        </w:r>
      </w:hyperlink>
    </w:p>
    <w:p w14:paraId="095D7FD2" w14:textId="77777777" w:rsidR="00957F89" w:rsidRPr="00981472" w:rsidRDefault="00957F89">
      <w:pPr>
        <w:spacing w:before="10"/>
        <w:rPr>
          <w:rFonts w:cstheme="minorHAnsi"/>
        </w:rPr>
      </w:pPr>
    </w:p>
    <w:p w14:paraId="62FD561B" w14:textId="77777777" w:rsidR="00957F89" w:rsidRPr="00981472" w:rsidRDefault="00D92D87">
      <w:pPr>
        <w:pStyle w:val="BodyText"/>
        <w:ind w:right="151"/>
        <w:rPr>
          <w:rFonts w:cstheme="minorHAnsi"/>
          <w:szCs w:val="22"/>
        </w:rPr>
      </w:pPr>
      <w:r w:rsidRPr="00981472">
        <w:rPr>
          <w:rFonts w:cstheme="minorHAnsi"/>
          <w:szCs w:val="22"/>
        </w:rPr>
        <w:t>Thorn W, Petkova I, Mateva L. Efficacy and tolerance of sodium pyruvate infusions in patients</w:t>
      </w:r>
      <w:r w:rsidRPr="00981472">
        <w:rPr>
          <w:rFonts w:cstheme="minorHAnsi"/>
          <w:w w:val="99"/>
          <w:szCs w:val="22"/>
        </w:rPr>
        <w:t xml:space="preserve"> </w:t>
      </w:r>
      <w:r w:rsidRPr="00981472">
        <w:rPr>
          <w:rFonts w:cstheme="minorHAnsi"/>
          <w:szCs w:val="22"/>
        </w:rPr>
        <w:t>with chronic liver diseases. GIT Labo-</w:t>
      </w:r>
      <w:proofErr w:type="spellStart"/>
      <w:r w:rsidRPr="00981472">
        <w:rPr>
          <w:rFonts w:cstheme="minorHAnsi"/>
          <w:szCs w:val="22"/>
        </w:rPr>
        <w:t>Medizin</w:t>
      </w:r>
      <w:proofErr w:type="spellEnd"/>
      <w:r w:rsidRPr="00981472">
        <w:rPr>
          <w:rFonts w:cstheme="minorHAnsi"/>
          <w:szCs w:val="22"/>
        </w:rPr>
        <w:t xml:space="preserve"> </w:t>
      </w:r>
      <w:proofErr w:type="gramStart"/>
      <w:r w:rsidRPr="00981472">
        <w:rPr>
          <w:rFonts w:cstheme="minorHAnsi"/>
          <w:szCs w:val="22"/>
        </w:rPr>
        <w:t>1996;3:98</w:t>
      </w:r>
      <w:proofErr w:type="gramEnd"/>
      <w:r w:rsidRPr="00981472">
        <w:rPr>
          <w:rFonts w:cstheme="minorHAnsi"/>
          <w:szCs w:val="22"/>
        </w:rPr>
        <w:t>-104</w:t>
      </w:r>
    </w:p>
    <w:p w14:paraId="2BDD3A34" w14:textId="58AA74EC" w:rsidR="00957F89" w:rsidRDefault="00957F89">
      <w:pPr>
        <w:spacing w:before="10"/>
        <w:rPr>
          <w:rFonts w:cstheme="minorHAnsi"/>
        </w:rPr>
      </w:pPr>
    </w:p>
    <w:p w14:paraId="26E7D574" w14:textId="2224F93E" w:rsidR="00BB522B" w:rsidRPr="00981472" w:rsidRDefault="00BB522B" w:rsidP="00BB522B">
      <w:pPr>
        <w:widowControl/>
        <w:autoSpaceDE w:val="0"/>
        <w:autoSpaceDN w:val="0"/>
        <w:adjustRightInd w:val="0"/>
        <w:rPr>
          <w:rFonts w:cstheme="minorHAnsi"/>
        </w:rPr>
      </w:pPr>
      <w:r w:rsidRPr="00981472">
        <w:rPr>
          <w:rFonts w:cstheme="minorHAnsi"/>
        </w:rPr>
        <w:t xml:space="preserve">Tran M, </w:t>
      </w:r>
      <w:proofErr w:type="spellStart"/>
      <w:r w:rsidRPr="00981472">
        <w:rPr>
          <w:rFonts w:cstheme="minorHAnsi"/>
        </w:rPr>
        <w:t>Latifoltojar</w:t>
      </w:r>
      <w:proofErr w:type="spellEnd"/>
      <w:r w:rsidRPr="00981472">
        <w:rPr>
          <w:rFonts w:cstheme="minorHAnsi"/>
        </w:rPr>
        <w:t xml:space="preserve"> A, Neves JB, </w:t>
      </w:r>
      <w:proofErr w:type="spellStart"/>
      <w:r w:rsidRPr="00981472">
        <w:rPr>
          <w:rFonts w:cstheme="minorHAnsi"/>
        </w:rPr>
        <w:t>Papoutsaki</w:t>
      </w:r>
      <w:proofErr w:type="spellEnd"/>
      <w:r w:rsidRPr="00981472">
        <w:rPr>
          <w:rFonts w:cstheme="minorHAnsi"/>
        </w:rPr>
        <w:t xml:space="preserve"> M-V, Gong F, Comment A, et al. First-in-human </w:t>
      </w:r>
      <w:r w:rsidRPr="00981472">
        <w:rPr>
          <w:rFonts w:cstheme="minorHAnsi"/>
          <w:i/>
          <w:iCs/>
        </w:rPr>
        <w:t xml:space="preserve">in vivo </w:t>
      </w:r>
      <w:r w:rsidRPr="00981472">
        <w:rPr>
          <w:rFonts w:cstheme="minorHAnsi"/>
        </w:rPr>
        <w:t xml:space="preserve">non-invasive assessment of </w:t>
      </w:r>
      <w:proofErr w:type="spellStart"/>
      <w:r w:rsidRPr="00981472">
        <w:rPr>
          <w:rFonts w:cstheme="minorHAnsi"/>
        </w:rPr>
        <w:t>intratumoral</w:t>
      </w:r>
      <w:proofErr w:type="spellEnd"/>
      <w:r w:rsidRPr="00981472">
        <w:rPr>
          <w:rFonts w:cstheme="minorHAnsi"/>
        </w:rPr>
        <w:t xml:space="preserve"> metabolic heterogeneity in renal cell carcinoma</w:t>
      </w:r>
      <w:r w:rsidRPr="00981472">
        <w:rPr>
          <w:rFonts w:cstheme="minorHAnsi"/>
          <w:i/>
          <w:iCs/>
        </w:rPr>
        <w:t xml:space="preserve">. BJR Case Rep </w:t>
      </w:r>
      <w:r w:rsidRPr="00981472">
        <w:rPr>
          <w:rFonts w:cstheme="minorHAnsi"/>
        </w:rPr>
        <w:t xml:space="preserve">2019; </w:t>
      </w:r>
      <w:r w:rsidRPr="00D75689">
        <w:rPr>
          <w:rFonts w:cstheme="minorHAnsi"/>
        </w:rPr>
        <w:t>5</w:t>
      </w:r>
      <w:r w:rsidRPr="00981472">
        <w:rPr>
          <w:rFonts w:cstheme="minorHAnsi"/>
        </w:rPr>
        <w:t>: 20190003</w:t>
      </w:r>
    </w:p>
    <w:p w14:paraId="1E54665E" w14:textId="77777777" w:rsidR="00BB522B" w:rsidRPr="00981472" w:rsidRDefault="00BB522B">
      <w:pPr>
        <w:spacing w:before="10"/>
        <w:rPr>
          <w:rFonts w:cstheme="minorHAnsi"/>
        </w:rPr>
      </w:pPr>
    </w:p>
    <w:p w14:paraId="096B994E" w14:textId="3340DAEF" w:rsidR="00957F89" w:rsidRDefault="00D92D87" w:rsidP="00BB522B">
      <w:pPr>
        <w:pStyle w:val="BodyText"/>
        <w:ind w:right="887"/>
        <w:jc w:val="both"/>
        <w:rPr>
          <w:rFonts w:cstheme="minorHAnsi"/>
          <w:szCs w:val="22"/>
        </w:rPr>
      </w:pPr>
      <w:proofErr w:type="spellStart"/>
      <w:r w:rsidRPr="00981472">
        <w:rPr>
          <w:rFonts w:cstheme="minorHAnsi"/>
          <w:szCs w:val="22"/>
        </w:rPr>
        <w:t>Trijbels</w:t>
      </w:r>
      <w:proofErr w:type="spellEnd"/>
      <w:r w:rsidRPr="00981472">
        <w:rPr>
          <w:rFonts w:cstheme="minorHAnsi"/>
          <w:szCs w:val="22"/>
        </w:rPr>
        <w:t xml:space="preserve"> JMF, </w:t>
      </w:r>
      <w:proofErr w:type="spellStart"/>
      <w:r w:rsidRPr="00981472">
        <w:rPr>
          <w:rFonts w:cstheme="minorHAnsi"/>
          <w:szCs w:val="22"/>
        </w:rPr>
        <w:t>Sengers</w:t>
      </w:r>
      <w:proofErr w:type="spellEnd"/>
      <w:r w:rsidRPr="00981472">
        <w:rPr>
          <w:rFonts w:cstheme="minorHAnsi"/>
          <w:szCs w:val="22"/>
        </w:rPr>
        <w:t xml:space="preserve"> RCA, </w:t>
      </w:r>
      <w:proofErr w:type="spellStart"/>
      <w:r w:rsidRPr="00981472">
        <w:rPr>
          <w:rFonts w:cstheme="minorHAnsi"/>
          <w:szCs w:val="22"/>
        </w:rPr>
        <w:t>Ruitenbeek</w:t>
      </w:r>
      <w:proofErr w:type="spellEnd"/>
      <w:r w:rsidRPr="00981472">
        <w:rPr>
          <w:rFonts w:cstheme="minorHAnsi"/>
          <w:szCs w:val="22"/>
        </w:rPr>
        <w:t xml:space="preserve"> W, Fischer JC, </w:t>
      </w:r>
      <w:proofErr w:type="spellStart"/>
      <w:r w:rsidRPr="00981472">
        <w:rPr>
          <w:rFonts w:cstheme="minorHAnsi"/>
          <w:szCs w:val="22"/>
        </w:rPr>
        <w:t>Bakkeren</w:t>
      </w:r>
      <w:proofErr w:type="spellEnd"/>
      <w:r w:rsidRPr="00981472">
        <w:rPr>
          <w:rFonts w:cstheme="minorHAnsi"/>
          <w:szCs w:val="22"/>
        </w:rPr>
        <w:t xml:space="preserve"> JAJM, Janssen AJM. Disorders of the mitochondrial respiratory </w:t>
      </w:r>
      <w:proofErr w:type="spellStart"/>
      <w:r w:rsidRPr="00981472">
        <w:rPr>
          <w:rFonts w:cstheme="minorHAnsi"/>
          <w:szCs w:val="22"/>
        </w:rPr>
        <w:t>cahin</w:t>
      </w:r>
      <w:proofErr w:type="spellEnd"/>
      <w:r w:rsidRPr="00981472">
        <w:rPr>
          <w:rFonts w:cstheme="minorHAnsi"/>
          <w:szCs w:val="22"/>
        </w:rPr>
        <w:t>: clinical manifestations and diagnostic</w:t>
      </w:r>
      <w:r w:rsidRPr="00981472">
        <w:rPr>
          <w:rFonts w:cstheme="minorHAnsi"/>
          <w:w w:val="99"/>
          <w:szCs w:val="22"/>
        </w:rPr>
        <w:t xml:space="preserve"> </w:t>
      </w:r>
      <w:r w:rsidRPr="00981472">
        <w:rPr>
          <w:rFonts w:cstheme="minorHAnsi"/>
          <w:szCs w:val="22"/>
        </w:rPr>
        <w:t xml:space="preserve">approach. </w:t>
      </w:r>
      <w:proofErr w:type="spellStart"/>
      <w:r w:rsidRPr="00981472">
        <w:rPr>
          <w:rFonts w:cstheme="minorHAnsi"/>
          <w:szCs w:val="22"/>
        </w:rPr>
        <w:t>Eur</w:t>
      </w:r>
      <w:proofErr w:type="spellEnd"/>
      <w:r w:rsidRPr="00981472">
        <w:rPr>
          <w:rFonts w:cstheme="minorHAnsi"/>
          <w:szCs w:val="22"/>
        </w:rPr>
        <w:t xml:space="preserve"> J </w:t>
      </w:r>
      <w:proofErr w:type="spellStart"/>
      <w:r w:rsidRPr="00981472">
        <w:rPr>
          <w:rFonts w:cstheme="minorHAnsi"/>
          <w:szCs w:val="22"/>
        </w:rPr>
        <w:t>Pediatr</w:t>
      </w:r>
      <w:proofErr w:type="spellEnd"/>
      <w:r w:rsidRPr="00981472">
        <w:rPr>
          <w:rFonts w:cstheme="minorHAnsi"/>
          <w:szCs w:val="22"/>
        </w:rPr>
        <w:t xml:space="preserve"> </w:t>
      </w:r>
      <w:proofErr w:type="gramStart"/>
      <w:r w:rsidRPr="00981472">
        <w:rPr>
          <w:rFonts w:cstheme="minorHAnsi"/>
          <w:szCs w:val="22"/>
        </w:rPr>
        <w:t>1988;148:92</w:t>
      </w:r>
      <w:proofErr w:type="gramEnd"/>
      <w:r w:rsidRPr="00981472">
        <w:rPr>
          <w:rFonts w:cstheme="minorHAnsi"/>
          <w:szCs w:val="22"/>
        </w:rPr>
        <w:t>-97</w:t>
      </w:r>
    </w:p>
    <w:p w14:paraId="5A1BE32E" w14:textId="0C35024A" w:rsidR="00893561" w:rsidRDefault="00893561" w:rsidP="00BB522B">
      <w:pPr>
        <w:pStyle w:val="BodyText"/>
        <w:ind w:right="887"/>
        <w:jc w:val="both"/>
        <w:rPr>
          <w:rFonts w:cstheme="minorHAnsi"/>
          <w:szCs w:val="22"/>
        </w:rPr>
      </w:pPr>
    </w:p>
    <w:p w14:paraId="68A598BD" w14:textId="7F7A856E" w:rsidR="00893561" w:rsidRPr="00981472" w:rsidRDefault="00893561" w:rsidP="00893561">
      <w:pPr>
        <w:pStyle w:val="BodyText"/>
        <w:ind w:right="887"/>
        <w:jc w:val="both"/>
        <w:rPr>
          <w:rFonts w:cstheme="minorHAnsi"/>
          <w:szCs w:val="22"/>
        </w:rPr>
      </w:pPr>
      <w:r w:rsidRPr="00893561">
        <w:rPr>
          <w:rFonts w:cstheme="minorHAnsi"/>
          <w:szCs w:val="22"/>
        </w:rPr>
        <w:t>Ursprung</w:t>
      </w:r>
      <w:r>
        <w:rPr>
          <w:rFonts w:cstheme="minorHAnsi"/>
          <w:szCs w:val="22"/>
        </w:rPr>
        <w:t xml:space="preserve"> S, </w:t>
      </w:r>
      <w:proofErr w:type="spellStart"/>
      <w:r w:rsidRPr="009161B8">
        <w:rPr>
          <w:rFonts w:ascii="URWPalladioL-Bold" w:hAnsi="URWPalladioL-Bold" w:cs="URWPalladioL-Bold"/>
          <w:sz w:val="20"/>
          <w:szCs w:val="20"/>
        </w:rPr>
        <w:t>Woitek</w:t>
      </w:r>
      <w:proofErr w:type="spellEnd"/>
      <w:r w:rsidRPr="009161B8">
        <w:rPr>
          <w:rFonts w:ascii="URWPalladioL-Bold" w:hAnsi="URWPalladioL-Bold" w:cs="URWPalladioL-Bold"/>
          <w:sz w:val="20"/>
          <w:szCs w:val="20"/>
        </w:rPr>
        <w:t xml:space="preserve"> R,</w:t>
      </w:r>
      <w:r>
        <w:rPr>
          <w:rFonts w:cstheme="minorHAnsi"/>
          <w:szCs w:val="22"/>
        </w:rPr>
        <w:t xml:space="preserve"> McLean M, et al.</w:t>
      </w:r>
      <w:r w:rsidRPr="009161B8">
        <w:rPr>
          <w:rFonts w:cstheme="minorHAnsi"/>
          <w:szCs w:val="22"/>
        </w:rPr>
        <w:t xml:space="preserve"> </w:t>
      </w:r>
      <w:r w:rsidRPr="00893561">
        <w:rPr>
          <w:rFonts w:cstheme="minorHAnsi"/>
          <w:szCs w:val="22"/>
        </w:rPr>
        <w:t>Hyperpolarized 13C-Pyruvate Metabolism as a Surrogate for</w:t>
      </w:r>
      <w:r>
        <w:rPr>
          <w:rFonts w:cstheme="minorHAnsi"/>
          <w:szCs w:val="22"/>
        </w:rPr>
        <w:t xml:space="preserve"> </w:t>
      </w:r>
      <w:r w:rsidRPr="00893561">
        <w:rPr>
          <w:rFonts w:cstheme="minorHAnsi"/>
          <w:szCs w:val="22"/>
        </w:rPr>
        <w:t>Tumor Grade and Poor Outcome in Renal Cell</w:t>
      </w:r>
      <w:r>
        <w:rPr>
          <w:rFonts w:cstheme="minorHAnsi"/>
          <w:szCs w:val="22"/>
        </w:rPr>
        <w:t xml:space="preserve"> </w:t>
      </w:r>
      <w:r w:rsidRPr="00893561">
        <w:rPr>
          <w:rFonts w:cstheme="minorHAnsi"/>
          <w:szCs w:val="22"/>
        </w:rPr>
        <w:t>Carcinoma—A Proof of Principle Study</w:t>
      </w:r>
      <w:r>
        <w:rPr>
          <w:rFonts w:cstheme="minorHAnsi"/>
          <w:szCs w:val="22"/>
        </w:rPr>
        <w:t xml:space="preserve">. </w:t>
      </w:r>
      <w:r w:rsidRPr="00893561">
        <w:rPr>
          <w:rFonts w:cstheme="minorHAnsi"/>
          <w:szCs w:val="22"/>
        </w:rPr>
        <w:t>Cancers</w:t>
      </w:r>
      <w:r>
        <w:rPr>
          <w:rFonts w:cstheme="minorHAnsi"/>
          <w:szCs w:val="22"/>
        </w:rPr>
        <w:t>.</w:t>
      </w:r>
      <w:r w:rsidRPr="00893561">
        <w:rPr>
          <w:rFonts w:cstheme="minorHAnsi"/>
          <w:szCs w:val="22"/>
        </w:rPr>
        <w:t xml:space="preserve"> 2022, 14, 335</w:t>
      </w:r>
    </w:p>
    <w:p w14:paraId="3821BDBD" w14:textId="77777777" w:rsidR="00010FB7" w:rsidRPr="00981472" w:rsidRDefault="00010FB7" w:rsidP="00010FB7">
      <w:pPr>
        <w:spacing w:before="10"/>
        <w:rPr>
          <w:rFonts w:cstheme="minorHAnsi"/>
        </w:rPr>
      </w:pPr>
    </w:p>
    <w:p w14:paraId="7FE4EADF" w14:textId="77777777" w:rsidR="00957F89" w:rsidRPr="00981472" w:rsidRDefault="00D92D87">
      <w:pPr>
        <w:pStyle w:val="BodyText"/>
        <w:ind w:right="311"/>
        <w:rPr>
          <w:rFonts w:cstheme="minorHAnsi"/>
          <w:szCs w:val="22"/>
        </w:rPr>
      </w:pPr>
      <w:r w:rsidRPr="00981472">
        <w:rPr>
          <w:rFonts w:cstheme="minorHAnsi"/>
          <w:szCs w:val="22"/>
        </w:rPr>
        <w:t xml:space="preserve">Van Erven PMM, </w:t>
      </w:r>
      <w:proofErr w:type="spellStart"/>
      <w:r w:rsidRPr="00981472">
        <w:rPr>
          <w:rFonts w:cstheme="minorHAnsi"/>
          <w:szCs w:val="22"/>
        </w:rPr>
        <w:t>Gabreëls</w:t>
      </w:r>
      <w:proofErr w:type="spellEnd"/>
      <w:r w:rsidRPr="00981472">
        <w:rPr>
          <w:rFonts w:cstheme="minorHAnsi"/>
          <w:szCs w:val="22"/>
        </w:rPr>
        <w:t xml:space="preserve"> FJM, </w:t>
      </w:r>
      <w:proofErr w:type="spellStart"/>
      <w:r w:rsidRPr="00981472">
        <w:rPr>
          <w:rFonts w:cstheme="minorHAnsi"/>
          <w:szCs w:val="22"/>
        </w:rPr>
        <w:t>Ruitenbeek</w:t>
      </w:r>
      <w:proofErr w:type="spellEnd"/>
      <w:r w:rsidRPr="00981472">
        <w:rPr>
          <w:rFonts w:cstheme="minorHAnsi"/>
          <w:szCs w:val="22"/>
        </w:rPr>
        <w:t xml:space="preserve"> W, Renier WO, Lamers KJB, </w:t>
      </w:r>
      <w:proofErr w:type="spellStart"/>
      <w:r w:rsidRPr="00981472">
        <w:rPr>
          <w:rFonts w:cstheme="minorHAnsi"/>
          <w:szCs w:val="22"/>
        </w:rPr>
        <w:t>Sloof</w:t>
      </w:r>
      <w:proofErr w:type="spellEnd"/>
      <w:r w:rsidRPr="00981472">
        <w:rPr>
          <w:rFonts w:cstheme="minorHAnsi"/>
          <w:szCs w:val="22"/>
        </w:rPr>
        <w:t xml:space="preserve"> JL. Familial</w:t>
      </w:r>
      <w:r w:rsidRPr="00981472">
        <w:rPr>
          <w:rFonts w:cstheme="minorHAnsi"/>
          <w:w w:val="99"/>
          <w:szCs w:val="22"/>
        </w:rPr>
        <w:t xml:space="preserve"> </w:t>
      </w:r>
      <w:r w:rsidRPr="00981472">
        <w:rPr>
          <w:rFonts w:cstheme="minorHAnsi"/>
          <w:szCs w:val="22"/>
        </w:rPr>
        <w:t>Leigh’s syndrome: association with a defect in oxidative metabolism probably restricted to</w:t>
      </w:r>
      <w:r w:rsidRPr="00981472">
        <w:rPr>
          <w:rFonts w:cstheme="minorHAnsi"/>
          <w:w w:val="99"/>
          <w:szCs w:val="22"/>
        </w:rPr>
        <w:t xml:space="preserve"> </w:t>
      </w:r>
      <w:r w:rsidRPr="00981472">
        <w:rPr>
          <w:rFonts w:cstheme="minorHAnsi"/>
          <w:szCs w:val="22"/>
        </w:rPr>
        <w:t xml:space="preserve">brain. J Neurol </w:t>
      </w:r>
      <w:proofErr w:type="gramStart"/>
      <w:r w:rsidRPr="00981472">
        <w:rPr>
          <w:rFonts w:cstheme="minorHAnsi"/>
          <w:szCs w:val="22"/>
        </w:rPr>
        <w:t>1987;234:215</w:t>
      </w:r>
      <w:proofErr w:type="gramEnd"/>
      <w:r w:rsidRPr="00981472">
        <w:rPr>
          <w:rFonts w:cstheme="minorHAnsi"/>
          <w:szCs w:val="22"/>
        </w:rPr>
        <w:t>-219</w:t>
      </w:r>
    </w:p>
    <w:p w14:paraId="0C136D4B" w14:textId="77777777" w:rsidR="00957F89" w:rsidRPr="00981472" w:rsidRDefault="00957F89">
      <w:pPr>
        <w:spacing w:before="10"/>
        <w:rPr>
          <w:rFonts w:cstheme="minorHAnsi"/>
        </w:rPr>
      </w:pPr>
    </w:p>
    <w:p w14:paraId="60548885" w14:textId="77777777" w:rsidR="00957F89" w:rsidRPr="00981472" w:rsidRDefault="00D92D87">
      <w:pPr>
        <w:pStyle w:val="BodyText"/>
        <w:ind w:right="742"/>
        <w:rPr>
          <w:rFonts w:cstheme="minorHAnsi"/>
          <w:szCs w:val="22"/>
        </w:rPr>
      </w:pPr>
      <w:r w:rsidRPr="00981472">
        <w:rPr>
          <w:rFonts w:cstheme="minorHAnsi"/>
          <w:szCs w:val="22"/>
        </w:rPr>
        <w:t xml:space="preserve">Van Erven PMM, </w:t>
      </w:r>
      <w:proofErr w:type="spellStart"/>
      <w:r w:rsidRPr="00981472">
        <w:rPr>
          <w:rFonts w:cstheme="minorHAnsi"/>
          <w:szCs w:val="22"/>
        </w:rPr>
        <w:t>Gabreels</w:t>
      </w:r>
      <w:proofErr w:type="spellEnd"/>
      <w:r w:rsidRPr="00981472">
        <w:rPr>
          <w:rFonts w:cstheme="minorHAnsi"/>
          <w:szCs w:val="22"/>
        </w:rPr>
        <w:t xml:space="preserve"> FJ, </w:t>
      </w:r>
      <w:proofErr w:type="spellStart"/>
      <w:r w:rsidRPr="00981472">
        <w:rPr>
          <w:rFonts w:cstheme="minorHAnsi"/>
          <w:szCs w:val="22"/>
        </w:rPr>
        <w:t>Ruitenbeek</w:t>
      </w:r>
      <w:proofErr w:type="spellEnd"/>
      <w:r w:rsidRPr="00981472">
        <w:rPr>
          <w:rFonts w:cstheme="minorHAnsi"/>
          <w:szCs w:val="22"/>
        </w:rPr>
        <w:t xml:space="preserve"> W, Renier WO, Fischer JC. Mitochondrial</w:t>
      </w:r>
      <w:r w:rsidRPr="00981472">
        <w:rPr>
          <w:rFonts w:cstheme="minorHAnsi"/>
          <w:w w:val="99"/>
          <w:szCs w:val="22"/>
        </w:rPr>
        <w:t xml:space="preserve"> </w:t>
      </w:r>
      <w:proofErr w:type="spellStart"/>
      <w:r w:rsidRPr="00981472">
        <w:rPr>
          <w:rFonts w:cstheme="minorHAnsi"/>
          <w:szCs w:val="22"/>
        </w:rPr>
        <w:t>encephalomyopathy</w:t>
      </w:r>
      <w:proofErr w:type="spellEnd"/>
      <w:r w:rsidRPr="00981472">
        <w:rPr>
          <w:rFonts w:cstheme="minorHAnsi"/>
          <w:szCs w:val="22"/>
        </w:rPr>
        <w:t>. Association with an NADH dehydrogenase deficiency. Arch Neurol</w:t>
      </w:r>
      <w:r w:rsidRPr="00981472">
        <w:rPr>
          <w:rFonts w:cstheme="minorHAnsi"/>
          <w:w w:val="99"/>
          <w:szCs w:val="22"/>
        </w:rPr>
        <w:t xml:space="preserve"> </w:t>
      </w:r>
      <w:r w:rsidRPr="00981472">
        <w:rPr>
          <w:rFonts w:cstheme="minorHAnsi"/>
          <w:szCs w:val="22"/>
        </w:rPr>
        <w:t>1987;44(7):775-8</w:t>
      </w:r>
    </w:p>
    <w:p w14:paraId="260651F3" w14:textId="77777777" w:rsidR="00957F89" w:rsidRPr="00981472" w:rsidRDefault="00957F89">
      <w:pPr>
        <w:rPr>
          <w:rFonts w:cstheme="minorHAnsi"/>
        </w:rPr>
      </w:pPr>
    </w:p>
    <w:p w14:paraId="5B82A5E0" w14:textId="2806F9D3" w:rsidR="00957F89" w:rsidRDefault="00D92D87">
      <w:pPr>
        <w:pStyle w:val="BodyText"/>
        <w:spacing w:before="69"/>
        <w:ind w:right="611"/>
        <w:rPr>
          <w:rFonts w:cstheme="minorHAnsi"/>
          <w:szCs w:val="22"/>
        </w:rPr>
      </w:pPr>
      <w:r w:rsidRPr="00981472">
        <w:rPr>
          <w:rFonts w:cstheme="minorHAnsi"/>
          <w:szCs w:val="22"/>
        </w:rPr>
        <w:t xml:space="preserve">Van Erven PMM, Renier WO, </w:t>
      </w:r>
      <w:proofErr w:type="spellStart"/>
      <w:r w:rsidRPr="00981472">
        <w:rPr>
          <w:rFonts w:cstheme="minorHAnsi"/>
          <w:szCs w:val="22"/>
        </w:rPr>
        <w:t>Gabreëls</w:t>
      </w:r>
      <w:proofErr w:type="spellEnd"/>
      <w:r w:rsidRPr="00981472">
        <w:rPr>
          <w:rFonts w:cstheme="minorHAnsi"/>
          <w:szCs w:val="22"/>
        </w:rPr>
        <w:t xml:space="preserve"> FJM, </w:t>
      </w:r>
      <w:proofErr w:type="spellStart"/>
      <w:r w:rsidRPr="00981472">
        <w:rPr>
          <w:rFonts w:cstheme="minorHAnsi"/>
          <w:szCs w:val="22"/>
        </w:rPr>
        <w:t>Thijssen</w:t>
      </w:r>
      <w:proofErr w:type="spellEnd"/>
      <w:r w:rsidRPr="00981472">
        <w:rPr>
          <w:rFonts w:cstheme="minorHAnsi"/>
          <w:szCs w:val="22"/>
        </w:rPr>
        <w:t xml:space="preserve"> HOM, </w:t>
      </w:r>
      <w:proofErr w:type="spellStart"/>
      <w:r w:rsidRPr="00981472">
        <w:rPr>
          <w:rFonts w:cstheme="minorHAnsi"/>
          <w:szCs w:val="22"/>
        </w:rPr>
        <w:t>Ruitenbeek</w:t>
      </w:r>
      <w:proofErr w:type="spellEnd"/>
      <w:r w:rsidRPr="00981472">
        <w:rPr>
          <w:rFonts w:cstheme="minorHAnsi"/>
          <w:szCs w:val="22"/>
        </w:rPr>
        <w:t xml:space="preserve"> W, </w:t>
      </w:r>
      <w:proofErr w:type="spellStart"/>
      <w:r w:rsidRPr="00981472">
        <w:rPr>
          <w:rFonts w:cstheme="minorHAnsi"/>
          <w:szCs w:val="22"/>
        </w:rPr>
        <w:t>Horstink</w:t>
      </w:r>
      <w:proofErr w:type="spellEnd"/>
      <w:r w:rsidRPr="00981472">
        <w:rPr>
          <w:rFonts w:cstheme="minorHAnsi"/>
          <w:szCs w:val="22"/>
        </w:rPr>
        <w:t xml:space="preserve"> MWIM. Hypokinesia and rigidity as clinical manifestations of mitochondrial</w:t>
      </w:r>
      <w:r w:rsidRPr="00981472">
        <w:rPr>
          <w:rFonts w:cstheme="minorHAnsi"/>
          <w:w w:val="99"/>
          <w:szCs w:val="22"/>
        </w:rPr>
        <w:t xml:space="preserve"> </w:t>
      </w:r>
      <w:proofErr w:type="spellStart"/>
      <w:r w:rsidRPr="00981472">
        <w:rPr>
          <w:rFonts w:cstheme="minorHAnsi"/>
          <w:szCs w:val="22"/>
        </w:rPr>
        <w:t>encephalomyopathy</w:t>
      </w:r>
      <w:proofErr w:type="spellEnd"/>
      <w:r w:rsidRPr="00981472">
        <w:rPr>
          <w:rFonts w:cstheme="minorHAnsi"/>
          <w:szCs w:val="22"/>
        </w:rPr>
        <w:t xml:space="preserve">: Report of three cases. Developmental Medicine and Child Neurology </w:t>
      </w:r>
      <w:proofErr w:type="gramStart"/>
      <w:r w:rsidRPr="00981472">
        <w:rPr>
          <w:rFonts w:cstheme="minorHAnsi"/>
          <w:szCs w:val="22"/>
        </w:rPr>
        <w:t>1989;31:81</w:t>
      </w:r>
      <w:proofErr w:type="gramEnd"/>
      <w:r w:rsidRPr="00981472">
        <w:rPr>
          <w:rFonts w:cstheme="minorHAnsi"/>
          <w:szCs w:val="22"/>
        </w:rPr>
        <w:t>-97</w:t>
      </w:r>
    </w:p>
    <w:p w14:paraId="140D9303" w14:textId="77777777" w:rsidR="00355CD0" w:rsidRDefault="00355CD0">
      <w:pPr>
        <w:pStyle w:val="BodyText"/>
        <w:spacing w:before="69"/>
        <w:ind w:right="611"/>
        <w:rPr>
          <w:rFonts w:cstheme="minorHAnsi"/>
          <w:szCs w:val="22"/>
        </w:rPr>
      </w:pPr>
    </w:p>
    <w:p w14:paraId="4A2E3CE5" w14:textId="3FB92006" w:rsidR="00355CD0" w:rsidRPr="00981472" w:rsidRDefault="00355CD0">
      <w:pPr>
        <w:pStyle w:val="BodyText"/>
        <w:spacing w:before="69"/>
        <w:ind w:right="611"/>
        <w:rPr>
          <w:rFonts w:cstheme="minorHAnsi"/>
          <w:szCs w:val="22"/>
        </w:rPr>
      </w:pPr>
      <w:proofErr w:type="spellStart"/>
      <w:r w:rsidRPr="00355CD0">
        <w:rPr>
          <w:rFonts w:cstheme="minorHAnsi"/>
          <w:szCs w:val="22"/>
        </w:rPr>
        <w:t>Woitek</w:t>
      </w:r>
      <w:proofErr w:type="spellEnd"/>
      <w:r w:rsidRPr="00355CD0">
        <w:rPr>
          <w:rFonts w:cstheme="minorHAnsi"/>
          <w:szCs w:val="22"/>
        </w:rPr>
        <w:t xml:space="preserve"> R, Brindle K. Hyperpolarized Carbon-13 MRI in Breast Cancer. Diagnostics 2023, 13, 2311</w:t>
      </w:r>
    </w:p>
    <w:p w14:paraId="2EAAD36B" w14:textId="6A7D7973" w:rsidR="00E55550" w:rsidRDefault="00E55550">
      <w:pPr>
        <w:rPr>
          <w:rFonts w:eastAsia="Times New Roman"/>
          <w:szCs w:val="24"/>
        </w:rPr>
      </w:pPr>
      <w:r>
        <w:br w:type="page"/>
      </w:r>
    </w:p>
    <w:p w14:paraId="4A54B7D4" w14:textId="77777777" w:rsidR="00957F89" w:rsidRPr="00C73849" w:rsidRDefault="00D92D87" w:rsidP="001B7E10">
      <w:pPr>
        <w:pStyle w:val="Heading1"/>
        <w:rPr>
          <w:rFonts w:cs="Times New Roman"/>
          <w:szCs w:val="28"/>
        </w:rPr>
      </w:pPr>
      <w:bookmarkStart w:id="212" w:name="_bookmark9"/>
      <w:bookmarkStart w:id="213" w:name="_Toc34900010"/>
      <w:bookmarkStart w:id="214" w:name="_Toc33702540"/>
      <w:bookmarkStart w:id="215" w:name="_Toc176276967"/>
      <w:bookmarkEnd w:id="212"/>
      <w:r w:rsidRPr="00C73849">
        <w:lastRenderedPageBreak/>
        <w:t>SUMMARY DATA AND GUIDANCE FOR THE INVESTIGATOR</w:t>
      </w:r>
      <w:bookmarkEnd w:id="213"/>
      <w:bookmarkEnd w:id="214"/>
      <w:bookmarkEnd w:id="215"/>
    </w:p>
    <w:p w14:paraId="2F1D22C6" w14:textId="77777777" w:rsidR="00957F89" w:rsidRPr="00C73849" w:rsidRDefault="001B7E10">
      <w:pPr>
        <w:pStyle w:val="Heading2"/>
        <w:rPr>
          <w:rFonts w:eastAsia="Times New Roman" w:hAnsi="Times New Roman" w:cs="Times New Roman"/>
          <w:szCs w:val="28"/>
        </w:rPr>
      </w:pPr>
      <w:bookmarkStart w:id="216" w:name="_Toc34900011"/>
      <w:bookmarkStart w:id="217" w:name="_Toc33702541"/>
      <w:bookmarkStart w:id="218" w:name="_Toc176276968"/>
      <w:r w:rsidRPr="00C73849">
        <w:t>7.1</w:t>
      </w:r>
      <w:r w:rsidRPr="00C73849">
        <w:tab/>
      </w:r>
      <w:r w:rsidR="00D92D87" w:rsidRPr="00C73849">
        <w:t>Nonclinical Safety Information</w:t>
      </w:r>
      <w:bookmarkEnd w:id="216"/>
      <w:bookmarkEnd w:id="217"/>
      <w:bookmarkEnd w:id="218"/>
    </w:p>
    <w:p w14:paraId="0BCBC8D8" w14:textId="648212EC" w:rsidR="00957F89" w:rsidRPr="00C73849" w:rsidRDefault="00D92D87">
      <w:pPr>
        <w:pStyle w:val="BodyText"/>
        <w:spacing w:before="233"/>
        <w:ind w:right="153"/>
      </w:pPr>
      <w:r w:rsidRPr="00C73849">
        <w:t>A nonclinical program has been performed in which the safety of both pyruvate and AH111501 (Electron Paramagnetic Agent; EPA), the 2 novel drug product components of Pyruvate</w:t>
      </w:r>
      <w:r w:rsidRPr="00C73849">
        <w:rPr>
          <w:w w:val="99"/>
        </w:rPr>
        <w:t xml:space="preserve"> </w:t>
      </w:r>
      <w:r w:rsidRPr="00C73849">
        <w:t>Injection, has been demonstrated. The program included expanded acute-dose studies in</w:t>
      </w:r>
      <w:r w:rsidRPr="00C73849">
        <w:rPr>
          <w:w w:val="99"/>
        </w:rPr>
        <w:t xml:space="preserve"> </w:t>
      </w:r>
      <w:r w:rsidRPr="00C73849">
        <w:t>Sprague-Dawley rats, from which the No-Observed-Adverse-Effect-Levels (NOAEL) were</w:t>
      </w:r>
      <w:r w:rsidRPr="00C73849">
        <w:rPr>
          <w:w w:val="99"/>
        </w:rPr>
        <w:t xml:space="preserve"> </w:t>
      </w:r>
      <w:r w:rsidRPr="00C73849">
        <w:t xml:space="preserve">estimated as 892 mg/kg </w:t>
      </w:r>
      <w:proofErr w:type="spellStart"/>
      <w:r w:rsidRPr="00C73849">
        <w:t>bw</w:t>
      </w:r>
      <w:proofErr w:type="spellEnd"/>
      <w:r w:rsidRPr="00C73849">
        <w:t xml:space="preserve"> for pyruvate and 17 mg/kg </w:t>
      </w:r>
      <w:proofErr w:type="spellStart"/>
      <w:r w:rsidRPr="00C73849">
        <w:t>bw</w:t>
      </w:r>
      <w:proofErr w:type="spellEnd"/>
      <w:r w:rsidRPr="00C73849">
        <w:t xml:space="preserve"> for AH111501. In an expanded</w:t>
      </w:r>
      <w:r w:rsidRPr="00C73849">
        <w:rPr>
          <w:w w:val="99"/>
        </w:rPr>
        <w:t xml:space="preserve"> </w:t>
      </w:r>
      <w:r w:rsidRPr="00C73849">
        <w:t xml:space="preserve">acute-dose study in beagle dogs, the NOAEL for pyruvate was 446 mg/kg </w:t>
      </w:r>
      <w:proofErr w:type="spellStart"/>
      <w:r w:rsidRPr="00C73849">
        <w:t>bw</w:t>
      </w:r>
      <w:proofErr w:type="spellEnd"/>
      <w:r w:rsidRPr="00C73849">
        <w:t xml:space="preserve"> and 8.5 mg/kg</w:t>
      </w:r>
      <w:r w:rsidR="001E1911">
        <w:t xml:space="preserve"> </w:t>
      </w:r>
      <w:proofErr w:type="spellStart"/>
      <w:r w:rsidRPr="00C73849">
        <w:t>bw</w:t>
      </w:r>
      <w:proofErr w:type="spellEnd"/>
      <w:r w:rsidRPr="00C73849">
        <w:t xml:space="preserve"> for AH111501. The cardiovascular effects of formulations of pyruvate were studied in both conscious and pentobarbital/fentanyl-anaesthetized dogs. The conscious dog </w:t>
      </w:r>
      <w:proofErr w:type="gramStart"/>
      <w:r w:rsidRPr="00C73849">
        <w:t>was</w:t>
      </w:r>
      <w:r w:rsidR="001E1911">
        <w:t xml:space="preserve">  </w:t>
      </w:r>
      <w:r w:rsidRPr="00C73849">
        <w:t>considered</w:t>
      </w:r>
      <w:proofErr w:type="gramEnd"/>
      <w:r w:rsidRPr="00C73849">
        <w:t xml:space="preserve"> the most relevant model for extrapolating results to healthy human volunteers and</w:t>
      </w:r>
      <w:r w:rsidR="001E1911">
        <w:rPr>
          <w:w w:val="99"/>
        </w:rPr>
        <w:t xml:space="preserve"> </w:t>
      </w:r>
      <w:r w:rsidRPr="00C73849">
        <w:t>the anaesthetized dog as a sensitive model for extrapolating results to subjects with a</w:t>
      </w:r>
      <w:r w:rsidRPr="00C73849">
        <w:rPr>
          <w:w w:val="99"/>
        </w:rPr>
        <w:t xml:space="preserve"> </w:t>
      </w:r>
      <w:r w:rsidRPr="00C73849">
        <w:t>compromised baroreflex function (as may be the case in elderly subjects with prostate cancer,</w:t>
      </w:r>
      <w:r w:rsidRPr="00C73849">
        <w:rPr>
          <w:w w:val="99"/>
        </w:rPr>
        <w:t xml:space="preserve"> </w:t>
      </w:r>
      <w:r w:rsidRPr="00C73849">
        <w:t>which is one of the target populations in which use of Pyruvate Injection is planned). In addition, effects of pyruvate and AH111501 have been studied in local tolerance studies,</w:t>
      </w:r>
      <w:r w:rsidRPr="00C73849">
        <w:rPr>
          <w:w w:val="99"/>
        </w:rPr>
        <w:t xml:space="preserve"> </w:t>
      </w:r>
      <w:r w:rsidRPr="00C73849">
        <w:t>genotoxicity studies and central nervous system studies. Based on the cardiovascular effects</w:t>
      </w:r>
      <w:r w:rsidRPr="00C73849">
        <w:rPr>
          <w:w w:val="99"/>
        </w:rPr>
        <w:t xml:space="preserve"> </w:t>
      </w:r>
      <w:r w:rsidRPr="00C73849">
        <w:t>(vasodilatation leading to small, short-lasting but statistically significant reductions in blood</w:t>
      </w:r>
      <w:r w:rsidRPr="00C73849">
        <w:rPr>
          <w:w w:val="99"/>
        </w:rPr>
        <w:t xml:space="preserve"> </w:t>
      </w:r>
      <w:r w:rsidRPr="00C73849">
        <w:t>pressure and compensatory increases in heart rate) observed in the most sensitive model, the</w:t>
      </w:r>
      <w:r w:rsidRPr="00C73849">
        <w:rPr>
          <w:w w:val="99"/>
        </w:rPr>
        <w:t xml:space="preserve"> </w:t>
      </w:r>
      <w:r w:rsidRPr="00C73849">
        <w:t xml:space="preserve">NOAEL for Pyruvate Injection is 1.4 ml/kg </w:t>
      </w:r>
      <w:proofErr w:type="spellStart"/>
      <w:r w:rsidRPr="00C73849">
        <w:t>bw</w:t>
      </w:r>
      <w:proofErr w:type="spellEnd"/>
      <w:r w:rsidRPr="00C73849">
        <w:t xml:space="preserve"> (or 100 ml for a 70-kg subject) of a 250 mM</w:t>
      </w:r>
      <w:r w:rsidRPr="00C73849">
        <w:rPr>
          <w:w w:val="99"/>
        </w:rPr>
        <w:t xml:space="preserve"> </w:t>
      </w:r>
      <w:r w:rsidRPr="00C73849">
        <w:t xml:space="preserve">formulation (equal to 31 mg/kg </w:t>
      </w:r>
      <w:proofErr w:type="spellStart"/>
      <w:r w:rsidRPr="00C73849">
        <w:t>bw</w:t>
      </w:r>
      <w:proofErr w:type="spellEnd"/>
      <w:r w:rsidRPr="00C73849">
        <w:t xml:space="preserve"> of pyruvate). AH111501 was qualified in a separate</w:t>
      </w:r>
      <w:r w:rsidRPr="00C73849">
        <w:rPr>
          <w:w w:val="99"/>
        </w:rPr>
        <w:t xml:space="preserve"> </w:t>
      </w:r>
      <w:r w:rsidRPr="00C73849">
        <w:t xml:space="preserve">toxicology program and the lowest NOAEL was 8.5 mg/kg </w:t>
      </w:r>
      <w:proofErr w:type="spellStart"/>
      <w:r w:rsidRPr="00C73849">
        <w:t>bw</w:t>
      </w:r>
      <w:proofErr w:type="spellEnd"/>
      <w:r w:rsidRPr="00C73849">
        <w:t xml:space="preserve"> (or 595 mg for a 70-kg subject).</w:t>
      </w:r>
    </w:p>
    <w:p w14:paraId="23E4C1D0" w14:textId="77777777" w:rsidR="00957F89" w:rsidRPr="00C73849" w:rsidRDefault="00957F89">
      <w:pPr>
        <w:spacing w:before="10"/>
        <w:rPr>
          <w:rFonts w:ascii="Times New Roman" w:eastAsia="Times New Roman" w:hAnsi="Times New Roman" w:cs="Times New Roman"/>
          <w:sz w:val="20"/>
          <w:szCs w:val="20"/>
        </w:rPr>
      </w:pPr>
    </w:p>
    <w:p w14:paraId="19EC1D02" w14:textId="77777777" w:rsidR="00957F89" w:rsidRPr="00C73849" w:rsidRDefault="00D92D87">
      <w:pPr>
        <w:pStyle w:val="BodyText"/>
        <w:ind w:right="247"/>
      </w:pPr>
      <w:r w:rsidRPr="00C73849">
        <w:t>The available nonclinical data indicated sufficiently good safety margins to support testing the</w:t>
      </w:r>
      <w:r w:rsidRPr="00C73849">
        <w:rPr>
          <w:w w:val="99"/>
        </w:rPr>
        <w:t xml:space="preserve"> </w:t>
      </w:r>
      <w:r w:rsidRPr="00C73849">
        <w:t xml:space="preserve">safety and tolerability of a 250 mM formulation of Pyruvate Injection containing 3 µM AH111501 (EPA) (i.e., 22.0 mg/ml of pyruvate and 4.6 </w:t>
      </w:r>
      <w:r w:rsidRPr="00C73849">
        <w:rPr>
          <w:rFonts w:ascii="Symbol" w:eastAsia="Symbol" w:hAnsi="Symbol" w:cs="Symbol"/>
        </w:rPr>
        <w:t></w:t>
      </w:r>
      <w:r w:rsidRPr="00C73849">
        <w:t>g/ml of EPA) in healthy human male</w:t>
      </w:r>
      <w:r w:rsidRPr="00C73849">
        <w:rPr>
          <w:w w:val="99"/>
        </w:rPr>
        <w:t xml:space="preserve"> </w:t>
      </w:r>
      <w:r w:rsidRPr="00C73849">
        <w:t xml:space="preserve">and female volunteers in a phase 1 dose-escalating study up to doses of 0.57 ml/kg </w:t>
      </w:r>
      <w:proofErr w:type="spellStart"/>
      <w:r w:rsidRPr="00C73849">
        <w:t>bw</w:t>
      </w:r>
      <w:proofErr w:type="spellEnd"/>
      <w:r w:rsidRPr="00C73849">
        <w:t xml:space="preserve"> (i.e., up to 12.6 mg/kg </w:t>
      </w:r>
      <w:proofErr w:type="spellStart"/>
      <w:r w:rsidRPr="00C73849">
        <w:t>bw</w:t>
      </w:r>
      <w:proofErr w:type="spellEnd"/>
      <w:r w:rsidRPr="00C73849">
        <w:t xml:space="preserve"> of pyruvate and 2.6 </w:t>
      </w:r>
      <w:r w:rsidRPr="00C73849">
        <w:rPr>
          <w:rFonts w:ascii="Symbol" w:eastAsia="Symbol" w:hAnsi="Symbol" w:cs="Symbol"/>
        </w:rPr>
        <w:t></w:t>
      </w:r>
      <w:r w:rsidRPr="00C73849">
        <w:t xml:space="preserve">g/kg </w:t>
      </w:r>
      <w:proofErr w:type="spellStart"/>
      <w:r w:rsidRPr="00C73849">
        <w:t>bw</w:t>
      </w:r>
      <w:proofErr w:type="spellEnd"/>
      <w:r w:rsidRPr="00C73849">
        <w:t xml:space="preserve"> of EPA). The data from the nonclinical studies in conscious and anaesthetized dogs indicated that special attention should be paid to the possibility of mild cardiovascular effects occurring, </w:t>
      </w:r>
      <w:r w:rsidR="00E329A5" w:rsidRPr="00C73849">
        <w:t>like</w:t>
      </w:r>
      <w:r w:rsidRPr="00C73849">
        <w:t xml:space="preserve"> those reported when</w:t>
      </w:r>
      <w:r w:rsidR="001E1911">
        <w:t xml:space="preserve"> </w:t>
      </w:r>
      <w:r w:rsidRPr="00C73849">
        <w:t>Pyruvate Injection was administered rapidly at large volumes to conscious dogs (increases in</w:t>
      </w:r>
      <w:r w:rsidRPr="00C73849">
        <w:rPr>
          <w:w w:val="99"/>
        </w:rPr>
        <w:t xml:space="preserve"> </w:t>
      </w:r>
      <w:r w:rsidRPr="00C73849">
        <w:t>heart rate) and anaesthetized dogs (vasodilatation leading to small, short-lasting but statistically significant reductions in blood pressure and compensatory increases in heart rate).</w:t>
      </w:r>
    </w:p>
    <w:p w14:paraId="1221A468" w14:textId="77777777" w:rsidR="00957F89" w:rsidRPr="00C73849" w:rsidRDefault="00957F89">
      <w:pPr>
        <w:rPr>
          <w:rFonts w:ascii="Times New Roman" w:eastAsia="Times New Roman" w:hAnsi="Times New Roman" w:cs="Times New Roman"/>
          <w:sz w:val="24"/>
          <w:szCs w:val="24"/>
        </w:rPr>
      </w:pPr>
    </w:p>
    <w:p w14:paraId="2FACD29E" w14:textId="77777777" w:rsidR="00957F89" w:rsidRPr="00C73849" w:rsidRDefault="001B7E10">
      <w:pPr>
        <w:pStyle w:val="Heading2"/>
        <w:rPr>
          <w:rFonts w:eastAsia="Times New Roman" w:hAnsi="Times New Roman" w:cs="Times New Roman"/>
          <w:szCs w:val="28"/>
        </w:rPr>
      </w:pPr>
      <w:bookmarkStart w:id="219" w:name="_Toc34900012"/>
      <w:bookmarkStart w:id="220" w:name="_Toc33702542"/>
      <w:bookmarkStart w:id="221" w:name="_Toc176276969"/>
      <w:r w:rsidRPr="00C73849">
        <w:t>7.2</w:t>
      </w:r>
      <w:r w:rsidRPr="00C73849">
        <w:tab/>
      </w:r>
      <w:r w:rsidR="00D92D87" w:rsidRPr="00C73849">
        <w:t>Clinical Information</w:t>
      </w:r>
      <w:bookmarkEnd w:id="219"/>
      <w:bookmarkEnd w:id="220"/>
      <w:bookmarkEnd w:id="221"/>
    </w:p>
    <w:p w14:paraId="1418D104" w14:textId="77777777" w:rsidR="00957F89" w:rsidRPr="00C73849" w:rsidRDefault="00D92D87" w:rsidP="002131A0">
      <w:pPr>
        <w:pStyle w:val="BodyText"/>
        <w:spacing w:before="233"/>
        <w:ind w:right="151"/>
      </w:pPr>
      <w:r w:rsidRPr="00C73849">
        <w:t>Pyruvate is reported to have several beneficial effects in humans when administered at</w:t>
      </w:r>
      <w:r w:rsidRPr="00C73849">
        <w:rPr>
          <w:w w:val="99"/>
        </w:rPr>
        <w:t xml:space="preserve"> </w:t>
      </w:r>
      <w:r w:rsidRPr="00C73849">
        <w:t>supraphysiological concentrations (reviewed and discussed in Section 6). It appears to hold</w:t>
      </w:r>
      <w:r w:rsidRPr="00C73849">
        <w:rPr>
          <w:w w:val="99"/>
        </w:rPr>
        <w:t xml:space="preserve"> </w:t>
      </w:r>
      <w:r w:rsidRPr="00C73849">
        <w:t xml:space="preserve">promise as a safe, effective ionotropic agent for treatment of hearts that have been reversibly injured (stunned) by </w:t>
      </w:r>
      <w:r w:rsidR="002C5A81" w:rsidRPr="00C73849">
        <w:t>ischemia</w:t>
      </w:r>
      <w:r w:rsidRPr="00C73849">
        <w:t>/reperfusion stress. Pyruvate enhancement of cardiac function</w:t>
      </w:r>
      <w:r w:rsidRPr="00C73849">
        <w:rPr>
          <w:w w:val="99"/>
        </w:rPr>
        <w:t xml:space="preserve"> </w:t>
      </w:r>
      <w:r w:rsidRPr="00C73849">
        <w:t>may result from one or more of the following mechanisms: increased cytosolic ATP phosphorylation potential and Gibbs free energy of ATP hydrolysis, enhanced sarcoplasmic</w:t>
      </w:r>
      <w:r w:rsidRPr="00C73849">
        <w:rPr>
          <w:w w:val="99"/>
        </w:rPr>
        <w:t xml:space="preserve"> </w:t>
      </w:r>
      <w:r w:rsidRPr="00C73849">
        <w:t>reticular calcium ion uptake and release, decreased cytosolic inorganic phosphate</w:t>
      </w:r>
      <w:r w:rsidR="0087360C">
        <w:t xml:space="preserve"> </w:t>
      </w:r>
      <w:r w:rsidRPr="00C73849">
        <w:t>concentration, oxyradical scavenging via direct neutralization of peroxides and/or enhancement</w:t>
      </w:r>
      <w:r w:rsidRPr="00C73849">
        <w:rPr>
          <w:w w:val="99"/>
        </w:rPr>
        <w:t xml:space="preserve"> </w:t>
      </w:r>
      <w:r w:rsidRPr="00C73849">
        <w:t>of the intracellular glutathione/NADPH antioxidant system, and/or closure of mitochondrial</w:t>
      </w:r>
      <w:r w:rsidRPr="00C73849">
        <w:rPr>
          <w:w w:val="99"/>
        </w:rPr>
        <w:t xml:space="preserve"> </w:t>
      </w:r>
      <w:r w:rsidRPr="00C73849">
        <w:t xml:space="preserve">permeability transition pores (for review, see Mallet [2002]). Pyruvate infusion in patients with alcoholic liver disease has also showed good therapeutic effectiveness, possibly due to the rapid gain of ATP and GTP, required to redress defective cells, and to the antioxidant action of pyruvate [Petkova et al., 2000]. However, in all the studies reported, various formulations of pyruvate have been injected at substantially lower rates </w:t>
      </w:r>
      <w:r w:rsidRPr="00C73849">
        <w:lastRenderedPageBreak/>
        <w:t>and generally much higher overall</w:t>
      </w:r>
      <w:r w:rsidR="001E1911">
        <w:rPr>
          <w:w w:val="99"/>
        </w:rPr>
        <w:t xml:space="preserve"> </w:t>
      </w:r>
      <w:r w:rsidRPr="00C73849">
        <w:t>doses than will be applied in the current and subsequent studies with Pyruvate Injection.</w:t>
      </w:r>
    </w:p>
    <w:p w14:paraId="17174339" w14:textId="77777777" w:rsidR="00957F89" w:rsidRPr="00C73849" w:rsidRDefault="00957F89">
      <w:pPr>
        <w:rPr>
          <w:rFonts w:ascii="Times New Roman" w:eastAsia="Times New Roman" w:hAnsi="Times New Roman" w:cs="Times New Roman"/>
          <w:sz w:val="24"/>
          <w:szCs w:val="24"/>
        </w:rPr>
      </w:pPr>
    </w:p>
    <w:p w14:paraId="727AA118" w14:textId="77777777" w:rsidR="00957F89" w:rsidRPr="00C73849" w:rsidRDefault="001B7E10">
      <w:pPr>
        <w:pStyle w:val="Heading2"/>
        <w:rPr>
          <w:rFonts w:eastAsia="Times New Roman" w:hAnsi="Times New Roman" w:cs="Times New Roman"/>
          <w:szCs w:val="28"/>
        </w:rPr>
      </w:pPr>
      <w:bookmarkStart w:id="222" w:name="_Toc34900013"/>
      <w:bookmarkStart w:id="223" w:name="_Toc33702543"/>
      <w:bookmarkStart w:id="224" w:name="_Toc176276970"/>
      <w:r w:rsidRPr="00C73849">
        <w:t>7.3</w:t>
      </w:r>
      <w:r w:rsidRPr="00C73849">
        <w:tab/>
      </w:r>
      <w:r w:rsidR="00D92D87" w:rsidRPr="00C73849">
        <w:t>Possible Adverse Effects</w:t>
      </w:r>
      <w:bookmarkEnd w:id="222"/>
      <w:bookmarkEnd w:id="223"/>
      <w:bookmarkEnd w:id="224"/>
    </w:p>
    <w:p w14:paraId="6583092E" w14:textId="20646480" w:rsidR="00957F89" w:rsidRPr="00C73849" w:rsidRDefault="00D92D87" w:rsidP="00D849D3">
      <w:pPr>
        <w:pStyle w:val="BodyText"/>
        <w:spacing w:before="233"/>
        <w:ind w:right="311"/>
      </w:pPr>
      <w:r w:rsidRPr="00C73849">
        <w:t>As with all clinical studies with unregistered investigational medicinal products that have been</w:t>
      </w:r>
      <w:r w:rsidRPr="00C73849">
        <w:rPr>
          <w:w w:val="99"/>
        </w:rPr>
        <w:t xml:space="preserve"> </w:t>
      </w:r>
      <w:r w:rsidRPr="00C73849">
        <w:t xml:space="preserve">tested in a limited number </w:t>
      </w:r>
      <w:r w:rsidR="006F3BC5">
        <w:t xml:space="preserve">of </w:t>
      </w:r>
      <w:r w:rsidRPr="00C73849">
        <w:t>human volunteers previously, study personnel must continue to</w:t>
      </w:r>
      <w:r w:rsidRPr="00C73849">
        <w:rPr>
          <w:w w:val="99"/>
        </w:rPr>
        <w:t xml:space="preserve"> </w:t>
      </w:r>
      <w:r w:rsidRPr="00C73849">
        <w:t>remain vigilant for the occurrence of adverse events (AEs), particularly those that may be life- threatening. Personnel who are trained in the acute management of anaphylaxis and other</w:t>
      </w:r>
      <w:r w:rsidRPr="00C73849">
        <w:rPr>
          <w:w w:val="99"/>
        </w:rPr>
        <w:t xml:space="preserve"> </w:t>
      </w:r>
      <w:r w:rsidRPr="00C73849">
        <w:t>emergencies and who have access to appropriate clinical supplies and equipment must be</w:t>
      </w:r>
      <w:r w:rsidRPr="00C73849">
        <w:rPr>
          <w:w w:val="99"/>
        </w:rPr>
        <w:t xml:space="preserve"> </w:t>
      </w:r>
      <w:r w:rsidRPr="00C73849">
        <w:t>immediately available while the subject is confined to the clinical study unit. Treatment of serious AEs should be primarily supportive of vital functions.</w:t>
      </w:r>
    </w:p>
    <w:p w14:paraId="6F042677" w14:textId="77777777" w:rsidR="00957F89" w:rsidRPr="00C73849" w:rsidRDefault="00957F89" w:rsidP="00D849D3">
      <w:pPr>
        <w:spacing w:before="10"/>
        <w:rPr>
          <w:rFonts w:ascii="Times New Roman" w:eastAsia="Times New Roman" w:hAnsi="Times New Roman" w:cs="Times New Roman"/>
          <w:sz w:val="20"/>
          <w:szCs w:val="20"/>
        </w:rPr>
      </w:pPr>
    </w:p>
    <w:p w14:paraId="0D448DA2" w14:textId="77777777" w:rsidR="00957F89" w:rsidRPr="00C73849" w:rsidRDefault="00D92D87" w:rsidP="00D849D3">
      <w:pPr>
        <w:pStyle w:val="BodyText"/>
        <w:ind w:right="151"/>
      </w:pPr>
      <w:r w:rsidRPr="00C73849">
        <w:t>The data from the nonclinical studies in conscious and anaesthetized dogs indicated that special</w:t>
      </w:r>
      <w:r w:rsidRPr="00C73849">
        <w:rPr>
          <w:w w:val="99"/>
        </w:rPr>
        <w:t xml:space="preserve"> </w:t>
      </w:r>
      <w:r w:rsidRPr="00C73849">
        <w:t xml:space="preserve">attention should be paid to the possibility of mild cardiovascular effects occurring, </w:t>
      </w:r>
      <w:r w:rsidR="00E329A5" w:rsidRPr="00C73849">
        <w:t>like</w:t>
      </w:r>
      <w:r w:rsidRPr="00C73849">
        <w:rPr>
          <w:w w:val="99"/>
        </w:rPr>
        <w:t xml:space="preserve"> </w:t>
      </w:r>
      <w:r w:rsidRPr="00C73849">
        <w:t>those reported when Pyruvate Injection was administered rapidly at large volumes to conscious</w:t>
      </w:r>
      <w:r w:rsidRPr="00C73849">
        <w:rPr>
          <w:w w:val="99"/>
        </w:rPr>
        <w:t xml:space="preserve"> </w:t>
      </w:r>
      <w:r w:rsidRPr="00C73849">
        <w:t>dogs (increases in heart rate) and anaesthetized dogs (vasodilatation leading to small,</w:t>
      </w:r>
      <w:r w:rsidR="0087360C">
        <w:t xml:space="preserve"> </w:t>
      </w:r>
      <w:r w:rsidRPr="00C73849">
        <w:t>short-lasting but significant reductions in blood pressure and compensatory increases in heart</w:t>
      </w:r>
      <w:r w:rsidRPr="00C73849">
        <w:rPr>
          <w:w w:val="99"/>
        </w:rPr>
        <w:t xml:space="preserve"> </w:t>
      </w:r>
      <w:r w:rsidRPr="00C73849">
        <w:t>rate).</w:t>
      </w:r>
    </w:p>
    <w:p w14:paraId="19FA30A2" w14:textId="77777777" w:rsidR="00957F89" w:rsidRPr="00C73849" w:rsidRDefault="00957F89" w:rsidP="00D849D3">
      <w:pPr>
        <w:spacing w:before="10"/>
        <w:rPr>
          <w:rFonts w:ascii="Times New Roman" w:eastAsia="Times New Roman" w:hAnsi="Times New Roman" w:cs="Times New Roman"/>
          <w:sz w:val="20"/>
          <w:szCs w:val="20"/>
        </w:rPr>
      </w:pPr>
    </w:p>
    <w:p w14:paraId="2E2873D8" w14:textId="77777777" w:rsidR="00957F89" w:rsidRPr="00C73849" w:rsidRDefault="00D92D87" w:rsidP="00D56947">
      <w:pPr>
        <w:pStyle w:val="BodyText"/>
        <w:ind w:right="223"/>
      </w:pPr>
      <w:r w:rsidRPr="00C73849">
        <w:t>In the 2 placebo-controlled, ascending-dose clinical studies in humans that have been</w:t>
      </w:r>
      <w:r w:rsidRPr="00C73849">
        <w:rPr>
          <w:w w:val="99"/>
        </w:rPr>
        <w:t xml:space="preserve"> </w:t>
      </w:r>
      <w:r w:rsidRPr="00C73849">
        <w:t>performed in young and elderly (</w:t>
      </w:r>
      <w:r w:rsidRPr="00C73849">
        <w:rPr>
          <w:rFonts w:ascii="Symbol" w:eastAsia="Symbol" w:hAnsi="Symbol" w:cs="Symbol"/>
        </w:rPr>
        <w:t></w:t>
      </w:r>
      <w:r w:rsidRPr="00C73849">
        <w:t>60 years old) male and female volunteers (GE-101-001 and</w:t>
      </w:r>
      <w:r w:rsidRPr="00C73849">
        <w:rPr>
          <w:w w:val="99"/>
        </w:rPr>
        <w:t xml:space="preserve"> </w:t>
      </w:r>
      <w:r w:rsidRPr="00C73849">
        <w:t>GE-101-003), a total of 66 subjects were evaluated for safety – 44 received Pyruvate Injection</w:t>
      </w:r>
      <w:r w:rsidRPr="00C73849">
        <w:rPr>
          <w:w w:val="99"/>
        </w:rPr>
        <w:t xml:space="preserve"> </w:t>
      </w:r>
      <w:r w:rsidRPr="00C73849">
        <w:t>and 22 received placebo. In study GE-101-001, doses up to 0.57 ml/kg of Pyruvate Injection</w:t>
      </w:r>
      <w:r w:rsidRPr="00C73849">
        <w:rPr>
          <w:w w:val="99"/>
        </w:rPr>
        <w:t xml:space="preserve"> </w:t>
      </w:r>
      <w:r w:rsidRPr="00C73849">
        <w:t>were assessed. The study was temporarily stopped by the sponsor after completion of dosing</w:t>
      </w:r>
      <w:r w:rsidRPr="00C73849">
        <w:rPr>
          <w:w w:val="99"/>
        </w:rPr>
        <w:t xml:space="preserve"> </w:t>
      </w:r>
      <w:r w:rsidRPr="00C73849">
        <w:t>for the 0.57 ml/kg dose group due to the occurrence of non-serious AEs in 2 subjects</w:t>
      </w:r>
      <w:r w:rsidRPr="00C73849">
        <w:rPr>
          <w:w w:val="99"/>
        </w:rPr>
        <w:t xml:space="preserve"> </w:t>
      </w:r>
      <w:r w:rsidRPr="00C73849">
        <w:t>(‘unresponsiveness’ in subject 001-0026 and ‘flushing’ accompanied by changes in blood</w:t>
      </w:r>
      <w:r w:rsidRPr="00C73849">
        <w:rPr>
          <w:w w:val="99"/>
        </w:rPr>
        <w:t xml:space="preserve"> </w:t>
      </w:r>
      <w:r w:rsidRPr="00C73849">
        <w:t>pressure and heart rate in subject 001-0030) that the principal investigator considered to be</w:t>
      </w:r>
      <w:r w:rsidRPr="00C73849">
        <w:rPr>
          <w:w w:val="99"/>
        </w:rPr>
        <w:t xml:space="preserve"> </w:t>
      </w:r>
      <w:r w:rsidRPr="00C73849">
        <w:t>concerning and related to the administration of Pyruvate Injection. These events occurred in 2 of the 4 subjects in that dose group who received Pyruvate Injection. The sponsor decided not</w:t>
      </w:r>
      <w:r w:rsidRPr="00C73849">
        <w:rPr>
          <w:w w:val="99"/>
        </w:rPr>
        <w:t xml:space="preserve"> </w:t>
      </w:r>
      <w:r w:rsidRPr="00C73849">
        <w:t>to proceed with the planned dose escalation to 0.71 ml/kg. The protocol was amended to</w:t>
      </w:r>
      <w:r w:rsidR="001E1911">
        <w:rPr>
          <w:w w:val="99"/>
        </w:rPr>
        <w:t xml:space="preserve"> </w:t>
      </w:r>
      <w:r w:rsidRPr="00C73849">
        <w:t>repeat the 0.43 ml/kg dose group in place of the planned 0.71 ml/kg dose group to confirm that</w:t>
      </w:r>
      <w:r w:rsidR="00D56947">
        <w:t xml:space="preserve"> </w:t>
      </w:r>
      <w:r w:rsidRPr="00C73849">
        <w:t>0.43 ml/kg was as well tolerated in a second placebo-controlled cohort of 6 healthy volunteers as it was in the first one. Additional safety monitoring was considered but was deemed</w:t>
      </w:r>
      <w:r w:rsidRPr="00C73849">
        <w:rPr>
          <w:w w:val="99"/>
        </w:rPr>
        <w:t xml:space="preserve"> </w:t>
      </w:r>
      <w:r w:rsidRPr="00C73849">
        <w:t>unnecessary. In study GE-101-003, doses up to 0.43 ml/kg of Pyruvate Injection were assessed.</w:t>
      </w:r>
    </w:p>
    <w:p w14:paraId="60F0F9C3" w14:textId="77777777" w:rsidR="00957F89" w:rsidRPr="00C73849" w:rsidRDefault="00957F89" w:rsidP="00D849D3">
      <w:pPr>
        <w:spacing w:before="10"/>
        <w:rPr>
          <w:rFonts w:ascii="Times New Roman" w:eastAsia="Times New Roman" w:hAnsi="Times New Roman" w:cs="Times New Roman"/>
          <w:sz w:val="20"/>
          <w:szCs w:val="20"/>
        </w:rPr>
      </w:pPr>
    </w:p>
    <w:p w14:paraId="17AA94F2" w14:textId="77777777" w:rsidR="00957F89" w:rsidRDefault="00D92D87" w:rsidP="00D849D3">
      <w:pPr>
        <w:pStyle w:val="BodyText"/>
        <w:ind w:right="466"/>
      </w:pPr>
      <w:r w:rsidRPr="00C73849">
        <w:t>Overall, 29 of the 66 subjects (44%) experienced a total of 58 AEs. Of the 44 subjects given</w:t>
      </w:r>
      <w:r w:rsidRPr="00C73849">
        <w:rPr>
          <w:w w:val="99"/>
        </w:rPr>
        <w:t xml:space="preserve"> </w:t>
      </w:r>
      <w:r w:rsidRPr="00C73849">
        <w:t>Pyruvate Injection, 25 subjects (57%) experienced 50 AEs. Of the 22 subjects given placebo,</w:t>
      </w:r>
      <w:r w:rsidRPr="00C73849">
        <w:rPr>
          <w:w w:val="99"/>
        </w:rPr>
        <w:t xml:space="preserve"> </w:t>
      </w:r>
      <w:r w:rsidRPr="00C73849">
        <w:t xml:space="preserve">4 subjects (18%) experienced 8 AEs. No SAEs or deaths were </w:t>
      </w:r>
      <w:r w:rsidR="00F82C28" w:rsidRPr="00C73849">
        <w:t>reported,</w:t>
      </w:r>
      <w:r w:rsidRPr="00C73849">
        <w:t xml:space="preserve"> and no subjects were</w:t>
      </w:r>
      <w:r w:rsidRPr="00C73849">
        <w:rPr>
          <w:w w:val="99"/>
        </w:rPr>
        <w:t xml:space="preserve"> </w:t>
      </w:r>
      <w:r w:rsidRPr="00C73849">
        <w:t>withdrawn due to AEs. All 8 AEs in the placebo subjects were mild in intensity. Forty-</w:t>
      </w:r>
      <w:r w:rsidR="002C5A81" w:rsidRPr="00C73849">
        <w:t>five</w:t>
      </w:r>
      <w:r w:rsidR="002C5A81">
        <w:t xml:space="preserve"> </w:t>
      </w:r>
      <w:r w:rsidR="002C5A81" w:rsidRPr="00C73849" w:rsidDel="00FD4E71">
        <w:rPr>
          <w:rFonts w:cs="Times New Roman"/>
          <w:sz w:val="20"/>
          <w:szCs w:val="20"/>
        </w:rPr>
        <w:t>(</w:t>
      </w:r>
      <w:r w:rsidRPr="00C73849">
        <w:t>90%) of the 50 AEs in the Pyruvate Injection subjects were mild in intensity and 4 (8%) were</w:t>
      </w:r>
      <w:r w:rsidRPr="00C73849">
        <w:rPr>
          <w:w w:val="99"/>
        </w:rPr>
        <w:t xml:space="preserve"> </w:t>
      </w:r>
      <w:r w:rsidRPr="00C73849">
        <w:t>moderate in intensity. The AE of severe intensity (flushing) and 3 of those of moderate</w:t>
      </w:r>
      <w:r w:rsidRPr="00C73849">
        <w:rPr>
          <w:w w:val="99"/>
        </w:rPr>
        <w:t xml:space="preserve"> </w:t>
      </w:r>
      <w:r w:rsidRPr="00C73849">
        <w:t>intensity (2 cases of increased heart rate and 1 of unresponsiveness to stimuli) occurred in the0.57 ml/kg dose group and were suspected to be related to Pyruvate Injection. The other</w:t>
      </w:r>
      <w:r w:rsidRPr="00C73849">
        <w:rPr>
          <w:w w:val="99"/>
        </w:rPr>
        <w:t xml:space="preserve"> </w:t>
      </w:r>
      <w:r w:rsidRPr="00C73849">
        <w:t>‘moderate’ event was dyspepsia in a subject that received the 0.14 ml/kg dose of Pyruvate</w:t>
      </w:r>
      <w:r w:rsidRPr="00C73849">
        <w:rPr>
          <w:w w:val="99"/>
        </w:rPr>
        <w:t xml:space="preserve"> </w:t>
      </w:r>
      <w:r w:rsidRPr="00C73849">
        <w:t>Injection. A total of 37 AEs (64%) were suspected to be related to IMP, 35 of 50 AEs (70%) in</w:t>
      </w:r>
      <w:r w:rsidRPr="00C73849">
        <w:rPr>
          <w:w w:val="99"/>
        </w:rPr>
        <w:t xml:space="preserve"> </w:t>
      </w:r>
      <w:r w:rsidRPr="00C73849">
        <w:t>the Pyruvate Injection dose groups and 2 of 8 AEs (25%) in the placebo group. Since neither</w:t>
      </w:r>
      <w:r w:rsidRPr="00C73849">
        <w:rPr>
          <w:w w:val="99"/>
        </w:rPr>
        <w:t xml:space="preserve"> </w:t>
      </w:r>
      <w:r w:rsidRPr="00C73849">
        <w:t>the subjects nor the safety observers were aware of which IMP had been given, this indicates</w:t>
      </w:r>
      <w:r w:rsidRPr="00C73849">
        <w:rPr>
          <w:w w:val="99"/>
        </w:rPr>
        <w:t xml:space="preserve"> </w:t>
      </w:r>
      <w:r w:rsidRPr="00C73849">
        <w:t>that many of the events suspected of being related to Pyruvate Injection were truly related to the administration of this IMP. The most frequently reported individual AEs were flushing</w:t>
      </w:r>
      <w:r w:rsidR="0087360C">
        <w:t xml:space="preserve"> </w:t>
      </w:r>
      <w:r w:rsidRPr="00C73849">
        <w:t xml:space="preserve">(6 subjects, 7 AEs), </w:t>
      </w:r>
      <w:r w:rsidRPr="00C73849">
        <w:lastRenderedPageBreak/>
        <w:t>dizziness (6 subjects, 6 AEs), dysgeusia (4 subjects, 5 events) and feeling</w:t>
      </w:r>
      <w:r w:rsidRPr="00C73849">
        <w:rPr>
          <w:w w:val="99"/>
        </w:rPr>
        <w:t xml:space="preserve"> </w:t>
      </w:r>
      <w:r w:rsidRPr="00C73849">
        <w:t>hot (5 subjects, 5 AEs). Flushing and feeling hot were reported only in subjects receiving</w:t>
      </w:r>
      <w:r w:rsidRPr="00C73849">
        <w:rPr>
          <w:w w:val="99"/>
        </w:rPr>
        <w:t xml:space="preserve"> </w:t>
      </w:r>
      <w:r w:rsidRPr="00C73849">
        <w:t>Pyruvate injection, and dizziness and dysgeusia were mainly reported in subjects receiving</w:t>
      </w:r>
      <w:r w:rsidRPr="00C73849">
        <w:rPr>
          <w:w w:val="99"/>
        </w:rPr>
        <w:t xml:space="preserve"> </w:t>
      </w:r>
      <w:r w:rsidRPr="00C73849">
        <w:t>Pyruvate Injection (9 out of 11 AEs), indicating that these events are in most cases linked to the</w:t>
      </w:r>
      <w:r w:rsidRPr="00C73849">
        <w:rPr>
          <w:w w:val="99"/>
        </w:rPr>
        <w:t xml:space="preserve"> </w:t>
      </w:r>
      <w:r w:rsidRPr="00C73849">
        <w:t xml:space="preserve">administration of Pyruvate Injection. Throughout both studies, serum biochemistry, </w:t>
      </w:r>
      <w:r w:rsidR="002C5A81" w:rsidRPr="00C73849">
        <w:t>hematology</w:t>
      </w:r>
      <w:r w:rsidRPr="00C73849">
        <w:t>, urinalysis, vital signs and ECG variables showed overall stability and no</w:t>
      </w:r>
      <w:r w:rsidR="0087360C">
        <w:t xml:space="preserve"> </w:t>
      </w:r>
      <w:r w:rsidRPr="00C73849">
        <w:t>dose-related tendencies. No clinically important trends or safety signals were noted.</w:t>
      </w:r>
    </w:p>
    <w:p w14:paraId="0620B8FF" w14:textId="77777777" w:rsidR="00D56947" w:rsidRDefault="00D56947" w:rsidP="00D849D3">
      <w:pPr>
        <w:pStyle w:val="BodyText"/>
        <w:ind w:right="466"/>
      </w:pPr>
    </w:p>
    <w:p w14:paraId="3065C124" w14:textId="191888B2" w:rsidR="00957F89" w:rsidRDefault="00D56947" w:rsidP="00DA5F23">
      <w:pPr>
        <w:autoSpaceDE w:val="0"/>
        <w:autoSpaceDN w:val="0"/>
        <w:adjustRightInd w:val="0"/>
        <w:rPr>
          <w:rFonts w:cs="AdvTT78ea841c"/>
        </w:rPr>
      </w:pPr>
      <w:r>
        <w:rPr>
          <w:rFonts w:ascii="Calibri" w:hAnsi="Calibri"/>
        </w:rPr>
        <w:t>A</w:t>
      </w:r>
      <w:r w:rsidRPr="005251BD">
        <w:rPr>
          <w:rFonts w:ascii="Calibri" w:hAnsi="Calibri"/>
        </w:rPr>
        <w:t xml:space="preserve"> phase 1 study on </w:t>
      </w:r>
      <w:r w:rsidRPr="00FA42A1">
        <w:rPr>
          <w:rFonts w:ascii="Calibri" w:hAnsi="Calibri"/>
        </w:rPr>
        <w:t>hyperpolarized [1-13</w:t>
      </w:r>
      <w:proofErr w:type="gramStart"/>
      <w:r w:rsidRPr="00FA42A1">
        <w:rPr>
          <w:rFonts w:ascii="Calibri" w:hAnsi="Calibri"/>
        </w:rPr>
        <w:t>C]pyruvate</w:t>
      </w:r>
      <w:proofErr w:type="gramEnd"/>
      <w:r w:rsidRPr="00FA42A1">
        <w:rPr>
          <w:rFonts w:ascii="Calibri" w:hAnsi="Calibri"/>
        </w:rPr>
        <w:t xml:space="preserve"> </w:t>
      </w:r>
      <w:r w:rsidRPr="005251BD">
        <w:rPr>
          <w:rFonts w:ascii="Calibri" w:hAnsi="Calibri"/>
        </w:rPr>
        <w:t xml:space="preserve">injection </w:t>
      </w:r>
      <w:r>
        <w:rPr>
          <w:rFonts w:ascii="Calibri" w:hAnsi="Calibri"/>
        </w:rPr>
        <w:t xml:space="preserve">was completed </w:t>
      </w:r>
      <w:r w:rsidRPr="005251BD">
        <w:rPr>
          <w:rFonts w:ascii="Calibri" w:hAnsi="Calibri"/>
        </w:rPr>
        <w:t xml:space="preserve">in 31 subjects with prostate cancer (NCT01229618). This </w:t>
      </w:r>
      <w:r>
        <w:rPr>
          <w:rFonts w:ascii="Calibri" w:hAnsi="Calibri"/>
        </w:rPr>
        <w:t>was an</w:t>
      </w:r>
      <w:r w:rsidRPr="005251BD">
        <w:rPr>
          <w:rFonts w:ascii="Calibri" w:hAnsi="Calibri"/>
        </w:rPr>
        <w:t xml:space="preserve"> ascending-dose study to access the safety and tolerability and imaging potential of hyperpolarized [1-13C] pyruvate Injection via 13C imaging</w:t>
      </w:r>
      <w:r>
        <w:rPr>
          <w:rFonts w:ascii="Calibri" w:hAnsi="Calibri"/>
        </w:rPr>
        <w:t xml:space="preserve"> (13C </w:t>
      </w:r>
      <w:r w:rsidRPr="005251BD">
        <w:rPr>
          <w:rFonts w:ascii="Calibri" w:hAnsi="Calibri"/>
        </w:rPr>
        <w:t>MRI</w:t>
      </w:r>
      <w:r>
        <w:rPr>
          <w:rFonts w:ascii="Calibri" w:hAnsi="Calibri"/>
        </w:rPr>
        <w:t>)</w:t>
      </w:r>
      <w:r w:rsidRPr="005251BD">
        <w:rPr>
          <w:rFonts w:ascii="Calibri" w:hAnsi="Calibri"/>
        </w:rPr>
        <w:t xml:space="preserve"> and 13C MR spectroscopic imaging </w:t>
      </w:r>
      <w:r>
        <w:rPr>
          <w:rFonts w:ascii="Calibri" w:hAnsi="Calibri"/>
        </w:rPr>
        <w:t xml:space="preserve">(13C </w:t>
      </w:r>
      <w:r w:rsidRPr="005251BD">
        <w:rPr>
          <w:rFonts w:ascii="Calibri" w:hAnsi="Calibri"/>
        </w:rPr>
        <w:t>MRSI</w:t>
      </w:r>
      <w:r>
        <w:rPr>
          <w:rFonts w:ascii="Calibri" w:hAnsi="Calibri"/>
        </w:rPr>
        <w:t>).</w:t>
      </w:r>
      <w:r w:rsidRPr="005251BD">
        <w:rPr>
          <w:rFonts w:ascii="Calibri" w:hAnsi="Calibri"/>
        </w:rPr>
        <w:t xml:space="preserve"> </w:t>
      </w:r>
      <w:r>
        <w:rPr>
          <w:rFonts w:ascii="Calibri" w:hAnsi="Calibri"/>
        </w:rPr>
        <w:t>T</w:t>
      </w:r>
      <w:r w:rsidRPr="005251BD">
        <w:rPr>
          <w:rFonts w:ascii="Calibri" w:hAnsi="Calibri"/>
        </w:rPr>
        <w:t>hree dose</w:t>
      </w:r>
      <w:r>
        <w:rPr>
          <w:rFonts w:ascii="Calibri" w:hAnsi="Calibri"/>
        </w:rPr>
        <w:t xml:space="preserve"> levels</w:t>
      </w:r>
      <w:r w:rsidRPr="005251BD">
        <w:rPr>
          <w:rFonts w:ascii="Calibri" w:hAnsi="Calibri"/>
        </w:rPr>
        <w:t xml:space="preserve"> of </w:t>
      </w:r>
      <w:r>
        <w:rPr>
          <w:rFonts w:ascii="Calibri" w:hAnsi="Calibri"/>
        </w:rPr>
        <w:t>hyperpolarized [1-13</w:t>
      </w:r>
      <w:proofErr w:type="gramStart"/>
      <w:r>
        <w:rPr>
          <w:rFonts w:ascii="Calibri" w:hAnsi="Calibri"/>
        </w:rPr>
        <w:t>C]pyruvate</w:t>
      </w:r>
      <w:proofErr w:type="gramEnd"/>
      <w:r>
        <w:rPr>
          <w:rFonts w:ascii="Calibri" w:hAnsi="Calibri"/>
        </w:rPr>
        <w:t xml:space="preserve"> (</w:t>
      </w:r>
      <w:r w:rsidRPr="005251BD">
        <w:rPr>
          <w:rFonts w:ascii="Calibri" w:hAnsi="Calibri"/>
        </w:rPr>
        <w:t>0.14 ml/kg, 0.28 ml/kg and 0.43 ml/kg</w:t>
      </w:r>
      <w:r>
        <w:rPr>
          <w:rFonts w:ascii="Calibri" w:hAnsi="Calibri"/>
        </w:rPr>
        <w:t>) with a minimum of 6 patients at each dose level were administered via</w:t>
      </w:r>
      <w:r w:rsidRPr="005251BD">
        <w:rPr>
          <w:rFonts w:ascii="Calibri" w:hAnsi="Calibri"/>
        </w:rPr>
        <w:t xml:space="preserve"> single IV injecti</w:t>
      </w:r>
      <w:r>
        <w:rPr>
          <w:rFonts w:ascii="Calibri" w:hAnsi="Calibri"/>
        </w:rPr>
        <w:t xml:space="preserve">on followed by MR imaging scans. </w:t>
      </w:r>
      <w:r w:rsidRPr="005251BD">
        <w:rPr>
          <w:rFonts w:ascii="Calibri" w:hAnsi="Calibri"/>
        </w:rPr>
        <w:t>The first 3 subjects under</w:t>
      </w:r>
      <w:r>
        <w:rPr>
          <w:rFonts w:ascii="Calibri" w:hAnsi="Calibri"/>
        </w:rPr>
        <w:t>went</w:t>
      </w:r>
      <w:r w:rsidRPr="005251BD">
        <w:rPr>
          <w:rFonts w:ascii="Calibri" w:hAnsi="Calibri"/>
        </w:rPr>
        <w:t xml:space="preserve"> dynamic 13C </w:t>
      </w:r>
      <w:r>
        <w:rPr>
          <w:rFonts w:ascii="Calibri" w:hAnsi="Calibri"/>
        </w:rPr>
        <w:t xml:space="preserve">MRI </w:t>
      </w:r>
      <w:r w:rsidRPr="005251BD">
        <w:rPr>
          <w:rFonts w:ascii="Calibri" w:hAnsi="Calibri"/>
        </w:rPr>
        <w:t xml:space="preserve">to define the kinetics of delivery and metabolism of </w:t>
      </w:r>
      <w:r w:rsidRPr="00FA42A1">
        <w:rPr>
          <w:rFonts w:ascii="Calibri" w:hAnsi="Calibri"/>
        </w:rPr>
        <w:t>hyperpolarized [1-13</w:t>
      </w:r>
      <w:proofErr w:type="gramStart"/>
      <w:r w:rsidRPr="00FA42A1">
        <w:rPr>
          <w:rFonts w:ascii="Calibri" w:hAnsi="Calibri"/>
        </w:rPr>
        <w:t>C]pyruvate</w:t>
      </w:r>
      <w:proofErr w:type="gramEnd"/>
      <w:r>
        <w:rPr>
          <w:rFonts w:ascii="Calibri" w:hAnsi="Calibri"/>
        </w:rPr>
        <w:t>. The</w:t>
      </w:r>
      <w:r w:rsidRPr="005251BD">
        <w:rPr>
          <w:rFonts w:ascii="Calibri" w:hAnsi="Calibri"/>
        </w:rPr>
        <w:t xml:space="preserve"> second 3 subjects under</w:t>
      </w:r>
      <w:r>
        <w:rPr>
          <w:rFonts w:ascii="Calibri" w:hAnsi="Calibri"/>
        </w:rPr>
        <w:t>went</w:t>
      </w:r>
      <w:r w:rsidRPr="005251BD">
        <w:rPr>
          <w:rFonts w:ascii="Calibri" w:hAnsi="Calibri"/>
        </w:rPr>
        <w:t xml:space="preserve"> 13C MRSI</w:t>
      </w:r>
      <w:r>
        <w:rPr>
          <w:rFonts w:ascii="Calibri" w:hAnsi="Calibri"/>
        </w:rPr>
        <w:t xml:space="preserve"> </w:t>
      </w:r>
      <w:r w:rsidRPr="005251BD">
        <w:rPr>
          <w:rFonts w:ascii="Calibri" w:hAnsi="Calibri"/>
        </w:rPr>
        <w:t xml:space="preserve">to obtain 3-dimensional (3-D) spatial information about metabolism of hyperpolarized </w:t>
      </w:r>
      <w:r>
        <w:rPr>
          <w:rFonts w:ascii="Calibri" w:hAnsi="Calibri"/>
        </w:rPr>
        <w:t>[1-13</w:t>
      </w:r>
      <w:proofErr w:type="gramStart"/>
      <w:r>
        <w:rPr>
          <w:rFonts w:ascii="Calibri" w:hAnsi="Calibri"/>
        </w:rPr>
        <w:t>C]</w:t>
      </w:r>
      <w:r w:rsidRPr="005251BD">
        <w:rPr>
          <w:rFonts w:ascii="Calibri" w:hAnsi="Calibri"/>
        </w:rPr>
        <w:t>pyruvate</w:t>
      </w:r>
      <w:proofErr w:type="gramEnd"/>
      <w:r w:rsidRPr="005251BD">
        <w:rPr>
          <w:rFonts w:ascii="Calibri" w:hAnsi="Calibri"/>
        </w:rPr>
        <w:t xml:space="preserve"> in regions of the prostate with and without cancer involvemen</w:t>
      </w:r>
      <w:r>
        <w:rPr>
          <w:rFonts w:ascii="Calibri" w:hAnsi="Calibri"/>
        </w:rPr>
        <w:t xml:space="preserve">t. </w:t>
      </w:r>
      <w:r w:rsidRPr="00650CAE">
        <w:rPr>
          <w:rFonts w:cs="AdvTT78ea841c"/>
        </w:rPr>
        <w:t>In phase 1 of the study, there were a total of 10 adverse events in eight</w:t>
      </w:r>
      <w:r>
        <w:rPr>
          <w:rFonts w:cs="AdvTT78ea841c"/>
        </w:rPr>
        <w:t>een</w:t>
      </w:r>
      <w:r w:rsidRPr="00650CAE">
        <w:rPr>
          <w:rFonts w:cs="AdvTT78ea841c"/>
        </w:rPr>
        <w:t xml:space="preserve"> patients. These were all considered mild events and were classified as grade 1 by Common Terminology Criteria for Adverse Events (CTCAE) v4.</w:t>
      </w:r>
      <w:proofErr w:type="gramStart"/>
      <w:r w:rsidRPr="00650CAE">
        <w:rPr>
          <w:rFonts w:cs="AdvTT78ea841c"/>
        </w:rPr>
        <w:t>0.criteria</w:t>
      </w:r>
      <w:proofErr w:type="gramEnd"/>
      <w:r w:rsidRPr="00650CAE">
        <w:rPr>
          <w:rFonts w:cs="AdvTT78ea841c"/>
        </w:rPr>
        <w:t>. The highest dose of [1-13</w:t>
      </w:r>
      <w:proofErr w:type="gramStart"/>
      <w:r w:rsidRPr="00650CAE">
        <w:rPr>
          <w:rFonts w:cs="AdvTT78ea841c"/>
        </w:rPr>
        <w:t>C]pyruvate</w:t>
      </w:r>
      <w:proofErr w:type="gramEnd"/>
      <w:r w:rsidRPr="00650CAE">
        <w:rPr>
          <w:rFonts w:cs="AdvTT78ea841c"/>
        </w:rPr>
        <w:t xml:space="preserve"> (0.43 ml/kg) was selected for further study </w:t>
      </w:r>
      <w:r w:rsidR="00F82C28" w:rsidRPr="00650CAE">
        <w:rPr>
          <w:rFonts w:cs="AdvTT78ea841c"/>
        </w:rPr>
        <w:t>based on</w:t>
      </w:r>
      <w:r w:rsidRPr="00650CAE">
        <w:rPr>
          <w:rFonts w:cs="AdvTT78ea841c"/>
        </w:rPr>
        <w:t xml:space="preserve"> the higher signal-to-noise ratio (SNR) of hyperpolarized [1-13C]pyruvate that was observed. In phase 2, there were an additional 10 events observed in five patients, but, again, none of them were considered dose-limiting toxicities (DLTs). The single episode of dizziness that was seen in one patient during phase 2 was attributed to extra dosing of atenolol, which was used by the subject to reduce anxiety rather than the hyperpolarized agent. There was one episode of grade 2 diarrhea reported in the phase 2 component, which was attributed to an e</w:t>
      </w:r>
      <w:r w:rsidR="001E153F">
        <w:rPr>
          <w:rFonts w:cs="AdvTT78ea841c"/>
        </w:rPr>
        <w:t>nema that the patient received.</w:t>
      </w:r>
    </w:p>
    <w:p w14:paraId="5D40D626" w14:textId="2D44C6D2" w:rsidR="00DC3DF1" w:rsidRDefault="00DC3DF1">
      <w:pPr>
        <w:pStyle w:val="Heading2"/>
      </w:pPr>
      <w:bookmarkStart w:id="225" w:name="_Toc34900014"/>
      <w:bookmarkStart w:id="226" w:name="_Toc33702544"/>
      <w:bookmarkStart w:id="227" w:name="_Toc176276971"/>
      <w:bookmarkStart w:id="228" w:name="_Hlk32303991"/>
      <w:r>
        <w:t>7.4</w:t>
      </w:r>
      <w:r>
        <w:tab/>
        <w:t>Reference Safety Information</w:t>
      </w:r>
      <w:r w:rsidR="00656470">
        <w:t xml:space="preserve"> for the assessment of expectedness of serious adverse reactions</w:t>
      </w:r>
      <w:bookmarkEnd w:id="225"/>
      <w:bookmarkEnd w:id="226"/>
      <w:bookmarkEnd w:id="227"/>
    </w:p>
    <w:p w14:paraId="622641D8" w14:textId="70B8EB7C" w:rsidR="00DC3DF1" w:rsidRDefault="00DC3DF1" w:rsidP="00DC3DF1"/>
    <w:p w14:paraId="012EE318" w14:textId="1A15FD6D" w:rsidR="00DC3DF1" w:rsidRPr="006B5FA0" w:rsidRDefault="005F138E" w:rsidP="006B5FA0">
      <w:proofErr w:type="gramStart"/>
      <w:r w:rsidRPr="00813977">
        <w:t>At this time</w:t>
      </w:r>
      <w:proofErr w:type="gramEnd"/>
      <w:r w:rsidRPr="00813977">
        <w:t xml:space="preserve">, there are no expected </w:t>
      </w:r>
      <w:r w:rsidR="00D533F1" w:rsidRPr="00813977">
        <w:t>serious adverse events</w:t>
      </w:r>
      <w:r w:rsidR="00813977" w:rsidRPr="00813977">
        <w:t xml:space="preserve"> (SARs).  No serious adverse events have been reported</w:t>
      </w:r>
      <w:r w:rsidR="00813977">
        <w:t xml:space="preserve"> with </w:t>
      </w:r>
      <w:r w:rsidR="00010FB7">
        <w:t>C-13 hyperpolarized pyruvate injection</w:t>
      </w:r>
      <w:r w:rsidR="00813977" w:rsidRPr="00813977">
        <w:t>.</w:t>
      </w:r>
    </w:p>
    <w:p w14:paraId="4AAF45E3" w14:textId="1F106766" w:rsidR="00957F89" w:rsidRPr="00C73849" w:rsidRDefault="00D92D87">
      <w:pPr>
        <w:pStyle w:val="Heading2"/>
        <w:rPr>
          <w:rFonts w:eastAsia="Times New Roman" w:hAnsi="Times New Roman" w:cs="Times New Roman"/>
          <w:szCs w:val="28"/>
        </w:rPr>
      </w:pPr>
      <w:bookmarkStart w:id="229" w:name="_Toc34900015"/>
      <w:bookmarkStart w:id="230" w:name="_Toc33702545"/>
      <w:bookmarkStart w:id="231" w:name="_Toc176276972"/>
      <w:bookmarkEnd w:id="228"/>
      <w:r w:rsidRPr="00C73849">
        <w:t>7.</w:t>
      </w:r>
      <w:r w:rsidR="00813977">
        <w:t>5</w:t>
      </w:r>
      <w:r w:rsidRPr="00C73849">
        <w:tab/>
        <w:t>Conclusion</w:t>
      </w:r>
      <w:bookmarkEnd w:id="229"/>
      <w:bookmarkEnd w:id="230"/>
      <w:bookmarkEnd w:id="231"/>
    </w:p>
    <w:p w14:paraId="4118FE11" w14:textId="77777777" w:rsidR="00957F89" w:rsidRPr="00C73849" w:rsidRDefault="00D92D87">
      <w:pPr>
        <w:pStyle w:val="BodyText"/>
        <w:spacing w:before="233"/>
        <w:ind w:right="343"/>
      </w:pPr>
      <w:r w:rsidRPr="00C73849">
        <w:t xml:space="preserve">In conclusion, doses of Pyruvate Injection up to 0.43 ml/kg were equally well tolerated by young and elderly healthy male and female volunteers and there was no evidence of the types of changes seen in preclinical studies soon after injection in conscious and anaesthetized dogs (described above in section 7.3). </w:t>
      </w:r>
      <w:r w:rsidR="00F82C28" w:rsidRPr="00C73849">
        <w:t>Based on</w:t>
      </w:r>
      <w:r w:rsidRPr="00C73849">
        <w:t xml:space="preserve"> these findings, it is justified to assess the</w:t>
      </w:r>
      <w:r w:rsidRPr="00C73849">
        <w:rPr>
          <w:w w:val="99"/>
        </w:rPr>
        <w:t xml:space="preserve"> </w:t>
      </w:r>
      <w:r w:rsidRPr="00C73849">
        <w:t xml:space="preserve">safety and imaging characteristics of </w:t>
      </w:r>
      <w:r w:rsidR="004A7A84" w:rsidRPr="00C73849">
        <w:t>hyperpolarized</w:t>
      </w:r>
      <w:r w:rsidRPr="00C73849">
        <w:t xml:space="preserve"> Pyruvate Injection in future clinical</w:t>
      </w:r>
      <w:r w:rsidRPr="00C73849">
        <w:rPr>
          <w:w w:val="99"/>
        </w:rPr>
        <w:t xml:space="preserve"> </w:t>
      </w:r>
      <w:r w:rsidRPr="00C73849">
        <w:t>studies in patients with proven prostate cancer.</w:t>
      </w:r>
    </w:p>
    <w:p w14:paraId="76D79B87" w14:textId="77777777" w:rsidR="00957F89" w:rsidRPr="00C73849" w:rsidRDefault="00957F89">
      <w:pPr>
        <w:spacing w:before="10"/>
        <w:rPr>
          <w:rFonts w:ascii="Times New Roman" w:eastAsia="Times New Roman" w:hAnsi="Times New Roman" w:cs="Times New Roman"/>
          <w:sz w:val="20"/>
          <w:szCs w:val="20"/>
        </w:rPr>
      </w:pPr>
    </w:p>
    <w:p w14:paraId="48768394" w14:textId="77777777" w:rsidR="00957F89" w:rsidRPr="00C73849" w:rsidRDefault="00D92D87">
      <w:pPr>
        <w:pStyle w:val="BodyText"/>
        <w:ind w:right="466"/>
      </w:pPr>
      <w:r w:rsidRPr="00C73849">
        <w:t>While it is apparent Pyruvate Injection-related AEs such as flushing, feeling hot, dysgeusia,</w:t>
      </w:r>
      <w:r w:rsidRPr="00C73849">
        <w:rPr>
          <w:w w:val="99"/>
        </w:rPr>
        <w:t xml:space="preserve"> </w:t>
      </w:r>
      <w:r w:rsidRPr="00C73849">
        <w:t>and dizziness can be expected to occur in future studies, most of these events will present as mild in intensity, short-lasting symptomatic reactions. Moreover, these types of events are</w:t>
      </w:r>
      <w:r w:rsidRPr="00C73849">
        <w:rPr>
          <w:w w:val="99"/>
        </w:rPr>
        <w:t xml:space="preserve"> </w:t>
      </w:r>
      <w:r w:rsidRPr="00C73849">
        <w:t>commonly reported after intravenous injection of approximately 10 ml or more of other types of contrast agents, e.g., those used for X-ray and MRI examinations.</w:t>
      </w:r>
    </w:p>
    <w:sectPr w:rsidR="00957F89" w:rsidRPr="00C73849" w:rsidSect="001654A4">
      <w:pgSz w:w="11909" w:h="16834"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DBBBFB" w14:textId="77777777" w:rsidR="00E81A7F" w:rsidRDefault="00E81A7F">
      <w:r>
        <w:separator/>
      </w:r>
    </w:p>
  </w:endnote>
  <w:endnote w:type="continuationSeparator" w:id="0">
    <w:p w14:paraId="00608261" w14:textId="77777777" w:rsidR="00E81A7F" w:rsidRDefault="00E81A7F">
      <w:r>
        <w:continuationSeparator/>
      </w:r>
    </w:p>
  </w:endnote>
  <w:endnote w:type="continuationNotice" w:id="1">
    <w:p w14:paraId="0A364AD4" w14:textId="77777777" w:rsidR="00E81A7F" w:rsidRDefault="00E81A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dvTTaf7f9f4f.B">
    <w:altName w:val="Calibri"/>
    <w:panose1 w:val="00000000000000000000"/>
    <w:charset w:val="00"/>
    <w:family w:val="swiss"/>
    <w:notTrueType/>
    <w:pitch w:val="default"/>
    <w:sig w:usb0="00000003" w:usb1="00000000" w:usb2="00000000" w:usb3="00000000" w:csb0="00000001" w:csb1="00000000"/>
  </w:font>
  <w:font w:name="AdvTT01bedc72">
    <w:panose1 w:val="00000000000000000000"/>
    <w:charset w:val="00"/>
    <w:family w:val="roman"/>
    <w:notTrueType/>
    <w:pitch w:val="default"/>
    <w:sig w:usb0="00000003" w:usb1="00000000" w:usb2="00000000" w:usb3="00000000" w:csb0="00000001" w:csb1="00000000"/>
  </w:font>
  <w:font w:name="AdvGulliv-R">
    <w:altName w:val="Calibri"/>
    <w:panose1 w:val="00000000000000000000"/>
    <w:charset w:val="00"/>
    <w:family w:val="roman"/>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dvTTe45e47d2">
    <w:altName w:val="Calibri"/>
    <w:panose1 w:val="00000000000000000000"/>
    <w:charset w:val="00"/>
    <w:family w:val="swiss"/>
    <w:notTrueType/>
    <w:pitch w:val="default"/>
    <w:sig w:usb0="00000003" w:usb1="00000000" w:usb2="00000000" w:usb3="00000000" w:csb0="00000001" w:csb1="00000000"/>
  </w:font>
  <w:font w:name="AdvOT70333feb">
    <w:altName w:val="Calibri"/>
    <w:panose1 w:val="00000000000000000000"/>
    <w:charset w:val="00"/>
    <w:family w:val="roman"/>
    <w:notTrueType/>
    <w:pitch w:val="default"/>
    <w:sig w:usb0="00000003" w:usb1="00000000" w:usb2="00000000" w:usb3="00000000" w:csb0="00000001" w:csb1="00000000"/>
  </w:font>
  <w:font w:name="AdvOTb7819099">
    <w:altName w:val="Calibri"/>
    <w:panose1 w:val="00000000000000000000"/>
    <w:charset w:val="00"/>
    <w:family w:val="swiss"/>
    <w:notTrueType/>
    <w:pitch w:val="default"/>
    <w:sig w:usb0="00000003" w:usb1="00000000" w:usb2="00000000" w:usb3="00000000" w:csb0="00000001" w:csb1="00000000"/>
  </w:font>
  <w:font w:name="AdvAGaramond-R">
    <w:panose1 w:val="00000000000000000000"/>
    <w:charset w:val="00"/>
    <w:family w:val="roman"/>
    <w:notTrueType/>
    <w:pitch w:val="default"/>
    <w:sig w:usb0="00000003" w:usb1="00000000" w:usb2="00000000" w:usb3="00000000" w:csb0="00000001" w:csb1="00000000"/>
  </w:font>
  <w:font w:name="Dutch801BT-Roman">
    <w:panose1 w:val="00000000000000000000"/>
    <w:charset w:val="00"/>
    <w:family w:val="roman"/>
    <w:notTrueType/>
    <w:pitch w:val="default"/>
    <w:sig w:usb0="00000003" w:usb1="00000000" w:usb2="00000000" w:usb3="00000000" w:csb0="00000001" w:csb1="00000000"/>
  </w:font>
  <w:font w:name="AdvTTe45e47d2+03">
    <w:altName w:val="Times New Roman"/>
    <w:panose1 w:val="00000000000000000000"/>
    <w:charset w:val="A1"/>
    <w:family w:val="auto"/>
    <w:notTrueType/>
    <w:pitch w:val="default"/>
    <w:sig w:usb0="00000081" w:usb1="00000000" w:usb2="00000000" w:usb3="00000000" w:csb0="00000008" w:csb1="00000000"/>
  </w:font>
  <w:font w:name="AdvTTe45e47d2+20">
    <w:altName w:val="MS Mincho"/>
    <w:panose1 w:val="00000000000000000000"/>
    <w:charset w:val="80"/>
    <w:family w:val="auto"/>
    <w:notTrueType/>
    <w:pitch w:val="default"/>
    <w:sig w:usb0="00000001" w:usb1="08070000" w:usb2="00000010" w:usb3="00000000" w:csb0="00020000" w:csb1="00000000"/>
  </w:font>
  <w:font w:name="ATBasilia-Roman">
    <w:panose1 w:val="00000000000000000000"/>
    <w:charset w:val="00"/>
    <w:family w:val="roman"/>
    <w:notTrueType/>
    <w:pitch w:val="default"/>
    <w:sig w:usb0="00000003" w:usb1="00000000" w:usb2="00000000" w:usb3="00000000" w:csb0="00000001" w:csb1="00000000"/>
  </w:font>
  <w:font w:name="AdvOT46dcae81">
    <w:panose1 w:val="00000000000000000000"/>
    <w:charset w:val="00"/>
    <w:family w:val="auto"/>
    <w:notTrueType/>
    <w:pitch w:val="default"/>
    <w:sig w:usb0="00000003" w:usb1="00000000" w:usb2="00000000" w:usb3="00000000" w:csb0="00000001" w:csb1="00000000"/>
  </w:font>
  <w:font w:name="AdvTT78ea841c">
    <w:altName w:val="Calibri"/>
    <w:panose1 w:val="00000000000000000000"/>
    <w:charset w:val="00"/>
    <w:family w:val="roman"/>
    <w:notTrueType/>
    <w:pitch w:val="default"/>
    <w:sig w:usb0="00000003" w:usb1="00000000" w:usb2="00000000" w:usb3="00000000" w:csb0="00000001" w:csb1="00000000"/>
  </w:font>
  <w:font w:name="AdvTTcd7bcd39">
    <w:panose1 w:val="00000000000000000000"/>
    <w:charset w:val="00"/>
    <w:family w:val="swiss"/>
    <w:notTrueType/>
    <w:pitch w:val="default"/>
    <w:sig w:usb0="00000003" w:usb1="00000000" w:usb2="00000000" w:usb3="00000000" w:csb0="00000001" w:csb1="00000000"/>
  </w:font>
  <w:font w:name="AdvTT78ea841c+20">
    <w:altName w:val="MS Mincho"/>
    <w:panose1 w:val="00000000000000000000"/>
    <w:charset w:val="80"/>
    <w:family w:val="auto"/>
    <w:notTrueType/>
    <w:pitch w:val="default"/>
    <w:sig w:usb0="00000001" w:usb1="08070000" w:usb2="00000010" w:usb3="00000000" w:csb0="00020000" w:csb1="00000000"/>
  </w:font>
  <w:font w:name="AdvTT99c4c969">
    <w:panose1 w:val="00000000000000000000"/>
    <w:charset w:val="00"/>
    <w:family w:val="swiss"/>
    <w:notTrueType/>
    <w:pitch w:val="default"/>
    <w:sig w:usb0="00000003" w:usb1="00000000" w:usb2="00000000" w:usb3="00000000" w:csb0="00000001" w:csb1="00000000"/>
  </w:font>
  <w:font w:name="AdvTT99c4c969+20">
    <w:panose1 w:val="00000000000000000000"/>
    <w:charset w:val="00"/>
    <w:family w:val="swiss"/>
    <w:notTrueType/>
    <w:pitch w:val="default"/>
    <w:sig w:usb0="00000003" w:usb1="00000000" w:usb2="00000000" w:usb3="00000000" w:csb0="00000001" w:csb1="00000000"/>
  </w:font>
  <w:font w:name="AdvTTaf7f9f4f.B+20">
    <w:panose1 w:val="00000000000000000000"/>
    <w:charset w:val="00"/>
    <w:family w:val="swiss"/>
    <w:notTrueType/>
    <w:pitch w:val="default"/>
    <w:sig w:usb0="00000003" w:usb1="00000000" w:usb2="00000000" w:usb3="00000000" w:csb0="00000001" w:csb1="00000000"/>
  </w:font>
  <w:font w:name="AdvTTe45e47d2+22">
    <w:altName w:val="MS Mincho"/>
    <w:panose1 w:val="00000000000000000000"/>
    <w:charset w:val="80"/>
    <w:family w:val="auto"/>
    <w:notTrueType/>
    <w:pitch w:val="default"/>
    <w:sig w:usb0="00000000" w:usb1="08070000" w:usb2="00000010" w:usb3="00000000" w:csb0="00020000" w:csb1="00000000"/>
  </w:font>
  <w:font w:name="Times-Bold">
    <w:altName w:val="Times New Roman"/>
    <w:panose1 w:val="00000000000000000000"/>
    <w:charset w:val="00"/>
    <w:family w:val="roman"/>
    <w:notTrueType/>
    <w:pitch w:val="default"/>
    <w:sig w:usb0="00000003" w:usb1="00000000" w:usb2="00000000" w:usb3="00000000" w:csb0="00000001" w:csb1="00000000"/>
  </w:font>
  <w:font w:name="GandhariUnicode-Bold">
    <w:altName w:val="Yu Gothic"/>
    <w:panose1 w:val="00000000000000000000"/>
    <w:charset w:val="80"/>
    <w:family w:val="roman"/>
    <w:notTrueType/>
    <w:pitch w:val="default"/>
    <w:sig w:usb0="00000001" w:usb1="08070000" w:usb2="00000010" w:usb3="00000000" w:csb0="00020000" w:csb1="00000000"/>
  </w:font>
  <w:font w:name="Calibri (Body)">
    <w:charset w:val="00"/>
    <w:family w:val="roman"/>
    <w:pitch w:val="default"/>
  </w:font>
  <w:font w:name="Gotham-Book">
    <w:altName w:val="Calibri"/>
    <w:panose1 w:val="00000000000000000000"/>
    <w:charset w:val="00"/>
    <w:family w:val="swiss"/>
    <w:notTrueType/>
    <w:pitch w:val="default"/>
    <w:sig w:usb0="00000003" w:usb1="00000000" w:usb2="00000000" w:usb3="00000000" w:csb0="00000001" w:csb1="00000000"/>
  </w:font>
  <w:font w:name="MinionPro-Regular">
    <w:altName w:val="Cambria"/>
    <w:panose1 w:val="00000000000000000000"/>
    <w:charset w:val="00"/>
    <w:family w:val="auto"/>
    <w:notTrueType/>
    <w:pitch w:val="default"/>
    <w:sig w:usb0="00000003" w:usb1="00000000" w:usb2="00000000" w:usb3="00000000" w:csb0="00000001" w:csb1="00000000"/>
  </w:font>
  <w:font w:name="URWPalladioL-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DD1AC" w14:textId="77777777" w:rsidR="00955B21" w:rsidRDefault="00955B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4963769"/>
      <w:docPartObj>
        <w:docPartGallery w:val="Page Numbers (Bottom of Page)"/>
        <w:docPartUnique/>
      </w:docPartObj>
    </w:sdtPr>
    <w:sdtEndPr>
      <w:rPr>
        <w:color w:val="7F7F7F" w:themeColor="background1" w:themeShade="7F"/>
        <w:spacing w:val="60"/>
      </w:rPr>
    </w:sdtEndPr>
    <w:sdtContent>
      <w:p w14:paraId="53E09F60" w14:textId="5C3168A2" w:rsidR="00E81A7F" w:rsidRDefault="00E81A7F">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B4F12F8" w14:textId="77777777" w:rsidR="00E81A7F" w:rsidRDefault="00E81A7F">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6A650" w14:textId="77777777" w:rsidR="00955B21" w:rsidRDefault="00955B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68226F" w14:textId="77777777" w:rsidR="00E81A7F" w:rsidRDefault="00E81A7F">
      <w:r>
        <w:separator/>
      </w:r>
    </w:p>
  </w:footnote>
  <w:footnote w:type="continuationSeparator" w:id="0">
    <w:p w14:paraId="3A485D67" w14:textId="77777777" w:rsidR="00E81A7F" w:rsidRDefault="00E81A7F">
      <w:r>
        <w:continuationSeparator/>
      </w:r>
    </w:p>
  </w:footnote>
  <w:footnote w:type="continuationNotice" w:id="1">
    <w:p w14:paraId="3AD83233" w14:textId="77777777" w:rsidR="00E81A7F" w:rsidRDefault="00E81A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BDB8C" w14:textId="35D3B50E" w:rsidR="00955B21" w:rsidRDefault="00955B21">
    <w:pPr>
      <w:pStyle w:val="Header"/>
    </w:pPr>
    <w:r>
      <w:rPr>
        <w:noProof/>
      </w:rPr>
      <w:pict w14:anchorId="1819EE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4344" o:spid="_x0000_s75783" type="#_x0000_t136" style="position:absolute;left:0;text-align:left;margin-left:0;margin-top:0;width:458.15pt;height:229.05pt;rotation:315;z-index:-251655168;mso-position-horizontal:center;mso-position-horizontal-relative:margin;mso-position-vertical:center;mso-position-vertical-relative:margin" o:allowincell="f" fillcolor="black" stroked="f">
          <v:fill opacity=".5"/>
          <v:textpath style="font-family:&quot;Calibri&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71E267" w14:textId="27BC88DB" w:rsidR="00E81A7F" w:rsidRPr="0066698E" w:rsidRDefault="00955B21" w:rsidP="00DB1A95">
    <w:pPr>
      <w:spacing w:before="98"/>
      <w:jc w:val="center"/>
      <w:rPr>
        <w:rFonts w:asciiTheme="majorHAnsi" w:hAnsiTheme="majorHAnsi"/>
        <w:b/>
        <w:sz w:val="24"/>
      </w:rPr>
    </w:pPr>
    <w:r>
      <w:rPr>
        <w:noProof/>
      </w:rPr>
      <w:pict w14:anchorId="0A9240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4345" o:spid="_x0000_s75784" type="#_x0000_t136" style="position:absolute;left:0;text-align:left;margin-left:0;margin-top:0;width:458.15pt;height:229.05pt;rotation:315;z-index:-251653120;mso-position-horizontal:center;mso-position-horizontal-relative:margin;mso-position-vertical:center;mso-position-vertical-relative:margin" o:allowincell="f" fillcolor="black" stroked="f">
          <v:fill opacity=".5"/>
          <v:textpath style="font-family:&quot;Calibri&quot;;font-size:1pt" string="DRAFT"/>
        </v:shape>
      </w:pict>
    </w:r>
    <w:r w:rsidR="00E81A7F" w:rsidRPr="0066698E">
      <w:rPr>
        <w:rFonts w:asciiTheme="majorHAnsi" w:hAnsiTheme="majorHAnsi" w:cstheme="minorHAnsi"/>
        <w:b/>
        <w:sz w:val="28"/>
        <w:szCs w:val="28"/>
      </w:rPr>
      <w:t>Hyperpolarized Pyruvate (</w:t>
    </w:r>
    <w:r w:rsidR="00E81A7F" w:rsidRPr="00F43E28">
      <w:rPr>
        <w:rFonts w:asciiTheme="majorHAnsi" w:hAnsiTheme="majorHAnsi" w:cstheme="minorHAnsi"/>
        <w:b/>
        <w:sz w:val="28"/>
        <w:szCs w:val="28"/>
        <w:vertAlign w:val="superscript"/>
      </w:rPr>
      <w:t>13</w:t>
    </w:r>
    <w:r w:rsidR="00E81A7F" w:rsidRPr="0066698E">
      <w:rPr>
        <w:rFonts w:asciiTheme="majorHAnsi" w:hAnsiTheme="majorHAnsi" w:cstheme="minorHAnsi"/>
        <w:b/>
        <w:sz w:val="28"/>
        <w:szCs w:val="28"/>
      </w:rPr>
      <w:t>C) Injection</w:t>
    </w:r>
    <w:r w:rsidR="00E81A7F" w:rsidRPr="0066698E" w:rsidDel="00DB1A95">
      <w:rPr>
        <w:rFonts w:asciiTheme="majorHAnsi" w:hAnsiTheme="majorHAnsi"/>
        <w:b/>
        <w:sz w:val="24"/>
      </w:rPr>
      <w:t xml:space="preserve"> </w:t>
    </w:r>
  </w:p>
  <w:p w14:paraId="6DC0AC50" w14:textId="7F06ECA1" w:rsidR="00E81A7F" w:rsidRPr="0066698E" w:rsidRDefault="00E81A7F" w:rsidP="0066698E">
    <w:pPr>
      <w:pStyle w:val="BodyText"/>
      <w:pBdr>
        <w:bottom w:val="single" w:sz="4" w:space="1" w:color="auto"/>
      </w:pBdr>
      <w:tabs>
        <w:tab w:val="center" w:pos="4874"/>
        <w:tab w:val="left" w:pos="6944"/>
      </w:tabs>
      <w:spacing w:after="120"/>
      <w:jc w:val="center"/>
      <w:rPr>
        <w:rFonts w:cstheme="minorHAnsi"/>
        <w:b/>
        <w:sz w:val="28"/>
        <w:szCs w:val="28"/>
      </w:rPr>
    </w:pPr>
    <w:r w:rsidRPr="0066698E">
      <w:rPr>
        <w:rFonts w:cstheme="minorHAnsi"/>
        <w:b/>
        <w:sz w:val="24"/>
      </w:rPr>
      <w:t>Investigator's Brochure</w:t>
    </w:r>
  </w:p>
  <w:p w14:paraId="2FED70A4" w14:textId="77777777" w:rsidR="00E81A7F" w:rsidRPr="0066698E" w:rsidRDefault="00E81A7F" w:rsidP="00FE1585">
    <w:pPr>
      <w:spacing w:before="98"/>
      <w:jc w:val="center"/>
      <w:rPr>
        <w:rFonts w:cstheme="minorHAnsi"/>
        <w:b/>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97D7FE" w14:textId="6F130BFC" w:rsidR="00955B21" w:rsidRDefault="00955B21">
    <w:pPr>
      <w:pStyle w:val="Header"/>
    </w:pPr>
    <w:r>
      <w:rPr>
        <w:noProof/>
      </w:rPr>
      <w:pict w14:anchorId="58B692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4343" o:spid="_x0000_s75782" type="#_x0000_t136" style="position:absolute;left:0;text-align:left;margin-left:0;margin-top:0;width:458.15pt;height:229.05pt;rotation:315;z-index:-251657216;mso-position-horizontal:center;mso-position-horizontal-relative:margin;mso-position-vertical:center;mso-position-vertical-relative:margin" o:allowincell="f" fillcolor="black" stroked="f">
          <v:fill opacity=".5"/>
          <v:textpath style="font-family:&quot;Calibri&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4E3081"/>
    <w:multiLevelType w:val="multilevel"/>
    <w:tmpl w:val="CF3A6DD0"/>
    <w:lvl w:ilvl="0">
      <w:start w:val="1"/>
      <w:numFmt w:val="decimal"/>
      <w:pStyle w:val="Heading1"/>
      <w:lvlText w:val="%1."/>
      <w:lvlJc w:val="left"/>
      <w:pPr>
        <w:ind w:left="1942" w:hanging="360"/>
      </w:pPr>
    </w:lvl>
    <w:lvl w:ilvl="1">
      <w:start w:val="1"/>
      <w:numFmt w:val="decimal"/>
      <w:isLgl/>
      <w:lvlText w:val="%1.%2"/>
      <w:lvlJc w:val="left"/>
      <w:pPr>
        <w:ind w:left="1957" w:hanging="375"/>
      </w:pPr>
      <w:rPr>
        <w:rFonts w:eastAsiaTheme="minorHAnsi" w:hAnsiTheme="minorHAnsi" w:cstheme="minorBidi" w:hint="default"/>
        <w:b/>
      </w:rPr>
    </w:lvl>
    <w:lvl w:ilvl="2">
      <w:start w:val="1"/>
      <w:numFmt w:val="decimal"/>
      <w:isLgl/>
      <w:lvlText w:val="%1.%2.%3"/>
      <w:lvlJc w:val="left"/>
      <w:pPr>
        <w:ind w:left="2302" w:hanging="720"/>
      </w:pPr>
      <w:rPr>
        <w:rFonts w:eastAsiaTheme="minorHAnsi" w:hAnsiTheme="minorHAnsi" w:cstheme="minorBidi" w:hint="default"/>
        <w:b/>
      </w:rPr>
    </w:lvl>
    <w:lvl w:ilvl="3">
      <w:start w:val="1"/>
      <w:numFmt w:val="decimal"/>
      <w:isLgl/>
      <w:lvlText w:val="%1.%2.%3.%4"/>
      <w:lvlJc w:val="left"/>
      <w:pPr>
        <w:ind w:left="2662" w:hanging="1080"/>
      </w:pPr>
      <w:rPr>
        <w:rFonts w:eastAsiaTheme="minorHAnsi" w:hAnsiTheme="minorHAnsi" w:cstheme="minorBidi" w:hint="default"/>
        <w:b/>
      </w:rPr>
    </w:lvl>
    <w:lvl w:ilvl="4">
      <w:start w:val="1"/>
      <w:numFmt w:val="decimal"/>
      <w:isLgl/>
      <w:lvlText w:val="%1.%2.%3.%4.%5"/>
      <w:lvlJc w:val="left"/>
      <w:pPr>
        <w:ind w:left="2662" w:hanging="1080"/>
      </w:pPr>
      <w:rPr>
        <w:rFonts w:eastAsiaTheme="minorHAnsi" w:hAnsiTheme="minorHAnsi" w:cstheme="minorBidi" w:hint="default"/>
        <w:b/>
      </w:rPr>
    </w:lvl>
    <w:lvl w:ilvl="5">
      <w:start w:val="1"/>
      <w:numFmt w:val="decimal"/>
      <w:isLgl/>
      <w:lvlText w:val="%1.%2.%3.%4.%5.%6"/>
      <w:lvlJc w:val="left"/>
      <w:pPr>
        <w:ind w:left="3022" w:hanging="1440"/>
      </w:pPr>
      <w:rPr>
        <w:rFonts w:eastAsiaTheme="minorHAnsi" w:hAnsiTheme="minorHAnsi" w:cstheme="minorBidi" w:hint="default"/>
        <w:b/>
      </w:rPr>
    </w:lvl>
    <w:lvl w:ilvl="6">
      <w:start w:val="1"/>
      <w:numFmt w:val="decimal"/>
      <w:isLgl/>
      <w:lvlText w:val="%1.%2.%3.%4.%5.%6.%7"/>
      <w:lvlJc w:val="left"/>
      <w:pPr>
        <w:ind w:left="3022" w:hanging="1440"/>
      </w:pPr>
      <w:rPr>
        <w:rFonts w:eastAsiaTheme="minorHAnsi" w:hAnsiTheme="minorHAnsi" w:cstheme="minorBidi" w:hint="default"/>
        <w:b/>
      </w:rPr>
    </w:lvl>
    <w:lvl w:ilvl="7">
      <w:start w:val="1"/>
      <w:numFmt w:val="decimal"/>
      <w:isLgl/>
      <w:lvlText w:val="%1.%2.%3.%4.%5.%6.%7.%8"/>
      <w:lvlJc w:val="left"/>
      <w:pPr>
        <w:ind w:left="3382" w:hanging="1800"/>
      </w:pPr>
      <w:rPr>
        <w:rFonts w:eastAsiaTheme="minorHAnsi" w:hAnsiTheme="minorHAnsi" w:cstheme="minorBidi" w:hint="default"/>
        <w:b/>
      </w:rPr>
    </w:lvl>
    <w:lvl w:ilvl="8">
      <w:start w:val="1"/>
      <w:numFmt w:val="decimal"/>
      <w:isLgl/>
      <w:lvlText w:val="%1.%2.%3.%4.%5.%6.%7.%8.%9"/>
      <w:lvlJc w:val="left"/>
      <w:pPr>
        <w:ind w:left="3742" w:hanging="2160"/>
      </w:pPr>
      <w:rPr>
        <w:rFonts w:eastAsiaTheme="minorHAnsi" w:hAnsiTheme="minorHAnsi" w:cstheme="minorBidi" w:hint="default"/>
        <w:b/>
      </w:rPr>
    </w:lvl>
  </w:abstractNum>
  <w:abstractNum w:abstractNumId="1" w15:restartNumberingAfterBreak="0">
    <w:nsid w:val="2A4C5EFA"/>
    <w:multiLevelType w:val="hybridMultilevel"/>
    <w:tmpl w:val="E35A71B6"/>
    <w:lvl w:ilvl="0" w:tplc="E68666DA">
      <w:start w:val="1"/>
      <w:numFmt w:val="decimal"/>
      <w:lvlText w:val="%1)"/>
      <w:lvlJc w:val="left"/>
      <w:pPr>
        <w:ind w:left="462" w:hanging="361"/>
      </w:pPr>
      <w:rPr>
        <w:rFonts w:ascii="Times New Roman" w:eastAsia="Times New Roman" w:hAnsi="Times New Roman" w:hint="default"/>
        <w:sz w:val="22"/>
        <w:szCs w:val="22"/>
      </w:rPr>
    </w:lvl>
    <w:lvl w:ilvl="1" w:tplc="440E1E86">
      <w:start w:val="1"/>
      <w:numFmt w:val="bullet"/>
      <w:lvlText w:val="•"/>
      <w:lvlJc w:val="left"/>
      <w:pPr>
        <w:ind w:left="973" w:hanging="361"/>
      </w:pPr>
      <w:rPr>
        <w:rFonts w:hint="default"/>
      </w:rPr>
    </w:lvl>
    <w:lvl w:ilvl="2" w:tplc="648A76D2">
      <w:start w:val="1"/>
      <w:numFmt w:val="bullet"/>
      <w:lvlText w:val="•"/>
      <w:lvlJc w:val="left"/>
      <w:pPr>
        <w:ind w:left="1484" w:hanging="361"/>
      </w:pPr>
      <w:rPr>
        <w:rFonts w:hint="default"/>
      </w:rPr>
    </w:lvl>
    <w:lvl w:ilvl="3" w:tplc="EB32A588">
      <w:start w:val="1"/>
      <w:numFmt w:val="bullet"/>
      <w:lvlText w:val="•"/>
      <w:lvlJc w:val="left"/>
      <w:pPr>
        <w:ind w:left="1995" w:hanging="361"/>
      </w:pPr>
      <w:rPr>
        <w:rFonts w:hint="default"/>
      </w:rPr>
    </w:lvl>
    <w:lvl w:ilvl="4" w:tplc="CB32CBBC">
      <w:start w:val="1"/>
      <w:numFmt w:val="bullet"/>
      <w:lvlText w:val="•"/>
      <w:lvlJc w:val="left"/>
      <w:pPr>
        <w:ind w:left="2506" w:hanging="361"/>
      </w:pPr>
      <w:rPr>
        <w:rFonts w:hint="default"/>
      </w:rPr>
    </w:lvl>
    <w:lvl w:ilvl="5" w:tplc="A9B05B02">
      <w:start w:val="1"/>
      <w:numFmt w:val="bullet"/>
      <w:lvlText w:val="•"/>
      <w:lvlJc w:val="left"/>
      <w:pPr>
        <w:ind w:left="3017" w:hanging="361"/>
      </w:pPr>
      <w:rPr>
        <w:rFonts w:hint="default"/>
      </w:rPr>
    </w:lvl>
    <w:lvl w:ilvl="6" w:tplc="B58C564A">
      <w:start w:val="1"/>
      <w:numFmt w:val="bullet"/>
      <w:lvlText w:val="•"/>
      <w:lvlJc w:val="left"/>
      <w:pPr>
        <w:ind w:left="3528" w:hanging="361"/>
      </w:pPr>
      <w:rPr>
        <w:rFonts w:hint="default"/>
      </w:rPr>
    </w:lvl>
    <w:lvl w:ilvl="7" w:tplc="CC987B84">
      <w:start w:val="1"/>
      <w:numFmt w:val="bullet"/>
      <w:lvlText w:val="•"/>
      <w:lvlJc w:val="left"/>
      <w:pPr>
        <w:ind w:left="4039" w:hanging="361"/>
      </w:pPr>
      <w:rPr>
        <w:rFonts w:hint="default"/>
      </w:rPr>
    </w:lvl>
    <w:lvl w:ilvl="8" w:tplc="F9663FBE">
      <w:start w:val="1"/>
      <w:numFmt w:val="bullet"/>
      <w:lvlText w:val="•"/>
      <w:lvlJc w:val="left"/>
      <w:pPr>
        <w:ind w:left="4551" w:hanging="361"/>
      </w:pPr>
      <w:rPr>
        <w:rFonts w:hint="default"/>
      </w:rPr>
    </w:lvl>
  </w:abstractNum>
  <w:abstractNum w:abstractNumId="2" w15:restartNumberingAfterBreak="0">
    <w:nsid w:val="30C355B1"/>
    <w:multiLevelType w:val="multilevel"/>
    <w:tmpl w:val="4D1A73DE"/>
    <w:lvl w:ilvl="0">
      <w:start w:val="5"/>
      <w:numFmt w:val="decimal"/>
      <w:lvlText w:val="%1"/>
      <w:lvlJc w:val="left"/>
      <w:pPr>
        <w:ind w:left="1222" w:hanging="1080"/>
      </w:pPr>
      <w:rPr>
        <w:rFonts w:hint="default"/>
      </w:rPr>
    </w:lvl>
    <w:lvl w:ilvl="1">
      <w:start w:val="2"/>
      <w:numFmt w:val="decimal"/>
      <w:lvlText w:val="%1.%2"/>
      <w:lvlJc w:val="left"/>
      <w:pPr>
        <w:ind w:left="1222" w:hanging="1080"/>
      </w:pPr>
      <w:rPr>
        <w:rFonts w:hint="default"/>
      </w:rPr>
    </w:lvl>
    <w:lvl w:ilvl="2">
      <w:start w:val="8"/>
      <w:numFmt w:val="decimal"/>
      <w:lvlText w:val="%1.%2.%3"/>
      <w:lvlJc w:val="left"/>
      <w:pPr>
        <w:ind w:left="1222" w:hanging="1080"/>
      </w:pPr>
      <w:rPr>
        <w:rFonts w:ascii="Times New Roman" w:eastAsia="Times New Roman" w:hAnsi="Times New Roman" w:hint="default"/>
        <w:b/>
        <w:bCs/>
        <w:sz w:val="24"/>
        <w:szCs w:val="24"/>
      </w:rPr>
    </w:lvl>
    <w:lvl w:ilvl="3">
      <w:start w:val="1"/>
      <w:numFmt w:val="bullet"/>
      <w:lvlText w:val="•"/>
      <w:lvlJc w:val="left"/>
      <w:pPr>
        <w:ind w:left="3699" w:hanging="1080"/>
      </w:pPr>
      <w:rPr>
        <w:rFonts w:hint="default"/>
      </w:rPr>
    </w:lvl>
    <w:lvl w:ilvl="4">
      <w:start w:val="1"/>
      <w:numFmt w:val="bullet"/>
      <w:lvlText w:val="•"/>
      <w:lvlJc w:val="left"/>
      <w:pPr>
        <w:ind w:left="4525" w:hanging="1080"/>
      </w:pPr>
      <w:rPr>
        <w:rFonts w:hint="default"/>
      </w:rPr>
    </w:lvl>
    <w:lvl w:ilvl="5">
      <w:start w:val="1"/>
      <w:numFmt w:val="bullet"/>
      <w:lvlText w:val="•"/>
      <w:lvlJc w:val="left"/>
      <w:pPr>
        <w:ind w:left="5351" w:hanging="1080"/>
      </w:pPr>
      <w:rPr>
        <w:rFonts w:hint="default"/>
      </w:rPr>
    </w:lvl>
    <w:lvl w:ilvl="6">
      <w:start w:val="1"/>
      <w:numFmt w:val="bullet"/>
      <w:lvlText w:val="•"/>
      <w:lvlJc w:val="left"/>
      <w:pPr>
        <w:ind w:left="6176" w:hanging="1080"/>
      </w:pPr>
      <w:rPr>
        <w:rFonts w:hint="default"/>
      </w:rPr>
    </w:lvl>
    <w:lvl w:ilvl="7">
      <w:start w:val="1"/>
      <w:numFmt w:val="bullet"/>
      <w:lvlText w:val="•"/>
      <w:lvlJc w:val="left"/>
      <w:pPr>
        <w:ind w:left="7002" w:hanging="1080"/>
      </w:pPr>
      <w:rPr>
        <w:rFonts w:hint="default"/>
      </w:rPr>
    </w:lvl>
    <w:lvl w:ilvl="8">
      <w:start w:val="1"/>
      <w:numFmt w:val="bullet"/>
      <w:lvlText w:val="•"/>
      <w:lvlJc w:val="left"/>
      <w:pPr>
        <w:ind w:left="7828" w:hanging="1080"/>
      </w:pPr>
      <w:rPr>
        <w:rFonts w:hint="default"/>
      </w:rPr>
    </w:lvl>
  </w:abstractNum>
  <w:abstractNum w:abstractNumId="3" w15:restartNumberingAfterBreak="0">
    <w:nsid w:val="390F2BCE"/>
    <w:multiLevelType w:val="multilevel"/>
    <w:tmpl w:val="896EAD0E"/>
    <w:lvl w:ilvl="0">
      <w:start w:val="5"/>
      <w:numFmt w:val="decimal"/>
      <w:lvlText w:val="%1"/>
      <w:lvlJc w:val="left"/>
      <w:pPr>
        <w:ind w:left="600" w:hanging="600"/>
      </w:pPr>
      <w:rPr>
        <w:rFonts w:eastAsiaTheme="majorEastAsia" w:hAnsiTheme="majorHAnsi" w:cstheme="majorBidi" w:hint="default"/>
      </w:rPr>
    </w:lvl>
    <w:lvl w:ilvl="1">
      <w:start w:val="1"/>
      <w:numFmt w:val="decimal"/>
      <w:lvlText w:val="%1.%2"/>
      <w:lvlJc w:val="left"/>
      <w:pPr>
        <w:ind w:left="600" w:hanging="600"/>
      </w:pPr>
      <w:rPr>
        <w:rFonts w:eastAsiaTheme="majorEastAsia" w:hAnsiTheme="majorHAnsi" w:cstheme="majorBidi" w:hint="default"/>
      </w:rPr>
    </w:lvl>
    <w:lvl w:ilvl="2">
      <w:start w:val="3"/>
      <w:numFmt w:val="decimal"/>
      <w:lvlText w:val="%1.%2.%3"/>
      <w:lvlJc w:val="left"/>
      <w:pPr>
        <w:ind w:left="720" w:hanging="720"/>
      </w:pPr>
      <w:rPr>
        <w:rFonts w:eastAsiaTheme="majorEastAsia" w:hAnsiTheme="majorHAnsi" w:cstheme="majorBidi" w:hint="default"/>
      </w:rPr>
    </w:lvl>
    <w:lvl w:ilvl="3">
      <w:start w:val="1"/>
      <w:numFmt w:val="decimal"/>
      <w:lvlText w:val="%1.%2.%3.%4"/>
      <w:lvlJc w:val="left"/>
      <w:pPr>
        <w:ind w:left="720" w:hanging="720"/>
      </w:pPr>
      <w:rPr>
        <w:rFonts w:eastAsiaTheme="majorEastAsia" w:hAnsiTheme="majorHAnsi" w:cstheme="majorBidi" w:hint="default"/>
      </w:rPr>
    </w:lvl>
    <w:lvl w:ilvl="4">
      <w:start w:val="1"/>
      <w:numFmt w:val="decimal"/>
      <w:lvlText w:val="%1.%2.%3.%4.%5"/>
      <w:lvlJc w:val="left"/>
      <w:pPr>
        <w:ind w:left="1080" w:hanging="1080"/>
      </w:pPr>
      <w:rPr>
        <w:rFonts w:eastAsiaTheme="majorEastAsia" w:hAnsiTheme="majorHAnsi" w:cstheme="majorBidi" w:hint="default"/>
      </w:rPr>
    </w:lvl>
    <w:lvl w:ilvl="5">
      <w:start w:val="1"/>
      <w:numFmt w:val="decimal"/>
      <w:lvlText w:val="%1.%2.%3.%4.%5.%6"/>
      <w:lvlJc w:val="left"/>
      <w:pPr>
        <w:ind w:left="1080" w:hanging="1080"/>
      </w:pPr>
      <w:rPr>
        <w:rFonts w:eastAsiaTheme="majorEastAsia" w:hAnsiTheme="majorHAnsi" w:cstheme="majorBidi" w:hint="default"/>
      </w:rPr>
    </w:lvl>
    <w:lvl w:ilvl="6">
      <w:start w:val="1"/>
      <w:numFmt w:val="decimal"/>
      <w:lvlText w:val="%1.%2.%3.%4.%5.%6.%7"/>
      <w:lvlJc w:val="left"/>
      <w:pPr>
        <w:ind w:left="1440" w:hanging="1440"/>
      </w:pPr>
      <w:rPr>
        <w:rFonts w:eastAsiaTheme="majorEastAsia" w:hAnsiTheme="majorHAnsi" w:cstheme="majorBidi" w:hint="default"/>
      </w:rPr>
    </w:lvl>
    <w:lvl w:ilvl="7">
      <w:start w:val="1"/>
      <w:numFmt w:val="decimal"/>
      <w:lvlText w:val="%1.%2.%3.%4.%5.%6.%7.%8"/>
      <w:lvlJc w:val="left"/>
      <w:pPr>
        <w:ind w:left="1440" w:hanging="1440"/>
      </w:pPr>
      <w:rPr>
        <w:rFonts w:eastAsiaTheme="majorEastAsia" w:hAnsiTheme="majorHAnsi" w:cstheme="majorBidi" w:hint="default"/>
      </w:rPr>
    </w:lvl>
    <w:lvl w:ilvl="8">
      <w:start w:val="1"/>
      <w:numFmt w:val="decimal"/>
      <w:lvlText w:val="%1.%2.%3.%4.%5.%6.%7.%8.%9"/>
      <w:lvlJc w:val="left"/>
      <w:pPr>
        <w:ind w:left="1800" w:hanging="1800"/>
      </w:pPr>
      <w:rPr>
        <w:rFonts w:eastAsiaTheme="majorEastAsia" w:hAnsiTheme="majorHAnsi" w:cstheme="majorBidi" w:hint="default"/>
      </w:rPr>
    </w:lvl>
  </w:abstractNum>
  <w:abstractNum w:abstractNumId="4" w15:restartNumberingAfterBreak="0">
    <w:nsid w:val="4D840048"/>
    <w:multiLevelType w:val="multilevel"/>
    <w:tmpl w:val="86980622"/>
    <w:lvl w:ilvl="0">
      <w:start w:val="5"/>
      <w:numFmt w:val="decimal"/>
      <w:lvlText w:val="%1"/>
      <w:lvlJc w:val="left"/>
      <w:pPr>
        <w:ind w:left="1223" w:hanging="1081"/>
      </w:pPr>
      <w:rPr>
        <w:rFonts w:hint="default"/>
      </w:rPr>
    </w:lvl>
    <w:lvl w:ilvl="1">
      <w:start w:val="1"/>
      <w:numFmt w:val="decimal"/>
      <w:lvlText w:val="%1.%2"/>
      <w:lvlJc w:val="left"/>
      <w:pPr>
        <w:ind w:left="1223" w:hanging="1081"/>
      </w:pPr>
      <w:rPr>
        <w:rFonts w:hint="default"/>
      </w:rPr>
    </w:lvl>
    <w:lvl w:ilvl="2">
      <w:start w:val="3"/>
      <w:numFmt w:val="decimal"/>
      <w:lvlText w:val="%1.%2.%3"/>
      <w:lvlJc w:val="left"/>
      <w:pPr>
        <w:ind w:left="1223" w:hanging="1081"/>
      </w:pPr>
      <w:rPr>
        <w:rFonts w:hint="default"/>
      </w:rPr>
    </w:lvl>
    <w:lvl w:ilvl="3">
      <w:start w:val="3"/>
      <w:numFmt w:val="decimal"/>
      <w:lvlText w:val="%1.%2.%3.%4"/>
      <w:lvlJc w:val="left"/>
      <w:pPr>
        <w:ind w:left="1223" w:hanging="1081"/>
      </w:pPr>
      <w:rPr>
        <w:rFonts w:hint="default"/>
      </w:rPr>
    </w:lvl>
    <w:lvl w:ilvl="4">
      <w:start w:val="2"/>
      <w:numFmt w:val="decimal"/>
      <w:lvlText w:val="%1.%2.%3.%4.%5"/>
      <w:lvlJc w:val="left"/>
      <w:pPr>
        <w:ind w:left="1223" w:hanging="1081"/>
      </w:pPr>
      <w:rPr>
        <w:rFonts w:ascii="Times New Roman" w:eastAsia="Times New Roman" w:hAnsi="Times New Roman" w:hint="default"/>
        <w:b/>
        <w:bCs/>
        <w:sz w:val="24"/>
        <w:szCs w:val="24"/>
      </w:rPr>
    </w:lvl>
    <w:lvl w:ilvl="5">
      <w:start w:val="1"/>
      <w:numFmt w:val="bullet"/>
      <w:lvlText w:val="•"/>
      <w:lvlJc w:val="left"/>
      <w:pPr>
        <w:ind w:left="5351" w:hanging="1081"/>
      </w:pPr>
      <w:rPr>
        <w:rFonts w:hint="default"/>
      </w:rPr>
    </w:lvl>
    <w:lvl w:ilvl="6">
      <w:start w:val="1"/>
      <w:numFmt w:val="bullet"/>
      <w:lvlText w:val="•"/>
      <w:lvlJc w:val="left"/>
      <w:pPr>
        <w:ind w:left="6177" w:hanging="1081"/>
      </w:pPr>
      <w:rPr>
        <w:rFonts w:hint="default"/>
      </w:rPr>
    </w:lvl>
    <w:lvl w:ilvl="7">
      <w:start w:val="1"/>
      <w:numFmt w:val="bullet"/>
      <w:lvlText w:val="•"/>
      <w:lvlJc w:val="left"/>
      <w:pPr>
        <w:ind w:left="7003" w:hanging="1081"/>
      </w:pPr>
      <w:rPr>
        <w:rFonts w:hint="default"/>
      </w:rPr>
    </w:lvl>
    <w:lvl w:ilvl="8">
      <w:start w:val="1"/>
      <w:numFmt w:val="bullet"/>
      <w:lvlText w:val="•"/>
      <w:lvlJc w:val="left"/>
      <w:pPr>
        <w:ind w:left="7828" w:hanging="1081"/>
      </w:pPr>
      <w:rPr>
        <w:rFonts w:hint="default"/>
      </w:rPr>
    </w:lvl>
  </w:abstractNum>
  <w:abstractNum w:abstractNumId="5" w15:restartNumberingAfterBreak="0">
    <w:nsid w:val="654D048A"/>
    <w:multiLevelType w:val="hybridMultilevel"/>
    <w:tmpl w:val="9160718C"/>
    <w:lvl w:ilvl="0" w:tplc="A3B83F12">
      <w:start w:val="1"/>
      <w:numFmt w:val="decimal"/>
      <w:lvlText w:val="%1)"/>
      <w:lvlJc w:val="left"/>
      <w:pPr>
        <w:ind w:left="462" w:hanging="360"/>
      </w:pPr>
      <w:rPr>
        <w:rFonts w:ascii="Times New Roman" w:eastAsia="Times New Roman" w:hAnsi="Times New Roman" w:hint="default"/>
        <w:sz w:val="22"/>
        <w:szCs w:val="22"/>
      </w:rPr>
    </w:lvl>
    <w:lvl w:ilvl="1" w:tplc="F9F4BA9C">
      <w:start w:val="1"/>
      <w:numFmt w:val="bullet"/>
      <w:lvlText w:val="•"/>
      <w:lvlJc w:val="left"/>
      <w:pPr>
        <w:ind w:left="973" w:hanging="360"/>
      </w:pPr>
      <w:rPr>
        <w:rFonts w:hint="default"/>
      </w:rPr>
    </w:lvl>
    <w:lvl w:ilvl="2" w:tplc="8D2AF714">
      <w:start w:val="1"/>
      <w:numFmt w:val="bullet"/>
      <w:lvlText w:val="•"/>
      <w:lvlJc w:val="left"/>
      <w:pPr>
        <w:ind w:left="1484" w:hanging="360"/>
      </w:pPr>
      <w:rPr>
        <w:rFonts w:hint="default"/>
      </w:rPr>
    </w:lvl>
    <w:lvl w:ilvl="3" w:tplc="4CF8335C">
      <w:start w:val="1"/>
      <w:numFmt w:val="bullet"/>
      <w:lvlText w:val="•"/>
      <w:lvlJc w:val="left"/>
      <w:pPr>
        <w:ind w:left="1995" w:hanging="360"/>
      </w:pPr>
      <w:rPr>
        <w:rFonts w:hint="default"/>
      </w:rPr>
    </w:lvl>
    <w:lvl w:ilvl="4" w:tplc="CB8AF458">
      <w:start w:val="1"/>
      <w:numFmt w:val="bullet"/>
      <w:lvlText w:val="•"/>
      <w:lvlJc w:val="left"/>
      <w:pPr>
        <w:ind w:left="2506" w:hanging="360"/>
      </w:pPr>
      <w:rPr>
        <w:rFonts w:hint="default"/>
      </w:rPr>
    </w:lvl>
    <w:lvl w:ilvl="5" w:tplc="67B4F852">
      <w:start w:val="1"/>
      <w:numFmt w:val="bullet"/>
      <w:lvlText w:val="•"/>
      <w:lvlJc w:val="left"/>
      <w:pPr>
        <w:ind w:left="3017" w:hanging="360"/>
      </w:pPr>
      <w:rPr>
        <w:rFonts w:hint="default"/>
      </w:rPr>
    </w:lvl>
    <w:lvl w:ilvl="6" w:tplc="EA3800B8">
      <w:start w:val="1"/>
      <w:numFmt w:val="bullet"/>
      <w:lvlText w:val="•"/>
      <w:lvlJc w:val="left"/>
      <w:pPr>
        <w:ind w:left="3528" w:hanging="360"/>
      </w:pPr>
      <w:rPr>
        <w:rFonts w:hint="default"/>
      </w:rPr>
    </w:lvl>
    <w:lvl w:ilvl="7" w:tplc="D7C8C6C2">
      <w:start w:val="1"/>
      <w:numFmt w:val="bullet"/>
      <w:lvlText w:val="•"/>
      <w:lvlJc w:val="left"/>
      <w:pPr>
        <w:ind w:left="4039" w:hanging="360"/>
      </w:pPr>
      <w:rPr>
        <w:rFonts w:hint="default"/>
      </w:rPr>
    </w:lvl>
    <w:lvl w:ilvl="8" w:tplc="8DB4D494">
      <w:start w:val="1"/>
      <w:numFmt w:val="bullet"/>
      <w:lvlText w:val="•"/>
      <w:lvlJc w:val="left"/>
      <w:pPr>
        <w:ind w:left="4550" w:hanging="360"/>
      </w:pPr>
      <w:rPr>
        <w:rFonts w:hint="default"/>
      </w:rPr>
    </w:lvl>
  </w:abstractNum>
  <w:abstractNum w:abstractNumId="6" w15:restartNumberingAfterBreak="0">
    <w:nsid w:val="6867078C"/>
    <w:multiLevelType w:val="multilevel"/>
    <w:tmpl w:val="4BB859B4"/>
    <w:lvl w:ilvl="0">
      <w:start w:val="5"/>
      <w:numFmt w:val="decimal"/>
      <w:lvlText w:val="%1"/>
      <w:lvlJc w:val="left"/>
      <w:pPr>
        <w:ind w:left="540" w:hanging="540"/>
      </w:pPr>
      <w:rPr>
        <w:rFonts w:eastAsiaTheme="majorEastAsia" w:hAnsiTheme="majorHAnsi" w:cstheme="majorBidi" w:hint="default"/>
      </w:rPr>
    </w:lvl>
    <w:lvl w:ilvl="1">
      <w:start w:val="3"/>
      <w:numFmt w:val="decimal"/>
      <w:lvlText w:val="%1.%2"/>
      <w:lvlJc w:val="left"/>
      <w:pPr>
        <w:ind w:left="540" w:hanging="540"/>
      </w:pPr>
      <w:rPr>
        <w:rFonts w:eastAsiaTheme="majorEastAsia" w:hAnsiTheme="majorHAnsi" w:cstheme="majorBidi" w:hint="default"/>
      </w:rPr>
    </w:lvl>
    <w:lvl w:ilvl="2">
      <w:start w:val="4"/>
      <w:numFmt w:val="decimal"/>
      <w:lvlText w:val="%1.%2.%3"/>
      <w:lvlJc w:val="left"/>
      <w:pPr>
        <w:ind w:left="720" w:hanging="720"/>
      </w:pPr>
      <w:rPr>
        <w:rFonts w:eastAsiaTheme="majorEastAsia" w:hAnsiTheme="majorHAnsi" w:cstheme="majorBidi" w:hint="default"/>
      </w:rPr>
    </w:lvl>
    <w:lvl w:ilvl="3">
      <w:start w:val="1"/>
      <w:numFmt w:val="decimal"/>
      <w:lvlText w:val="%1.%2.%3.%4"/>
      <w:lvlJc w:val="left"/>
      <w:pPr>
        <w:ind w:left="720" w:hanging="720"/>
      </w:pPr>
      <w:rPr>
        <w:rFonts w:eastAsiaTheme="majorEastAsia" w:hAnsiTheme="majorHAnsi" w:cstheme="majorBidi" w:hint="default"/>
      </w:rPr>
    </w:lvl>
    <w:lvl w:ilvl="4">
      <w:start w:val="1"/>
      <w:numFmt w:val="decimal"/>
      <w:lvlText w:val="%1.%2.%3.%4.%5"/>
      <w:lvlJc w:val="left"/>
      <w:pPr>
        <w:ind w:left="1080" w:hanging="1080"/>
      </w:pPr>
      <w:rPr>
        <w:rFonts w:eastAsiaTheme="majorEastAsia" w:hAnsiTheme="majorHAnsi" w:cstheme="majorBidi" w:hint="default"/>
      </w:rPr>
    </w:lvl>
    <w:lvl w:ilvl="5">
      <w:start w:val="1"/>
      <w:numFmt w:val="decimal"/>
      <w:lvlText w:val="%1.%2.%3.%4.%5.%6"/>
      <w:lvlJc w:val="left"/>
      <w:pPr>
        <w:ind w:left="1080" w:hanging="1080"/>
      </w:pPr>
      <w:rPr>
        <w:rFonts w:eastAsiaTheme="majorEastAsia" w:hAnsiTheme="majorHAnsi" w:cstheme="majorBidi" w:hint="default"/>
      </w:rPr>
    </w:lvl>
    <w:lvl w:ilvl="6">
      <w:start w:val="1"/>
      <w:numFmt w:val="decimal"/>
      <w:lvlText w:val="%1.%2.%3.%4.%5.%6.%7"/>
      <w:lvlJc w:val="left"/>
      <w:pPr>
        <w:ind w:left="1440" w:hanging="1440"/>
      </w:pPr>
      <w:rPr>
        <w:rFonts w:eastAsiaTheme="majorEastAsia" w:hAnsiTheme="majorHAnsi" w:cstheme="majorBidi" w:hint="default"/>
      </w:rPr>
    </w:lvl>
    <w:lvl w:ilvl="7">
      <w:start w:val="1"/>
      <w:numFmt w:val="decimal"/>
      <w:lvlText w:val="%1.%2.%3.%4.%5.%6.%7.%8"/>
      <w:lvlJc w:val="left"/>
      <w:pPr>
        <w:ind w:left="1440" w:hanging="1440"/>
      </w:pPr>
      <w:rPr>
        <w:rFonts w:eastAsiaTheme="majorEastAsia" w:hAnsiTheme="majorHAnsi" w:cstheme="majorBidi" w:hint="default"/>
      </w:rPr>
    </w:lvl>
    <w:lvl w:ilvl="8">
      <w:start w:val="1"/>
      <w:numFmt w:val="decimal"/>
      <w:lvlText w:val="%1.%2.%3.%4.%5.%6.%7.%8.%9"/>
      <w:lvlJc w:val="left"/>
      <w:pPr>
        <w:ind w:left="1800" w:hanging="1800"/>
      </w:pPr>
      <w:rPr>
        <w:rFonts w:eastAsiaTheme="majorEastAsia" w:hAnsiTheme="majorHAnsi" w:cstheme="majorBidi" w:hint="default"/>
      </w:rPr>
    </w:lvl>
  </w:abstractNum>
  <w:abstractNum w:abstractNumId="7" w15:restartNumberingAfterBreak="0">
    <w:nsid w:val="76707AEA"/>
    <w:multiLevelType w:val="hybridMultilevel"/>
    <w:tmpl w:val="72AC90FC"/>
    <w:lvl w:ilvl="0" w:tplc="A432C2F4">
      <w:start w:val="1"/>
      <w:numFmt w:val="lowerLetter"/>
      <w:lvlText w:val="%1)"/>
      <w:lvlJc w:val="left"/>
      <w:pPr>
        <w:ind w:left="389" w:hanging="247"/>
      </w:pPr>
      <w:rPr>
        <w:rFonts w:ascii="Times New Roman" w:eastAsia="Times New Roman" w:hAnsi="Times New Roman" w:hint="default"/>
        <w:spacing w:val="-1"/>
        <w:w w:val="99"/>
        <w:sz w:val="24"/>
        <w:szCs w:val="24"/>
      </w:rPr>
    </w:lvl>
    <w:lvl w:ilvl="1" w:tplc="9C32C214">
      <w:start w:val="1"/>
      <w:numFmt w:val="bullet"/>
      <w:lvlText w:val="•"/>
      <w:lvlJc w:val="left"/>
      <w:pPr>
        <w:ind w:left="1323" w:hanging="247"/>
      </w:pPr>
      <w:rPr>
        <w:rFonts w:hint="default"/>
      </w:rPr>
    </w:lvl>
    <w:lvl w:ilvl="2" w:tplc="120CAD92">
      <w:start w:val="1"/>
      <w:numFmt w:val="bullet"/>
      <w:lvlText w:val="•"/>
      <w:lvlJc w:val="left"/>
      <w:pPr>
        <w:ind w:left="2256" w:hanging="247"/>
      </w:pPr>
      <w:rPr>
        <w:rFonts w:hint="default"/>
      </w:rPr>
    </w:lvl>
    <w:lvl w:ilvl="3" w:tplc="38BA9118">
      <w:start w:val="1"/>
      <w:numFmt w:val="bullet"/>
      <w:lvlText w:val="•"/>
      <w:lvlJc w:val="left"/>
      <w:pPr>
        <w:ind w:left="3190" w:hanging="247"/>
      </w:pPr>
      <w:rPr>
        <w:rFonts w:hint="default"/>
      </w:rPr>
    </w:lvl>
    <w:lvl w:ilvl="4" w:tplc="EC785A52">
      <w:start w:val="1"/>
      <w:numFmt w:val="bullet"/>
      <w:lvlText w:val="•"/>
      <w:lvlJc w:val="left"/>
      <w:pPr>
        <w:ind w:left="4124" w:hanging="247"/>
      </w:pPr>
      <w:rPr>
        <w:rFonts w:hint="default"/>
      </w:rPr>
    </w:lvl>
    <w:lvl w:ilvl="5" w:tplc="651EB08E">
      <w:start w:val="1"/>
      <w:numFmt w:val="bullet"/>
      <w:lvlText w:val="•"/>
      <w:lvlJc w:val="left"/>
      <w:pPr>
        <w:ind w:left="5058" w:hanging="247"/>
      </w:pPr>
      <w:rPr>
        <w:rFonts w:hint="default"/>
      </w:rPr>
    </w:lvl>
    <w:lvl w:ilvl="6" w:tplc="ADB2FEDC">
      <w:start w:val="1"/>
      <w:numFmt w:val="bullet"/>
      <w:lvlText w:val="•"/>
      <w:lvlJc w:val="left"/>
      <w:pPr>
        <w:ind w:left="5991" w:hanging="247"/>
      </w:pPr>
      <w:rPr>
        <w:rFonts w:hint="default"/>
      </w:rPr>
    </w:lvl>
    <w:lvl w:ilvl="7" w:tplc="C290C0F0">
      <w:start w:val="1"/>
      <w:numFmt w:val="bullet"/>
      <w:lvlText w:val="•"/>
      <w:lvlJc w:val="left"/>
      <w:pPr>
        <w:ind w:left="6925" w:hanging="247"/>
      </w:pPr>
      <w:rPr>
        <w:rFonts w:hint="default"/>
      </w:rPr>
    </w:lvl>
    <w:lvl w:ilvl="8" w:tplc="440E1808">
      <w:start w:val="1"/>
      <w:numFmt w:val="bullet"/>
      <w:lvlText w:val="•"/>
      <w:lvlJc w:val="left"/>
      <w:pPr>
        <w:ind w:left="7859" w:hanging="247"/>
      </w:pPr>
      <w:rPr>
        <w:rFonts w:hint="default"/>
      </w:rPr>
    </w:lvl>
  </w:abstractNum>
  <w:abstractNum w:abstractNumId="8" w15:restartNumberingAfterBreak="0">
    <w:nsid w:val="785059FB"/>
    <w:multiLevelType w:val="multilevel"/>
    <w:tmpl w:val="91E202C0"/>
    <w:lvl w:ilvl="0">
      <w:start w:val="5"/>
      <w:numFmt w:val="decimal"/>
      <w:lvlText w:val="%1"/>
      <w:lvlJc w:val="left"/>
      <w:pPr>
        <w:ind w:left="1222" w:hanging="1080"/>
      </w:pPr>
      <w:rPr>
        <w:rFonts w:hint="default"/>
      </w:rPr>
    </w:lvl>
    <w:lvl w:ilvl="1">
      <w:start w:val="1"/>
      <w:numFmt w:val="decimal"/>
      <w:lvlText w:val="%1.%2"/>
      <w:lvlJc w:val="left"/>
      <w:pPr>
        <w:ind w:left="1222" w:hanging="1080"/>
      </w:pPr>
      <w:rPr>
        <w:rFonts w:hint="default"/>
      </w:rPr>
    </w:lvl>
    <w:lvl w:ilvl="2">
      <w:start w:val="1"/>
      <w:numFmt w:val="decimal"/>
      <w:lvlText w:val="%1.%2.%3"/>
      <w:lvlJc w:val="left"/>
      <w:pPr>
        <w:ind w:left="1222" w:hanging="1080"/>
      </w:pPr>
      <w:rPr>
        <w:rFonts w:hint="default"/>
      </w:rPr>
    </w:lvl>
    <w:lvl w:ilvl="3">
      <w:start w:val="2"/>
      <w:numFmt w:val="decimal"/>
      <w:lvlText w:val="%1.%2.%3.%4"/>
      <w:lvlJc w:val="left"/>
      <w:pPr>
        <w:ind w:left="1222" w:hanging="1080"/>
      </w:pPr>
      <w:rPr>
        <w:rFonts w:hint="default"/>
      </w:rPr>
    </w:lvl>
    <w:lvl w:ilvl="4">
      <w:start w:val="1"/>
      <w:numFmt w:val="decimal"/>
      <w:lvlText w:val="%1.%2.%3.%4.%5"/>
      <w:lvlJc w:val="left"/>
      <w:pPr>
        <w:ind w:left="1222" w:hanging="1080"/>
      </w:pPr>
      <w:rPr>
        <w:rFonts w:ascii="Times New Roman" w:eastAsia="Times New Roman" w:hAnsi="Times New Roman" w:hint="default"/>
        <w:b/>
        <w:bCs/>
        <w:sz w:val="24"/>
        <w:szCs w:val="24"/>
      </w:rPr>
    </w:lvl>
    <w:lvl w:ilvl="5">
      <w:start w:val="1"/>
      <w:numFmt w:val="bullet"/>
      <w:lvlText w:val="•"/>
      <w:lvlJc w:val="left"/>
      <w:pPr>
        <w:ind w:left="5351" w:hanging="1080"/>
      </w:pPr>
      <w:rPr>
        <w:rFonts w:hint="default"/>
      </w:rPr>
    </w:lvl>
    <w:lvl w:ilvl="6">
      <w:start w:val="1"/>
      <w:numFmt w:val="bullet"/>
      <w:lvlText w:val="•"/>
      <w:lvlJc w:val="left"/>
      <w:pPr>
        <w:ind w:left="6176" w:hanging="1080"/>
      </w:pPr>
      <w:rPr>
        <w:rFonts w:hint="default"/>
      </w:rPr>
    </w:lvl>
    <w:lvl w:ilvl="7">
      <w:start w:val="1"/>
      <w:numFmt w:val="bullet"/>
      <w:lvlText w:val="•"/>
      <w:lvlJc w:val="left"/>
      <w:pPr>
        <w:ind w:left="7002" w:hanging="1080"/>
      </w:pPr>
      <w:rPr>
        <w:rFonts w:hint="default"/>
      </w:rPr>
    </w:lvl>
    <w:lvl w:ilvl="8">
      <w:start w:val="1"/>
      <w:numFmt w:val="bullet"/>
      <w:lvlText w:val="•"/>
      <w:lvlJc w:val="left"/>
      <w:pPr>
        <w:ind w:left="7828" w:hanging="1080"/>
      </w:pPr>
      <w:rPr>
        <w:rFonts w:hint="default"/>
      </w:rPr>
    </w:lvl>
  </w:abstractNum>
  <w:abstractNum w:abstractNumId="9" w15:restartNumberingAfterBreak="0">
    <w:nsid w:val="7BAF332E"/>
    <w:multiLevelType w:val="hybridMultilevel"/>
    <w:tmpl w:val="753A8F8C"/>
    <w:lvl w:ilvl="0" w:tplc="66565F36">
      <w:start w:val="1"/>
      <w:numFmt w:val="bullet"/>
      <w:lvlText w:val=""/>
      <w:lvlJc w:val="left"/>
      <w:pPr>
        <w:ind w:left="862" w:hanging="720"/>
      </w:pPr>
      <w:rPr>
        <w:rFonts w:ascii="Symbol" w:eastAsia="Symbol" w:hAnsi="Symbol" w:hint="default"/>
        <w:sz w:val="24"/>
        <w:szCs w:val="24"/>
      </w:rPr>
    </w:lvl>
    <w:lvl w:ilvl="1" w:tplc="214243D8">
      <w:start w:val="1"/>
      <w:numFmt w:val="bullet"/>
      <w:lvlText w:val="•"/>
      <w:lvlJc w:val="left"/>
      <w:pPr>
        <w:ind w:left="1724" w:hanging="720"/>
      </w:pPr>
      <w:rPr>
        <w:rFonts w:hint="default"/>
      </w:rPr>
    </w:lvl>
    <w:lvl w:ilvl="2" w:tplc="2A7C297C">
      <w:start w:val="1"/>
      <w:numFmt w:val="bullet"/>
      <w:lvlText w:val="•"/>
      <w:lvlJc w:val="left"/>
      <w:pPr>
        <w:ind w:left="2585" w:hanging="720"/>
      </w:pPr>
      <w:rPr>
        <w:rFonts w:hint="default"/>
      </w:rPr>
    </w:lvl>
    <w:lvl w:ilvl="3" w:tplc="EC609DB2">
      <w:start w:val="1"/>
      <w:numFmt w:val="bullet"/>
      <w:lvlText w:val="•"/>
      <w:lvlJc w:val="left"/>
      <w:pPr>
        <w:ind w:left="3447" w:hanging="720"/>
      </w:pPr>
      <w:rPr>
        <w:rFonts w:hint="default"/>
      </w:rPr>
    </w:lvl>
    <w:lvl w:ilvl="4" w:tplc="4DE47DAE">
      <w:start w:val="1"/>
      <w:numFmt w:val="bullet"/>
      <w:lvlText w:val="•"/>
      <w:lvlJc w:val="left"/>
      <w:pPr>
        <w:ind w:left="4309" w:hanging="720"/>
      </w:pPr>
      <w:rPr>
        <w:rFonts w:hint="default"/>
      </w:rPr>
    </w:lvl>
    <w:lvl w:ilvl="5" w:tplc="036E166E">
      <w:start w:val="1"/>
      <w:numFmt w:val="bullet"/>
      <w:lvlText w:val="•"/>
      <w:lvlJc w:val="left"/>
      <w:pPr>
        <w:ind w:left="5171" w:hanging="720"/>
      </w:pPr>
      <w:rPr>
        <w:rFonts w:hint="default"/>
      </w:rPr>
    </w:lvl>
    <w:lvl w:ilvl="6" w:tplc="CBE83294">
      <w:start w:val="1"/>
      <w:numFmt w:val="bullet"/>
      <w:lvlText w:val="•"/>
      <w:lvlJc w:val="left"/>
      <w:pPr>
        <w:ind w:left="6032" w:hanging="720"/>
      </w:pPr>
      <w:rPr>
        <w:rFonts w:hint="default"/>
      </w:rPr>
    </w:lvl>
    <w:lvl w:ilvl="7" w:tplc="C9A0854A">
      <w:start w:val="1"/>
      <w:numFmt w:val="bullet"/>
      <w:lvlText w:val="•"/>
      <w:lvlJc w:val="left"/>
      <w:pPr>
        <w:ind w:left="6894" w:hanging="720"/>
      </w:pPr>
      <w:rPr>
        <w:rFonts w:hint="default"/>
      </w:rPr>
    </w:lvl>
    <w:lvl w:ilvl="8" w:tplc="019CFD1A">
      <w:start w:val="1"/>
      <w:numFmt w:val="bullet"/>
      <w:lvlText w:val="•"/>
      <w:lvlJc w:val="left"/>
      <w:pPr>
        <w:ind w:left="7756" w:hanging="720"/>
      </w:pPr>
      <w:rPr>
        <w:rFonts w:hint="default"/>
      </w:rPr>
    </w:lvl>
  </w:abstractNum>
  <w:abstractNum w:abstractNumId="10" w15:restartNumberingAfterBreak="0">
    <w:nsid w:val="7EA96E3A"/>
    <w:multiLevelType w:val="multilevel"/>
    <w:tmpl w:val="E540853A"/>
    <w:lvl w:ilvl="0">
      <w:start w:val="5"/>
      <w:numFmt w:val="decimal"/>
      <w:lvlText w:val="%1."/>
      <w:lvlJc w:val="left"/>
      <w:pPr>
        <w:ind w:left="900" w:hanging="900"/>
      </w:pPr>
      <w:rPr>
        <w:rFonts w:eastAsiaTheme="minorHAnsi" w:hAnsiTheme="minorHAnsi" w:cstheme="minorBidi" w:hint="default"/>
        <w:b/>
      </w:rPr>
    </w:lvl>
    <w:lvl w:ilvl="1">
      <w:start w:val="1"/>
      <w:numFmt w:val="decimal"/>
      <w:lvlText w:val="%1.%2."/>
      <w:lvlJc w:val="left"/>
      <w:pPr>
        <w:ind w:left="1205" w:hanging="900"/>
      </w:pPr>
      <w:rPr>
        <w:rFonts w:eastAsiaTheme="minorHAnsi" w:hAnsiTheme="minorHAnsi" w:cstheme="minorBidi" w:hint="default"/>
        <w:b/>
      </w:rPr>
    </w:lvl>
    <w:lvl w:ilvl="2">
      <w:start w:val="3"/>
      <w:numFmt w:val="decimal"/>
      <w:lvlText w:val="%1.%2.%3."/>
      <w:lvlJc w:val="left"/>
      <w:pPr>
        <w:ind w:left="1510" w:hanging="900"/>
      </w:pPr>
      <w:rPr>
        <w:rFonts w:eastAsiaTheme="minorHAnsi" w:hAnsiTheme="minorHAnsi" w:cstheme="minorBidi" w:hint="default"/>
        <w:b/>
      </w:rPr>
    </w:lvl>
    <w:lvl w:ilvl="3">
      <w:start w:val="2"/>
      <w:numFmt w:val="decimal"/>
      <w:lvlText w:val="%1.%2.%3.%4."/>
      <w:lvlJc w:val="left"/>
      <w:pPr>
        <w:ind w:left="1815" w:hanging="900"/>
      </w:pPr>
      <w:rPr>
        <w:rFonts w:eastAsiaTheme="minorHAnsi" w:hAnsiTheme="minorHAnsi" w:cstheme="minorBidi" w:hint="default"/>
        <w:b/>
      </w:rPr>
    </w:lvl>
    <w:lvl w:ilvl="4">
      <w:start w:val="2"/>
      <w:numFmt w:val="decimal"/>
      <w:lvlText w:val="%1.%2.%3.%4.%5."/>
      <w:lvlJc w:val="left"/>
      <w:pPr>
        <w:ind w:left="2300" w:hanging="1080"/>
      </w:pPr>
      <w:rPr>
        <w:rFonts w:eastAsiaTheme="minorHAnsi" w:hAnsiTheme="minorHAnsi" w:cstheme="minorBidi" w:hint="default"/>
        <w:b/>
      </w:rPr>
    </w:lvl>
    <w:lvl w:ilvl="5">
      <w:start w:val="1"/>
      <w:numFmt w:val="decimal"/>
      <w:lvlText w:val="%1.%2.%3.%4.%5.%6."/>
      <w:lvlJc w:val="left"/>
      <w:pPr>
        <w:ind w:left="2605" w:hanging="1080"/>
      </w:pPr>
      <w:rPr>
        <w:rFonts w:eastAsiaTheme="minorHAnsi" w:hAnsiTheme="minorHAnsi" w:cstheme="minorBidi" w:hint="default"/>
        <w:b/>
      </w:rPr>
    </w:lvl>
    <w:lvl w:ilvl="6">
      <w:start w:val="1"/>
      <w:numFmt w:val="decimal"/>
      <w:lvlText w:val="%1.%2.%3.%4.%5.%6.%7."/>
      <w:lvlJc w:val="left"/>
      <w:pPr>
        <w:ind w:left="3270" w:hanging="1440"/>
      </w:pPr>
      <w:rPr>
        <w:rFonts w:eastAsiaTheme="minorHAnsi" w:hAnsiTheme="minorHAnsi" w:cstheme="minorBidi" w:hint="default"/>
        <w:b/>
      </w:rPr>
    </w:lvl>
    <w:lvl w:ilvl="7">
      <w:start w:val="1"/>
      <w:numFmt w:val="decimal"/>
      <w:lvlText w:val="%1.%2.%3.%4.%5.%6.%7.%8."/>
      <w:lvlJc w:val="left"/>
      <w:pPr>
        <w:ind w:left="3575" w:hanging="1440"/>
      </w:pPr>
      <w:rPr>
        <w:rFonts w:eastAsiaTheme="minorHAnsi" w:hAnsiTheme="minorHAnsi" w:cstheme="minorBidi" w:hint="default"/>
        <w:b/>
      </w:rPr>
    </w:lvl>
    <w:lvl w:ilvl="8">
      <w:start w:val="1"/>
      <w:numFmt w:val="decimal"/>
      <w:lvlText w:val="%1.%2.%3.%4.%5.%6.%7.%8.%9."/>
      <w:lvlJc w:val="left"/>
      <w:pPr>
        <w:ind w:left="4240" w:hanging="1800"/>
      </w:pPr>
      <w:rPr>
        <w:rFonts w:eastAsiaTheme="minorHAnsi" w:hAnsiTheme="minorHAnsi" w:cstheme="minorBidi" w:hint="default"/>
        <w:b/>
      </w:rPr>
    </w:lvl>
  </w:abstractNum>
  <w:num w:numId="1" w16cid:durableId="589852759">
    <w:abstractNumId w:val="7"/>
  </w:num>
  <w:num w:numId="2" w16cid:durableId="2013339354">
    <w:abstractNumId w:val="4"/>
  </w:num>
  <w:num w:numId="3" w16cid:durableId="1138302223">
    <w:abstractNumId w:val="8"/>
  </w:num>
  <w:num w:numId="4" w16cid:durableId="1065643785">
    <w:abstractNumId w:val="9"/>
  </w:num>
  <w:num w:numId="5" w16cid:durableId="833685642">
    <w:abstractNumId w:val="1"/>
  </w:num>
  <w:num w:numId="6" w16cid:durableId="1929074435">
    <w:abstractNumId w:val="5"/>
  </w:num>
  <w:num w:numId="7" w16cid:durableId="1628655301">
    <w:abstractNumId w:val="0"/>
  </w:num>
  <w:num w:numId="8" w16cid:durableId="779373110">
    <w:abstractNumId w:val="2"/>
  </w:num>
  <w:num w:numId="9" w16cid:durableId="997150771">
    <w:abstractNumId w:val="6"/>
  </w:num>
  <w:num w:numId="10" w16cid:durableId="1635911631">
    <w:abstractNumId w:val="3"/>
  </w:num>
  <w:num w:numId="11" w16cid:durableId="629433260">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75785"/>
    <o:shapelayout v:ext="edit">
      <o:idmap v:ext="edit" data="74"/>
    </o:shapelayout>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KyNDEzMDYwMLUwMLZQ0lEKTi0uzszPAykwNKoFADx7pIgtAAAA"/>
  </w:docVars>
  <w:rsids>
    <w:rsidRoot w:val="00957F89"/>
    <w:rsid w:val="000033BA"/>
    <w:rsid w:val="00005E52"/>
    <w:rsid w:val="000062C7"/>
    <w:rsid w:val="0000646C"/>
    <w:rsid w:val="00010FB7"/>
    <w:rsid w:val="00013FB7"/>
    <w:rsid w:val="00021650"/>
    <w:rsid w:val="00021966"/>
    <w:rsid w:val="00021AF8"/>
    <w:rsid w:val="0002753A"/>
    <w:rsid w:val="00027679"/>
    <w:rsid w:val="00033109"/>
    <w:rsid w:val="00034A8E"/>
    <w:rsid w:val="00034AF9"/>
    <w:rsid w:val="000433D3"/>
    <w:rsid w:val="00044CE4"/>
    <w:rsid w:val="00046DA3"/>
    <w:rsid w:val="00047711"/>
    <w:rsid w:val="000516AF"/>
    <w:rsid w:val="00054DCE"/>
    <w:rsid w:val="00057626"/>
    <w:rsid w:val="00060321"/>
    <w:rsid w:val="00060C19"/>
    <w:rsid w:val="00062CFB"/>
    <w:rsid w:val="0006401D"/>
    <w:rsid w:val="00070BCD"/>
    <w:rsid w:val="000809EF"/>
    <w:rsid w:val="000819C5"/>
    <w:rsid w:val="00081C11"/>
    <w:rsid w:val="00084C32"/>
    <w:rsid w:val="00086771"/>
    <w:rsid w:val="00093618"/>
    <w:rsid w:val="00097B3B"/>
    <w:rsid w:val="000A21E5"/>
    <w:rsid w:val="000A67F4"/>
    <w:rsid w:val="000A6FAF"/>
    <w:rsid w:val="000B18D9"/>
    <w:rsid w:val="000B324E"/>
    <w:rsid w:val="000B5C01"/>
    <w:rsid w:val="000B6D83"/>
    <w:rsid w:val="000B7C48"/>
    <w:rsid w:val="000D2F12"/>
    <w:rsid w:val="000D7A72"/>
    <w:rsid w:val="000E38BA"/>
    <w:rsid w:val="000F0872"/>
    <w:rsid w:val="000F455B"/>
    <w:rsid w:val="000F5D55"/>
    <w:rsid w:val="000F63AE"/>
    <w:rsid w:val="00105DF8"/>
    <w:rsid w:val="001158B4"/>
    <w:rsid w:val="00115D68"/>
    <w:rsid w:val="0012213F"/>
    <w:rsid w:val="001262A8"/>
    <w:rsid w:val="001265CA"/>
    <w:rsid w:val="00131CA3"/>
    <w:rsid w:val="00137CA1"/>
    <w:rsid w:val="00143E84"/>
    <w:rsid w:val="00154EC7"/>
    <w:rsid w:val="00160E13"/>
    <w:rsid w:val="001653B0"/>
    <w:rsid w:val="001654A4"/>
    <w:rsid w:val="0017076B"/>
    <w:rsid w:val="00173760"/>
    <w:rsid w:val="0018659F"/>
    <w:rsid w:val="0019133B"/>
    <w:rsid w:val="00192B06"/>
    <w:rsid w:val="001A7007"/>
    <w:rsid w:val="001B2D4C"/>
    <w:rsid w:val="001B7E10"/>
    <w:rsid w:val="001C080C"/>
    <w:rsid w:val="001C0F54"/>
    <w:rsid w:val="001C1D8A"/>
    <w:rsid w:val="001C1DC2"/>
    <w:rsid w:val="001C42A5"/>
    <w:rsid w:val="001C7A63"/>
    <w:rsid w:val="001E153F"/>
    <w:rsid w:val="001E1911"/>
    <w:rsid w:val="001E5BB3"/>
    <w:rsid w:val="001E69B5"/>
    <w:rsid w:val="001E75AA"/>
    <w:rsid w:val="001F4ED7"/>
    <w:rsid w:val="001F6A2C"/>
    <w:rsid w:val="00201B17"/>
    <w:rsid w:val="00201EA2"/>
    <w:rsid w:val="00202CBB"/>
    <w:rsid w:val="00202E51"/>
    <w:rsid w:val="00203787"/>
    <w:rsid w:val="00203D0A"/>
    <w:rsid w:val="00205F19"/>
    <w:rsid w:val="002062DC"/>
    <w:rsid w:val="002131A0"/>
    <w:rsid w:val="00216A48"/>
    <w:rsid w:val="00216FCF"/>
    <w:rsid w:val="0022012C"/>
    <w:rsid w:val="002244DB"/>
    <w:rsid w:val="00230B9E"/>
    <w:rsid w:val="0023102E"/>
    <w:rsid w:val="00240CE5"/>
    <w:rsid w:val="002439E8"/>
    <w:rsid w:val="002442A9"/>
    <w:rsid w:val="00245437"/>
    <w:rsid w:val="00252893"/>
    <w:rsid w:val="002530E8"/>
    <w:rsid w:val="002561FC"/>
    <w:rsid w:val="00261981"/>
    <w:rsid w:val="00266FD0"/>
    <w:rsid w:val="0027694B"/>
    <w:rsid w:val="0028530F"/>
    <w:rsid w:val="002938C9"/>
    <w:rsid w:val="002949F6"/>
    <w:rsid w:val="002A183A"/>
    <w:rsid w:val="002A3709"/>
    <w:rsid w:val="002A7BB9"/>
    <w:rsid w:val="002B1A0A"/>
    <w:rsid w:val="002B3334"/>
    <w:rsid w:val="002B3562"/>
    <w:rsid w:val="002C36FB"/>
    <w:rsid w:val="002C4F05"/>
    <w:rsid w:val="002C5A81"/>
    <w:rsid w:val="002D40D6"/>
    <w:rsid w:val="002D58B1"/>
    <w:rsid w:val="002E1849"/>
    <w:rsid w:val="002F27FB"/>
    <w:rsid w:val="002F4B13"/>
    <w:rsid w:val="003008B2"/>
    <w:rsid w:val="00301609"/>
    <w:rsid w:val="0030377B"/>
    <w:rsid w:val="003232DF"/>
    <w:rsid w:val="00330273"/>
    <w:rsid w:val="00337ECE"/>
    <w:rsid w:val="00341344"/>
    <w:rsid w:val="00341CE2"/>
    <w:rsid w:val="0035513C"/>
    <w:rsid w:val="00355CD0"/>
    <w:rsid w:val="00356B8F"/>
    <w:rsid w:val="00361C9C"/>
    <w:rsid w:val="003675AE"/>
    <w:rsid w:val="003730EF"/>
    <w:rsid w:val="003731FB"/>
    <w:rsid w:val="00373523"/>
    <w:rsid w:val="00377B6A"/>
    <w:rsid w:val="003816B2"/>
    <w:rsid w:val="00391C4F"/>
    <w:rsid w:val="003A660B"/>
    <w:rsid w:val="003B79E3"/>
    <w:rsid w:val="003C1DDC"/>
    <w:rsid w:val="003C3D01"/>
    <w:rsid w:val="003C7956"/>
    <w:rsid w:val="003D00F9"/>
    <w:rsid w:val="003D0DA5"/>
    <w:rsid w:val="003D3176"/>
    <w:rsid w:val="003D4C96"/>
    <w:rsid w:val="003E0370"/>
    <w:rsid w:val="003E30F5"/>
    <w:rsid w:val="003F21B2"/>
    <w:rsid w:val="003F364C"/>
    <w:rsid w:val="003F4616"/>
    <w:rsid w:val="003F4FAF"/>
    <w:rsid w:val="003F5C0D"/>
    <w:rsid w:val="00400BC4"/>
    <w:rsid w:val="00400D21"/>
    <w:rsid w:val="00401A7A"/>
    <w:rsid w:val="00401E3B"/>
    <w:rsid w:val="00403DE3"/>
    <w:rsid w:val="00403F9C"/>
    <w:rsid w:val="00422216"/>
    <w:rsid w:val="00423D93"/>
    <w:rsid w:val="00426CB7"/>
    <w:rsid w:val="004325A2"/>
    <w:rsid w:val="00435251"/>
    <w:rsid w:val="004358A9"/>
    <w:rsid w:val="0044312C"/>
    <w:rsid w:val="00444A25"/>
    <w:rsid w:val="004457B1"/>
    <w:rsid w:val="00446029"/>
    <w:rsid w:val="00452B88"/>
    <w:rsid w:val="00452C72"/>
    <w:rsid w:val="00454D4F"/>
    <w:rsid w:val="004566FA"/>
    <w:rsid w:val="00456B59"/>
    <w:rsid w:val="00461043"/>
    <w:rsid w:val="00467844"/>
    <w:rsid w:val="004729DE"/>
    <w:rsid w:val="00475833"/>
    <w:rsid w:val="00475E25"/>
    <w:rsid w:val="00476137"/>
    <w:rsid w:val="00476852"/>
    <w:rsid w:val="004801F9"/>
    <w:rsid w:val="004812C0"/>
    <w:rsid w:val="00483285"/>
    <w:rsid w:val="00483D8A"/>
    <w:rsid w:val="004841AD"/>
    <w:rsid w:val="00494DD6"/>
    <w:rsid w:val="0049576D"/>
    <w:rsid w:val="00496E2A"/>
    <w:rsid w:val="0049749F"/>
    <w:rsid w:val="004A07C1"/>
    <w:rsid w:val="004A7A84"/>
    <w:rsid w:val="004B2C52"/>
    <w:rsid w:val="004B7424"/>
    <w:rsid w:val="004B7BEB"/>
    <w:rsid w:val="004C6408"/>
    <w:rsid w:val="004C71C2"/>
    <w:rsid w:val="004D3A88"/>
    <w:rsid w:val="004D4070"/>
    <w:rsid w:val="004D46D1"/>
    <w:rsid w:val="004D4F6C"/>
    <w:rsid w:val="004D6056"/>
    <w:rsid w:val="004D6E4A"/>
    <w:rsid w:val="004E47C9"/>
    <w:rsid w:val="004E6B58"/>
    <w:rsid w:val="004E7A8C"/>
    <w:rsid w:val="00502015"/>
    <w:rsid w:val="005032C6"/>
    <w:rsid w:val="00512AE9"/>
    <w:rsid w:val="005274A4"/>
    <w:rsid w:val="00532430"/>
    <w:rsid w:val="00532F71"/>
    <w:rsid w:val="00533E67"/>
    <w:rsid w:val="005346C8"/>
    <w:rsid w:val="00534C61"/>
    <w:rsid w:val="00536A5C"/>
    <w:rsid w:val="00542DE9"/>
    <w:rsid w:val="00544578"/>
    <w:rsid w:val="00547D49"/>
    <w:rsid w:val="00557543"/>
    <w:rsid w:val="0056014F"/>
    <w:rsid w:val="00560A07"/>
    <w:rsid w:val="005656EF"/>
    <w:rsid w:val="005658D8"/>
    <w:rsid w:val="005746A3"/>
    <w:rsid w:val="0057585B"/>
    <w:rsid w:val="005811C4"/>
    <w:rsid w:val="00581AD6"/>
    <w:rsid w:val="00582AAF"/>
    <w:rsid w:val="0058353A"/>
    <w:rsid w:val="00585E69"/>
    <w:rsid w:val="00586E83"/>
    <w:rsid w:val="00591606"/>
    <w:rsid w:val="00592902"/>
    <w:rsid w:val="00595A65"/>
    <w:rsid w:val="00597B5F"/>
    <w:rsid w:val="005A19E6"/>
    <w:rsid w:val="005A42FC"/>
    <w:rsid w:val="005A4B55"/>
    <w:rsid w:val="005A7463"/>
    <w:rsid w:val="005A7740"/>
    <w:rsid w:val="005B1EC0"/>
    <w:rsid w:val="005C6BC3"/>
    <w:rsid w:val="005D3932"/>
    <w:rsid w:val="005D3AF9"/>
    <w:rsid w:val="005D5C67"/>
    <w:rsid w:val="005E269D"/>
    <w:rsid w:val="005E36B9"/>
    <w:rsid w:val="005E7AF2"/>
    <w:rsid w:val="005F11A1"/>
    <w:rsid w:val="005F138E"/>
    <w:rsid w:val="005F424C"/>
    <w:rsid w:val="005F6CE7"/>
    <w:rsid w:val="005F72EF"/>
    <w:rsid w:val="00600016"/>
    <w:rsid w:val="00600A5C"/>
    <w:rsid w:val="00604685"/>
    <w:rsid w:val="0061325D"/>
    <w:rsid w:val="00613C0D"/>
    <w:rsid w:val="00622015"/>
    <w:rsid w:val="00625E37"/>
    <w:rsid w:val="0063101E"/>
    <w:rsid w:val="00631644"/>
    <w:rsid w:val="00631CDE"/>
    <w:rsid w:val="00632EC0"/>
    <w:rsid w:val="00634101"/>
    <w:rsid w:val="00641185"/>
    <w:rsid w:val="00644FC3"/>
    <w:rsid w:val="00647746"/>
    <w:rsid w:val="00650CAE"/>
    <w:rsid w:val="0065145C"/>
    <w:rsid w:val="00652AFD"/>
    <w:rsid w:val="00653849"/>
    <w:rsid w:val="00653F35"/>
    <w:rsid w:val="006555E4"/>
    <w:rsid w:val="00656470"/>
    <w:rsid w:val="0066168B"/>
    <w:rsid w:val="0066698E"/>
    <w:rsid w:val="006671F6"/>
    <w:rsid w:val="00670112"/>
    <w:rsid w:val="00683848"/>
    <w:rsid w:val="00690B77"/>
    <w:rsid w:val="00692B6E"/>
    <w:rsid w:val="00693531"/>
    <w:rsid w:val="0069360A"/>
    <w:rsid w:val="00694C33"/>
    <w:rsid w:val="006951E3"/>
    <w:rsid w:val="00696054"/>
    <w:rsid w:val="006A2B21"/>
    <w:rsid w:val="006A7FD0"/>
    <w:rsid w:val="006B5FA0"/>
    <w:rsid w:val="006B7231"/>
    <w:rsid w:val="006C0826"/>
    <w:rsid w:val="006D1028"/>
    <w:rsid w:val="006E22CC"/>
    <w:rsid w:val="006E287E"/>
    <w:rsid w:val="006E30DA"/>
    <w:rsid w:val="006E30F3"/>
    <w:rsid w:val="006E42B5"/>
    <w:rsid w:val="006E4E54"/>
    <w:rsid w:val="006E6577"/>
    <w:rsid w:val="006F17F3"/>
    <w:rsid w:val="006F2634"/>
    <w:rsid w:val="006F3BC5"/>
    <w:rsid w:val="00702FD0"/>
    <w:rsid w:val="007121BD"/>
    <w:rsid w:val="00712E4E"/>
    <w:rsid w:val="00717088"/>
    <w:rsid w:val="0072429F"/>
    <w:rsid w:val="007244E4"/>
    <w:rsid w:val="007306A5"/>
    <w:rsid w:val="00733B85"/>
    <w:rsid w:val="00734F03"/>
    <w:rsid w:val="0073795C"/>
    <w:rsid w:val="00747A01"/>
    <w:rsid w:val="00752B33"/>
    <w:rsid w:val="0076067A"/>
    <w:rsid w:val="007625F4"/>
    <w:rsid w:val="007668DF"/>
    <w:rsid w:val="007769D0"/>
    <w:rsid w:val="00776C96"/>
    <w:rsid w:val="00781553"/>
    <w:rsid w:val="0078540C"/>
    <w:rsid w:val="00790A8F"/>
    <w:rsid w:val="00794B51"/>
    <w:rsid w:val="007A36C0"/>
    <w:rsid w:val="007A3F4D"/>
    <w:rsid w:val="007A63B7"/>
    <w:rsid w:val="007B01FA"/>
    <w:rsid w:val="007B2243"/>
    <w:rsid w:val="007B3041"/>
    <w:rsid w:val="007D1FE0"/>
    <w:rsid w:val="007E195F"/>
    <w:rsid w:val="007E444D"/>
    <w:rsid w:val="007E5DB2"/>
    <w:rsid w:val="007F001B"/>
    <w:rsid w:val="007F075D"/>
    <w:rsid w:val="007F4304"/>
    <w:rsid w:val="008018AA"/>
    <w:rsid w:val="008130E7"/>
    <w:rsid w:val="0081396D"/>
    <w:rsid w:val="00813977"/>
    <w:rsid w:val="008174F7"/>
    <w:rsid w:val="008265DD"/>
    <w:rsid w:val="0083148C"/>
    <w:rsid w:val="00834F31"/>
    <w:rsid w:val="008401FD"/>
    <w:rsid w:val="0084032E"/>
    <w:rsid w:val="00840F18"/>
    <w:rsid w:val="0084619E"/>
    <w:rsid w:val="00853206"/>
    <w:rsid w:val="00860C0E"/>
    <w:rsid w:val="00861F14"/>
    <w:rsid w:val="008621F1"/>
    <w:rsid w:val="00862B85"/>
    <w:rsid w:val="00862F20"/>
    <w:rsid w:val="00864C18"/>
    <w:rsid w:val="00870EAC"/>
    <w:rsid w:val="00873272"/>
    <w:rsid w:val="0087360C"/>
    <w:rsid w:val="00874C4F"/>
    <w:rsid w:val="00875A5C"/>
    <w:rsid w:val="0087772C"/>
    <w:rsid w:val="008857AB"/>
    <w:rsid w:val="008871CD"/>
    <w:rsid w:val="00887420"/>
    <w:rsid w:val="00893561"/>
    <w:rsid w:val="00894432"/>
    <w:rsid w:val="00894DCF"/>
    <w:rsid w:val="00897F0F"/>
    <w:rsid w:val="008A1962"/>
    <w:rsid w:val="008A220A"/>
    <w:rsid w:val="008A3DEC"/>
    <w:rsid w:val="008A5BBE"/>
    <w:rsid w:val="008B6F3E"/>
    <w:rsid w:val="008C15C2"/>
    <w:rsid w:val="008C34ED"/>
    <w:rsid w:val="008C49AB"/>
    <w:rsid w:val="008C5444"/>
    <w:rsid w:val="008C609E"/>
    <w:rsid w:val="008C6521"/>
    <w:rsid w:val="008C7FB3"/>
    <w:rsid w:val="008D0E52"/>
    <w:rsid w:val="008D0FDA"/>
    <w:rsid w:val="008D57ED"/>
    <w:rsid w:val="008D67FC"/>
    <w:rsid w:val="008E2954"/>
    <w:rsid w:val="008E6BDC"/>
    <w:rsid w:val="008F0D3D"/>
    <w:rsid w:val="008F51E4"/>
    <w:rsid w:val="008F5213"/>
    <w:rsid w:val="008F6736"/>
    <w:rsid w:val="00902573"/>
    <w:rsid w:val="009026B3"/>
    <w:rsid w:val="009033A8"/>
    <w:rsid w:val="0091460A"/>
    <w:rsid w:val="009161B8"/>
    <w:rsid w:val="0091772D"/>
    <w:rsid w:val="009223F8"/>
    <w:rsid w:val="009270C7"/>
    <w:rsid w:val="00934740"/>
    <w:rsid w:val="009355A1"/>
    <w:rsid w:val="0093700E"/>
    <w:rsid w:val="009409FD"/>
    <w:rsid w:val="009443AA"/>
    <w:rsid w:val="00951D3E"/>
    <w:rsid w:val="00955B21"/>
    <w:rsid w:val="00957F89"/>
    <w:rsid w:val="009617CD"/>
    <w:rsid w:val="00961F79"/>
    <w:rsid w:val="00966692"/>
    <w:rsid w:val="00970C68"/>
    <w:rsid w:val="009723EE"/>
    <w:rsid w:val="0097412E"/>
    <w:rsid w:val="00980B07"/>
    <w:rsid w:val="00981472"/>
    <w:rsid w:val="00983219"/>
    <w:rsid w:val="009926AA"/>
    <w:rsid w:val="009927A8"/>
    <w:rsid w:val="00992F3E"/>
    <w:rsid w:val="0099381E"/>
    <w:rsid w:val="00993865"/>
    <w:rsid w:val="009949F7"/>
    <w:rsid w:val="00995682"/>
    <w:rsid w:val="00995AB4"/>
    <w:rsid w:val="00996230"/>
    <w:rsid w:val="009A553C"/>
    <w:rsid w:val="009B183C"/>
    <w:rsid w:val="009B43A3"/>
    <w:rsid w:val="009B49CC"/>
    <w:rsid w:val="009B6A70"/>
    <w:rsid w:val="009C238C"/>
    <w:rsid w:val="009C5E0A"/>
    <w:rsid w:val="009C648A"/>
    <w:rsid w:val="009D18C5"/>
    <w:rsid w:val="009D220C"/>
    <w:rsid w:val="009D30BE"/>
    <w:rsid w:val="009D34D0"/>
    <w:rsid w:val="009D47CA"/>
    <w:rsid w:val="009D64B2"/>
    <w:rsid w:val="009D7F81"/>
    <w:rsid w:val="009E14F8"/>
    <w:rsid w:val="009F3EE0"/>
    <w:rsid w:val="009F4D5E"/>
    <w:rsid w:val="009F5F26"/>
    <w:rsid w:val="009F6A3A"/>
    <w:rsid w:val="00A0349F"/>
    <w:rsid w:val="00A05C81"/>
    <w:rsid w:val="00A100B6"/>
    <w:rsid w:val="00A1182E"/>
    <w:rsid w:val="00A179DA"/>
    <w:rsid w:val="00A21182"/>
    <w:rsid w:val="00A2250E"/>
    <w:rsid w:val="00A3050F"/>
    <w:rsid w:val="00A35DB7"/>
    <w:rsid w:val="00A36C6D"/>
    <w:rsid w:val="00A424CE"/>
    <w:rsid w:val="00A50275"/>
    <w:rsid w:val="00A52177"/>
    <w:rsid w:val="00A575CC"/>
    <w:rsid w:val="00A600F7"/>
    <w:rsid w:val="00A602A5"/>
    <w:rsid w:val="00A70DB2"/>
    <w:rsid w:val="00A7241B"/>
    <w:rsid w:val="00A74506"/>
    <w:rsid w:val="00A75524"/>
    <w:rsid w:val="00A7645F"/>
    <w:rsid w:val="00A80821"/>
    <w:rsid w:val="00A86E78"/>
    <w:rsid w:val="00A87C8C"/>
    <w:rsid w:val="00AA2CB1"/>
    <w:rsid w:val="00AA3A6A"/>
    <w:rsid w:val="00AA7B76"/>
    <w:rsid w:val="00AD043C"/>
    <w:rsid w:val="00AD0DDE"/>
    <w:rsid w:val="00AD5846"/>
    <w:rsid w:val="00AD5C1E"/>
    <w:rsid w:val="00AE0E43"/>
    <w:rsid w:val="00AE6106"/>
    <w:rsid w:val="00AF0001"/>
    <w:rsid w:val="00AF210E"/>
    <w:rsid w:val="00AF3F78"/>
    <w:rsid w:val="00AF73A9"/>
    <w:rsid w:val="00B02AEB"/>
    <w:rsid w:val="00B101B3"/>
    <w:rsid w:val="00B122EE"/>
    <w:rsid w:val="00B13BFF"/>
    <w:rsid w:val="00B263AB"/>
    <w:rsid w:val="00B42342"/>
    <w:rsid w:val="00B43F9A"/>
    <w:rsid w:val="00B54B3A"/>
    <w:rsid w:val="00B57BAF"/>
    <w:rsid w:val="00B62983"/>
    <w:rsid w:val="00B6436C"/>
    <w:rsid w:val="00B64F8F"/>
    <w:rsid w:val="00B658AD"/>
    <w:rsid w:val="00B70078"/>
    <w:rsid w:val="00B76B8D"/>
    <w:rsid w:val="00B90474"/>
    <w:rsid w:val="00B932EA"/>
    <w:rsid w:val="00B935C4"/>
    <w:rsid w:val="00B9598C"/>
    <w:rsid w:val="00BA112C"/>
    <w:rsid w:val="00BA549F"/>
    <w:rsid w:val="00BB1E54"/>
    <w:rsid w:val="00BB522B"/>
    <w:rsid w:val="00BC1777"/>
    <w:rsid w:val="00BD1FDF"/>
    <w:rsid w:val="00BE2ABD"/>
    <w:rsid w:val="00BE2AEF"/>
    <w:rsid w:val="00BE651D"/>
    <w:rsid w:val="00BF0009"/>
    <w:rsid w:val="00BF0C46"/>
    <w:rsid w:val="00BF279B"/>
    <w:rsid w:val="00BF2A1E"/>
    <w:rsid w:val="00C01405"/>
    <w:rsid w:val="00C0515D"/>
    <w:rsid w:val="00C0640E"/>
    <w:rsid w:val="00C161B2"/>
    <w:rsid w:val="00C17516"/>
    <w:rsid w:val="00C2280A"/>
    <w:rsid w:val="00C25857"/>
    <w:rsid w:val="00C273FB"/>
    <w:rsid w:val="00C3551D"/>
    <w:rsid w:val="00C4185F"/>
    <w:rsid w:val="00C527E5"/>
    <w:rsid w:val="00C570DE"/>
    <w:rsid w:val="00C627EB"/>
    <w:rsid w:val="00C63FD4"/>
    <w:rsid w:val="00C64C99"/>
    <w:rsid w:val="00C71D9A"/>
    <w:rsid w:val="00C72B6A"/>
    <w:rsid w:val="00C73849"/>
    <w:rsid w:val="00C76A6C"/>
    <w:rsid w:val="00C86F89"/>
    <w:rsid w:val="00C90437"/>
    <w:rsid w:val="00C93996"/>
    <w:rsid w:val="00C9507B"/>
    <w:rsid w:val="00CA0C38"/>
    <w:rsid w:val="00CA7E6C"/>
    <w:rsid w:val="00CB09FE"/>
    <w:rsid w:val="00CB7042"/>
    <w:rsid w:val="00CC52EB"/>
    <w:rsid w:val="00CC597F"/>
    <w:rsid w:val="00CC7DF9"/>
    <w:rsid w:val="00CD5918"/>
    <w:rsid w:val="00CD642B"/>
    <w:rsid w:val="00CE07B3"/>
    <w:rsid w:val="00CE0A09"/>
    <w:rsid w:val="00CE1E99"/>
    <w:rsid w:val="00CE5E5A"/>
    <w:rsid w:val="00CF1C4D"/>
    <w:rsid w:val="00CF2AD8"/>
    <w:rsid w:val="00CF5EFE"/>
    <w:rsid w:val="00CF7AC2"/>
    <w:rsid w:val="00CF7C90"/>
    <w:rsid w:val="00D06951"/>
    <w:rsid w:val="00D1695B"/>
    <w:rsid w:val="00D27691"/>
    <w:rsid w:val="00D30E5A"/>
    <w:rsid w:val="00D35970"/>
    <w:rsid w:val="00D42758"/>
    <w:rsid w:val="00D4757C"/>
    <w:rsid w:val="00D479F3"/>
    <w:rsid w:val="00D52AAE"/>
    <w:rsid w:val="00D533F1"/>
    <w:rsid w:val="00D559D1"/>
    <w:rsid w:val="00D56947"/>
    <w:rsid w:val="00D57BA2"/>
    <w:rsid w:val="00D701F3"/>
    <w:rsid w:val="00D75689"/>
    <w:rsid w:val="00D80715"/>
    <w:rsid w:val="00D843D9"/>
    <w:rsid w:val="00D849D3"/>
    <w:rsid w:val="00D86A9A"/>
    <w:rsid w:val="00D90DAF"/>
    <w:rsid w:val="00D91E9D"/>
    <w:rsid w:val="00D92D87"/>
    <w:rsid w:val="00DA01B2"/>
    <w:rsid w:val="00DA13E4"/>
    <w:rsid w:val="00DA3A5C"/>
    <w:rsid w:val="00DA4E2B"/>
    <w:rsid w:val="00DA51A1"/>
    <w:rsid w:val="00DA5361"/>
    <w:rsid w:val="00DA5F23"/>
    <w:rsid w:val="00DB1A95"/>
    <w:rsid w:val="00DB558F"/>
    <w:rsid w:val="00DB63FB"/>
    <w:rsid w:val="00DC0FCB"/>
    <w:rsid w:val="00DC1038"/>
    <w:rsid w:val="00DC222D"/>
    <w:rsid w:val="00DC226E"/>
    <w:rsid w:val="00DC371A"/>
    <w:rsid w:val="00DC3DF1"/>
    <w:rsid w:val="00DC56DA"/>
    <w:rsid w:val="00DC74EE"/>
    <w:rsid w:val="00DD0B05"/>
    <w:rsid w:val="00DD11A2"/>
    <w:rsid w:val="00DD2D09"/>
    <w:rsid w:val="00DD3CDA"/>
    <w:rsid w:val="00DD48C0"/>
    <w:rsid w:val="00DD4E2C"/>
    <w:rsid w:val="00DE40D1"/>
    <w:rsid w:val="00DF2891"/>
    <w:rsid w:val="00DF351C"/>
    <w:rsid w:val="00DF3F58"/>
    <w:rsid w:val="00DF51F6"/>
    <w:rsid w:val="00DF5FD5"/>
    <w:rsid w:val="00DF76EE"/>
    <w:rsid w:val="00E0523F"/>
    <w:rsid w:val="00E05E5C"/>
    <w:rsid w:val="00E0724C"/>
    <w:rsid w:val="00E134D0"/>
    <w:rsid w:val="00E14290"/>
    <w:rsid w:val="00E203E3"/>
    <w:rsid w:val="00E31F5E"/>
    <w:rsid w:val="00E329A5"/>
    <w:rsid w:val="00E32EEF"/>
    <w:rsid w:val="00E32FDC"/>
    <w:rsid w:val="00E51AF8"/>
    <w:rsid w:val="00E53F2E"/>
    <w:rsid w:val="00E5512E"/>
    <w:rsid w:val="00E55550"/>
    <w:rsid w:val="00E55B59"/>
    <w:rsid w:val="00E63961"/>
    <w:rsid w:val="00E7490B"/>
    <w:rsid w:val="00E806C4"/>
    <w:rsid w:val="00E80AE9"/>
    <w:rsid w:val="00E81A7F"/>
    <w:rsid w:val="00E834B5"/>
    <w:rsid w:val="00E8363B"/>
    <w:rsid w:val="00E878A6"/>
    <w:rsid w:val="00E9284E"/>
    <w:rsid w:val="00EA2B8E"/>
    <w:rsid w:val="00EA78D4"/>
    <w:rsid w:val="00EC3692"/>
    <w:rsid w:val="00EC6C69"/>
    <w:rsid w:val="00ED257F"/>
    <w:rsid w:val="00ED59DD"/>
    <w:rsid w:val="00ED5F9B"/>
    <w:rsid w:val="00ED61A2"/>
    <w:rsid w:val="00EE024A"/>
    <w:rsid w:val="00EE0AAB"/>
    <w:rsid w:val="00EE3290"/>
    <w:rsid w:val="00EE333F"/>
    <w:rsid w:val="00EF71CF"/>
    <w:rsid w:val="00F03F2A"/>
    <w:rsid w:val="00F04196"/>
    <w:rsid w:val="00F06CFC"/>
    <w:rsid w:val="00F10713"/>
    <w:rsid w:val="00F17838"/>
    <w:rsid w:val="00F20AF0"/>
    <w:rsid w:val="00F20B04"/>
    <w:rsid w:val="00F20BDB"/>
    <w:rsid w:val="00F24BF9"/>
    <w:rsid w:val="00F2549C"/>
    <w:rsid w:val="00F36D04"/>
    <w:rsid w:val="00F403D0"/>
    <w:rsid w:val="00F43E28"/>
    <w:rsid w:val="00F501D9"/>
    <w:rsid w:val="00F55F89"/>
    <w:rsid w:val="00F57B26"/>
    <w:rsid w:val="00F60ACC"/>
    <w:rsid w:val="00F61776"/>
    <w:rsid w:val="00F670E8"/>
    <w:rsid w:val="00F70C2E"/>
    <w:rsid w:val="00F74210"/>
    <w:rsid w:val="00F80129"/>
    <w:rsid w:val="00F82C28"/>
    <w:rsid w:val="00F855D0"/>
    <w:rsid w:val="00F94EE8"/>
    <w:rsid w:val="00F97F96"/>
    <w:rsid w:val="00FA0C4F"/>
    <w:rsid w:val="00FA3B52"/>
    <w:rsid w:val="00FB1A06"/>
    <w:rsid w:val="00FB4297"/>
    <w:rsid w:val="00FB6BBF"/>
    <w:rsid w:val="00FC26BE"/>
    <w:rsid w:val="00FC4AC3"/>
    <w:rsid w:val="00FD0D8A"/>
    <w:rsid w:val="00FD3FC0"/>
    <w:rsid w:val="00FD4E71"/>
    <w:rsid w:val="00FE1585"/>
    <w:rsid w:val="00FF6344"/>
    <w:rsid w:val="00FF723E"/>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85"/>
    <o:shapelayout v:ext="edit">
      <o:idmap v:ext="edit" data="1"/>
    </o:shapelayout>
  </w:shapeDefaults>
  <w:decimalSymbol w:val="."/>
  <w:listSeparator w:val=","/>
  <w14:docId w14:val="65373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uiPriority w:val="1"/>
    <w:qFormat/>
    <w:rsid w:val="008D57ED"/>
  </w:style>
  <w:style w:type="paragraph" w:styleId="Heading1">
    <w:name w:val="heading 1"/>
    <w:basedOn w:val="Normal"/>
    <w:uiPriority w:val="1"/>
    <w:qFormat/>
    <w:rsid w:val="004A7A84"/>
    <w:pPr>
      <w:numPr>
        <w:numId w:val="7"/>
      </w:numPr>
      <w:outlineLvl w:val="0"/>
    </w:pPr>
    <w:rPr>
      <w:rFonts w:ascii="Times New Roman" w:eastAsia="Times New Roman" w:hAnsi="Times New Roman"/>
      <w:b/>
      <w:bCs/>
      <w:sz w:val="24"/>
      <w:szCs w:val="24"/>
    </w:rPr>
  </w:style>
  <w:style w:type="paragraph" w:styleId="Heading2">
    <w:name w:val="heading 2"/>
    <w:basedOn w:val="Normal"/>
    <w:next w:val="Normal"/>
    <w:link w:val="Heading2Char"/>
    <w:uiPriority w:val="9"/>
    <w:unhideWhenUsed/>
    <w:qFormat/>
    <w:rsid w:val="0004771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617CD"/>
    <w:pPr>
      <w:keepNext/>
      <w:keepLines/>
      <w:spacing w:before="200"/>
      <w:ind w:left="1440" w:hanging="1440"/>
      <w:outlineLvl w:val="2"/>
    </w:pPr>
    <w:rPr>
      <w:rFonts w:asciiTheme="majorHAnsi" w:eastAsiaTheme="majorEastAsia" w:hAnsiTheme="majorHAnsi" w:cstheme="majorBidi"/>
      <w:b/>
      <w:bCs/>
      <w:color w:val="4F81BD" w:themeColor="accent1"/>
      <w:sz w:val="24"/>
    </w:rPr>
  </w:style>
  <w:style w:type="paragraph" w:styleId="Heading4">
    <w:name w:val="heading 4"/>
    <w:basedOn w:val="Normal"/>
    <w:next w:val="Normal"/>
    <w:link w:val="Heading4Char"/>
    <w:uiPriority w:val="9"/>
    <w:unhideWhenUsed/>
    <w:qFormat/>
    <w:rsid w:val="00C527E5"/>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5D3932"/>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4771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617CD"/>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rsid w:val="00C527E5"/>
    <w:rPr>
      <w:rFonts w:asciiTheme="majorHAnsi" w:eastAsiaTheme="majorEastAsia" w:hAnsiTheme="majorHAnsi" w:cstheme="majorBidi"/>
      <w:i/>
      <w:iCs/>
      <w:color w:val="365F91" w:themeColor="accent1" w:themeShade="BF"/>
    </w:rPr>
  </w:style>
  <w:style w:type="paragraph" w:styleId="TOC1">
    <w:name w:val="toc 1"/>
    <w:basedOn w:val="Normal"/>
    <w:uiPriority w:val="39"/>
    <w:qFormat/>
    <w:rsid w:val="0065145C"/>
    <w:pPr>
      <w:spacing w:before="120"/>
    </w:pPr>
    <w:rPr>
      <w:rFonts w:cstheme="minorHAnsi"/>
      <w:b/>
      <w:bCs/>
      <w:i/>
      <w:iCs/>
      <w:sz w:val="24"/>
      <w:szCs w:val="24"/>
    </w:rPr>
  </w:style>
  <w:style w:type="paragraph" w:styleId="TOC2">
    <w:name w:val="toc 2"/>
    <w:basedOn w:val="Normal"/>
    <w:uiPriority w:val="39"/>
    <w:qFormat/>
    <w:rsid w:val="0065145C"/>
    <w:pPr>
      <w:spacing w:before="120"/>
      <w:ind w:left="220"/>
    </w:pPr>
    <w:rPr>
      <w:rFonts w:cstheme="minorHAnsi"/>
      <w:b/>
      <w:bCs/>
    </w:rPr>
  </w:style>
  <w:style w:type="paragraph" w:styleId="BodyText">
    <w:name w:val="Body Text"/>
    <w:basedOn w:val="Normal"/>
    <w:link w:val="BodyTextChar"/>
    <w:uiPriority w:val="1"/>
    <w:qFormat/>
    <w:rsid w:val="00B90474"/>
    <w:rPr>
      <w:rFonts w:eastAsia="Times New Roman"/>
      <w:szCs w:val="24"/>
    </w:rPr>
  </w:style>
  <w:style w:type="paragraph" w:styleId="ListParagraph">
    <w:name w:val="List Paragraph"/>
    <w:basedOn w:val="Normal"/>
    <w:uiPriority w:val="1"/>
    <w:qFormat/>
    <w:rsid w:val="0065145C"/>
  </w:style>
  <w:style w:type="paragraph" w:customStyle="1" w:styleId="TableParagraph">
    <w:name w:val="Table Paragraph"/>
    <w:basedOn w:val="Normal"/>
    <w:uiPriority w:val="1"/>
    <w:qFormat/>
    <w:rsid w:val="0065145C"/>
  </w:style>
  <w:style w:type="paragraph" w:styleId="BalloonText">
    <w:name w:val="Balloon Text"/>
    <w:basedOn w:val="Normal"/>
    <w:link w:val="BalloonTextChar"/>
    <w:uiPriority w:val="99"/>
    <w:semiHidden/>
    <w:unhideWhenUsed/>
    <w:rsid w:val="00D92D87"/>
    <w:rPr>
      <w:rFonts w:ascii="Tahoma" w:hAnsi="Tahoma" w:cs="Tahoma"/>
      <w:sz w:val="16"/>
      <w:szCs w:val="16"/>
    </w:rPr>
  </w:style>
  <w:style w:type="character" w:customStyle="1" w:styleId="BalloonTextChar">
    <w:name w:val="Balloon Text Char"/>
    <w:basedOn w:val="DefaultParagraphFont"/>
    <w:link w:val="BalloonText"/>
    <w:uiPriority w:val="99"/>
    <w:semiHidden/>
    <w:rsid w:val="00D92D87"/>
    <w:rPr>
      <w:rFonts w:ascii="Tahoma" w:hAnsi="Tahoma" w:cs="Tahoma"/>
      <w:sz w:val="16"/>
      <w:szCs w:val="16"/>
    </w:rPr>
  </w:style>
  <w:style w:type="paragraph" w:styleId="Header">
    <w:name w:val="header"/>
    <w:basedOn w:val="Normal"/>
    <w:link w:val="HeaderChar"/>
    <w:uiPriority w:val="99"/>
    <w:unhideWhenUsed/>
    <w:rsid w:val="0073795C"/>
    <w:pPr>
      <w:tabs>
        <w:tab w:val="center" w:pos="4680"/>
        <w:tab w:val="right" w:pos="9360"/>
      </w:tabs>
      <w:jc w:val="center"/>
    </w:pPr>
    <w:rPr>
      <w:sz w:val="28"/>
    </w:rPr>
  </w:style>
  <w:style w:type="character" w:customStyle="1" w:styleId="HeaderChar">
    <w:name w:val="Header Char"/>
    <w:basedOn w:val="DefaultParagraphFont"/>
    <w:link w:val="Header"/>
    <w:uiPriority w:val="99"/>
    <w:rsid w:val="0073795C"/>
    <w:rPr>
      <w:sz w:val="28"/>
    </w:rPr>
  </w:style>
  <w:style w:type="paragraph" w:styleId="Footer">
    <w:name w:val="footer"/>
    <w:basedOn w:val="Normal"/>
    <w:link w:val="FooterChar"/>
    <w:uiPriority w:val="99"/>
    <w:unhideWhenUsed/>
    <w:rsid w:val="00245437"/>
    <w:pPr>
      <w:tabs>
        <w:tab w:val="center" w:pos="4680"/>
        <w:tab w:val="right" w:pos="9360"/>
      </w:tabs>
    </w:pPr>
  </w:style>
  <w:style w:type="character" w:customStyle="1" w:styleId="FooterChar">
    <w:name w:val="Footer Char"/>
    <w:basedOn w:val="DefaultParagraphFont"/>
    <w:link w:val="Footer"/>
    <w:uiPriority w:val="99"/>
    <w:rsid w:val="00245437"/>
  </w:style>
  <w:style w:type="paragraph" w:styleId="TOC3">
    <w:name w:val="toc 3"/>
    <w:basedOn w:val="Normal"/>
    <w:next w:val="Normal"/>
    <w:autoRedefine/>
    <w:uiPriority w:val="39"/>
    <w:unhideWhenUsed/>
    <w:rsid w:val="000A6FAF"/>
    <w:pPr>
      <w:tabs>
        <w:tab w:val="left" w:pos="900"/>
        <w:tab w:val="left" w:pos="1260"/>
        <w:tab w:val="right" w:leader="underscore" w:pos="9019"/>
      </w:tabs>
      <w:ind w:left="440"/>
    </w:pPr>
    <w:rPr>
      <w:rFonts w:cstheme="minorHAnsi"/>
      <w:sz w:val="20"/>
      <w:szCs w:val="20"/>
    </w:rPr>
  </w:style>
  <w:style w:type="character" w:styleId="Hyperlink">
    <w:name w:val="Hyperlink"/>
    <w:basedOn w:val="DefaultParagraphFont"/>
    <w:uiPriority w:val="99"/>
    <w:unhideWhenUsed/>
    <w:rsid w:val="0058353A"/>
    <w:rPr>
      <w:color w:val="0000FF" w:themeColor="hyperlink"/>
      <w:u w:val="single"/>
    </w:rPr>
  </w:style>
  <w:style w:type="character" w:styleId="CommentReference">
    <w:name w:val="annotation reference"/>
    <w:basedOn w:val="DefaultParagraphFont"/>
    <w:uiPriority w:val="99"/>
    <w:unhideWhenUsed/>
    <w:rsid w:val="000F455B"/>
    <w:rPr>
      <w:sz w:val="16"/>
      <w:szCs w:val="16"/>
    </w:rPr>
  </w:style>
  <w:style w:type="paragraph" w:styleId="CommentText">
    <w:name w:val="annotation text"/>
    <w:basedOn w:val="Normal"/>
    <w:link w:val="CommentTextChar"/>
    <w:uiPriority w:val="99"/>
    <w:unhideWhenUsed/>
    <w:rsid w:val="000F455B"/>
    <w:rPr>
      <w:sz w:val="20"/>
      <w:szCs w:val="20"/>
    </w:rPr>
  </w:style>
  <w:style w:type="character" w:customStyle="1" w:styleId="CommentTextChar">
    <w:name w:val="Comment Text Char"/>
    <w:basedOn w:val="DefaultParagraphFont"/>
    <w:link w:val="CommentText"/>
    <w:uiPriority w:val="99"/>
    <w:rsid w:val="000F455B"/>
    <w:rPr>
      <w:sz w:val="20"/>
      <w:szCs w:val="20"/>
    </w:rPr>
  </w:style>
  <w:style w:type="paragraph" w:styleId="CommentSubject">
    <w:name w:val="annotation subject"/>
    <w:basedOn w:val="CommentText"/>
    <w:next w:val="CommentText"/>
    <w:link w:val="CommentSubjectChar"/>
    <w:uiPriority w:val="99"/>
    <w:semiHidden/>
    <w:unhideWhenUsed/>
    <w:rsid w:val="000F455B"/>
    <w:rPr>
      <w:b/>
      <w:bCs/>
    </w:rPr>
  </w:style>
  <w:style w:type="character" w:customStyle="1" w:styleId="CommentSubjectChar">
    <w:name w:val="Comment Subject Char"/>
    <w:basedOn w:val="CommentTextChar"/>
    <w:link w:val="CommentSubject"/>
    <w:uiPriority w:val="99"/>
    <w:semiHidden/>
    <w:rsid w:val="000F455B"/>
    <w:rPr>
      <w:b/>
      <w:bCs/>
      <w:sz w:val="20"/>
      <w:szCs w:val="20"/>
    </w:rPr>
  </w:style>
  <w:style w:type="paragraph" w:styleId="Revision">
    <w:name w:val="Revision"/>
    <w:hidden/>
    <w:uiPriority w:val="99"/>
    <w:semiHidden/>
    <w:rsid w:val="002131A0"/>
    <w:pPr>
      <w:widowControl/>
    </w:pPr>
  </w:style>
  <w:style w:type="character" w:customStyle="1" w:styleId="Heading5Char">
    <w:name w:val="Heading 5 Char"/>
    <w:basedOn w:val="DefaultParagraphFont"/>
    <w:link w:val="Heading5"/>
    <w:uiPriority w:val="9"/>
    <w:rsid w:val="005D3932"/>
    <w:rPr>
      <w:rFonts w:asciiTheme="majorHAnsi" w:eastAsiaTheme="majorEastAsia" w:hAnsiTheme="majorHAnsi" w:cstheme="majorBidi"/>
      <w:color w:val="365F91" w:themeColor="accent1" w:themeShade="BF"/>
    </w:rPr>
  </w:style>
  <w:style w:type="paragraph" w:styleId="NormalWeb">
    <w:name w:val="Normal (Web)"/>
    <w:basedOn w:val="Normal"/>
    <w:uiPriority w:val="99"/>
    <w:unhideWhenUsed/>
    <w:rsid w:val="00160E13"/>
    <w:pPr>
      <w:widowControl/>
      <w:spacing w:before="180" w:after="180" w:line="336" w:lineRule="atLeast"/>
    </w:pPr>
    <w:rPr>
      <w:rFonts w:ascii="Arial" w:eastAsia="Times New Roman" w:hAnsi="Arial" w:cs="Arial"/>
      <w:sz w:val="21"/>
      <w:szCs w:val="21"/>
    </w:rPr>
  </w:style>
  <w:style w:type="character" w:customStyle="1" w:styleId="tgc">
    <w:name w:val="_tgc"/>
    <w:rsid w:val="00160E13"/>
  </w:style>
  <w:style w:type="character" w:customStyle="1" w:styleId="li-content">
    <w:name w:val="li-content"/>
    <w:rsid w:val="00160E13"/>
    <w:rPr>
      <w:color w:val="000000"/>
    </w:rPr>
  </w:style>
  <w:style w:type="character" w:styleId="Emphasis">
    <w:name w:val="Emphasis"/>
    <w:basedOn w:val="DefaultParagraphFont"/>
    <w:uiPriority w:val="20"/>
    <w:qFormat/>
    <w:rsid w:val="00261981"/>
    <w:rPr>
      <w:i/>
      <w:iCs/>
    </w:rPr>
  </w:style>
  <w:style w:type="paragraph" w:styleId="TOC4">
    <w:name w:val="toc 4"/>
    <w:basedOn w:val="Normal"/>
    <w:next w:val="Normal"/>
    <w:autoRedefine/>
    <w:uiPriority w:val="39"/>
    <w:unhideWhenUsed/>
    <w:rsid w:val="00650CAE"/>
    <w:pPr>
      <w:ind w:left="660"/>
    </w:pPr>
    <w:rPr>
      <w:rFonts w:cstheme="minorHAnsi"/>
      <w:sz w:val="20"/>
      <w:szCs w:val="20"/>
    </w:rPr>
  </w:style>
  <w:style w:type="paragraph" w:styleId="TOC5">
    <w:name w:val="toc 5"/>
    <w:basedOn w:val="Normal"/>
    <w:next w:val="Normal"/>
    <w:autoRedefine/>
    <w:uiPriority w:val="39"/>
    <w:unhideWhenUsed/>
    <w:rsid w:val="00650CAE"/>
    <w:pPr>
      <w:ind w:left="880"/>
    </w:pPr>
    <w:rPr>
      <w:rFonts w:cstheme="minorHAnsi"/>
      <w:sz w:val="20"/>
      <w:szCs w:val="20"/>
    </w:rPr>
  </w:style>
  <w:style w:type="paragraph" w:styleId="TOC6">
    <w:name w:val="toc 6"/>
    <w:basedOn w:val="Normal"/>
    <w:next w:val="Normal"/>
    <w:autoRedefine/>
    <w:uiPriority w:val="39"/>
    <w:unhideWhenUsed/>
    <w:rsid w:val="00650CAE"/>
    <w:pPr>
      <w:ind w:left="1100"/>
    </w:pPr>
    <w:rPr>
      <w:rFonts w:cstheme="minorHAnsi"/>
      <w:sz w:val="20"/>
      <w:szCs w:val="20"/>
    </w:rPr>
  </w:style>
  <w:style w:type="paragraph" w:styleId="TOC7">
    <w:name w:val="toc 7"/>
    <w:basedOn w:val="Normal"/>
    <w:next w:val="Normal"/>
    <w:autoRedefine/>
    <w:uiPriority w:val="39"/>
    <w:unhideWhenUsed/>
    <w:rsid w:val="00650CAE"/>
    <w:pPr>
      <w:ind w:left="1320"/>
    </w:pPr>
    <w:rPr>
      <w:rFonts w:cstheme="minorHAnsi"/>
      <w:sz w:val="20"/>
      <w:szCs w:val="20"/>
    </w:rPr>
  </w:style>
  <w:style w:type="paragraph" w:styleId="TOC8">
    <w:name w:val="toc 8"/>
    <w:basedOn w:val="Normal"/>
    <w:next w:val="Normal"/>
    <w:autoRedefine/>
    <w:uiPriority w:val="39"/>
    <w:unhideWhenUsed/>
    <w:rsid w:val="00650CAE"/>
    <w:pPr>
      <w:ind w:left="1540"/>
    </w:pPr>
    <w:rPr>
      <w:rFonts w:cstheme="minorHAnsi"/>
      <w:sz w:val="20"/>
      <w:szCs w:val="20"/>
    </w:rPr>
  </w:style>
  <w:style w:type="paragraph" w:styleId="TOC9">
    <w:name w:val="toc 9"/>
    <w:basedOn w:val="Normal"/>
    <w:next w:val="Normal"/>
    <w:autoRedefine/>
    <w:uiPriority w:val="39"/>
    <w:unhideWhenUsed/>
    <w:rsid w:val="00650CAE"/>
    <w:pPr>
      <w:ind w:left="1760"/>
    </w:pPr>
    <w:rPr>
      <w:rFonts w:cstheme="minorHAnsi"/>
      <w:sz w:val="20"/>
      <w:szCs w:val="20"/>
    </w:rPr>
  </w:style>
  <w:style w:type="table" w:styleId="TableGrid">
    <w:name w:val="Table Grid"/>
    <w:basedOn w:val="TableNormal"/>
    <w:rsid w:val="00B90474"/>
    <w:pPr>
      <w:widowControl/>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6951E3"/>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List-Accent5">
    <w:name w:val="Light List Accent 5"/>
    <w:basedOn w:val="TableNormal"/>
    <w:uiPriority w:val="61"/>
    <w:rsid w:val="009409F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Caption">
    <w:name w:val="caption"/>
    <w:basedOn w:val="Normal"/>
    <w:next w:val="Normal"/>
    <w:uiPriority w:val="35"/>
    <w:unhideWhenUsed/>
    <w:qFormat/>
    <w:rsid w:val="009D220C"/>
    <w:pPr>
      <w:keepNext/>
      <w:spacing w:after="200"/>
    </w:pPr>
    <w:rPr>
      <w:b/>
      <w:iCs/>
      <w:color w:val="1F497D" w:themeColor="text2"/>
      <w:szCs w:val="18"/>
    </w:rPr>
  </w:style>
  <w:style w:type="character" w:styleId="FollowedHyperlink">
    <w:name w:val="FollowedHyperlink"/>
    <w:basedOn w:val="DefaultParagraphFont"/>
    <w:uiPriority w:val="99"/>
    <w:semiHidden/>
    <w:unhideWhenUsed/>
    <w:rsid w:val="00961F79"/>
    <w:rPr>
      <w:color w:val="800080" w:themeColor="followedHyperlink"/>
      <w:u w:val="single"/>
    </w:rPr>
  </w:style>
  <w:style w:type="table" w:styleId="GridTable4-Accent1">
    <w:name w:val="Grid Table 4 Accent 1"/>
    <w:basedOn w:val="TableNormal"/>
    <w:uiPriority w:val="49"/>
    <w:rsid w:val="00D4757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BodyTextChar">
    <w:name w:val="Body Text Char"/>
    <w:basedOn w:val="DefaultParagraphFont"/>
    <w:link w:val="BodyText"/>
    <w:uiPriority w:val="1"/>
    <w:rsid w:val="00330273"/>
    <w:rPr>
      <w:rFonts w:eastAsia="Times New Roman"/>
      <w:szCs w:val="24"/>
    </w:rPr>
  </w:style>
  <w:style w:type="table" w:styleId="TableGridLight">
    <w:name w:val="Grid Table Light"/>
    <w:basedOn w:val="TableNormal"/>
    <w:uiPriority w:val="40"/>
    <w:rsid w:val="00EE329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msonormal">
    <w:name w:val="x_msonormal"/>
    <w:basedOn w:val="Normal"/>
    <w:rsid w:val="00AD5846"/>
    <w:pPr>
      <w:widowControl/>
    </w:pPr>
    <w:rPr>
      <w:rFonts w:ascii="Calibri" w:hAnsi="Calibri" w:cs="Calibri"/>
    </w:rPr>
  </w:style>
  <w:style w:type="character" w:customStyle="1" w:styleId="xapple-converted-space">
    <w:name w:val="x_apple-converted-space"/>
    <w:basedOn w:val="DefaultParagraphFont"/>
    <w:rsid w:val="00AD5846"/>
  </w:style>
  <w:style w:type="character" w:customStyle="1" w:styleId="highlight">
    <w:name w:val="highlight"/>
    <w:basedOn w:val="DefaultParagraphFont"/>
    <w:rsid w:val="003F21B2"/>
  </w:style>
  <w:style w:type="paragraph" w:customStyle="1" w:styleId="Title1">
    <w:name w:val="Title1"/>
    <w:basedOn w:val="Normal"/>
    <w:rsid w:val="00010FB7"/>
    <w:pPr>
      <w:widowControl/>
      <w:spacing w:before="100" w:beforeAutospacing="1" w:after="100" w:afterAutospacing="1"/>
    </w:pPr>
    <w:rPr>
      <w:rFonts w:ascii="Times New Roman" w:eastAsia="Times New Roman" w:hAnsi="Times New Roman" w:cs="Times New Roman"/>
      <w:sz w:val="24"/>
      <w:szCs w:val="24"/>
    </w:rPr>
  </w:style>
  <w:style w:type="paragraph" w:customStyle="1" w:styleId="desc">
    <w:name w:val="desc"/>
    <w:basedOn w:val="Normal"/>
    <w:rsid w:val="00010FB7"/>
    <w:pPr>
      <w:widowControl/>
      <w:spacing w:before="100" w:beforeAutospacing="1" w:after="100" w:afterAutospacing="1"/>
    </w:pPr>
    <w:rPr>
      <w:rFonts w:ascii="Times New Roman" w:eastAsia="Times New Roman" w:hAnsi="Times New Roman" w:cs="Times New Roman"/>
      <w:sz w:val="24"/>
      <w:szCs w:val="24"/>
    </w:rPr>
  </w:style>
  <w:style w:type="paragraph" w:customStyle="1" w:styleId="details">
    <w:name w:val="details"/>
    <w:basedOn w:val="Normal"/>
    <w:rsid w:val="00010FB7"/>
    <w:pPr>
      <w:widowControl/>
      <w:spacing w:before="100" w:beforeAutospacing="1" w:after="100" w:afterAutospacing="1"/>
    </w:pPr>
    <w:rPr>
      <w:rFonts w:ascii="Times New Roman" w:eastAsia="Times New Roman" w:hAnsi="Times New Roman" w:cs="Times New Roman"/>
      <w:sz w:val="24"/>
      <w:szCs w:val="24"/>
    </w:rPr>
  </w:style>
  <w:style w:type="character" w:customStyle="1" w:styleId="jrnl">
    <w:name w:val="jrnl"/>
    <w:basedOn w:val="DefaultParagraphFont"/>
    <w:rsid w:val="00010FB7"/>
  </w:style>
  <w:style w:type="character" w:customStyle="1" w:styleId="apple-converted-space">
    <w:name w:val="apple-converted-space"/>
    <w:basedOn w:val="DefaultParagraphFont"/>
    <w:rsid w:val="00E7490B"/>
  </w:style>
  <w:style w:type="character" w:styleId="UnresolvedMention">
    <w:name w:val="Unresolved Mention"/>
    <w:basedOn w:val="DefaultParagraphFont"/>
    <w:uiPriority w:val="99"/>
    <w:rsid w:val="009832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016514">
      <w:bodyDiv w:val="1"/>
      <w:marLeft w:val="0"/>
      <w:marRight w:val="0"/>
      <w:marTop w:val="0"/>
      <w:marBottom w:val="0"/>
      <w:divBdr>
        <w:top w:val="none" w:sz="0" w:space="0" w:color="auto"/>
        <w:left w:val="none" w:sz="0" w:space="0" w:color="auto"/>
        <w:bottom w:val="none" w:sz="0" w:space="0" w:color="auto"/>
        <w:right w:val="none" w:sz="0" w:space="0" w:color="auto"/>
      </w:divBdr>
      <w:divsChild>
        <w:div w:id="613444841">
          <w:marLeft w:val="0"/>
          <w:marRight w:val="0"/>
          <w:marTop w:val="0"/>
          <w:marBottom w:val="0"/>
          <w:divBdr>
            <w:top w:val="none" w:sz="0" w:space="0" w:color="auto"/>
            <w:left w:val="none" w:sz="0" w:space="0" w:color="auto"/>
            <w:bottom w:val="none" w:sz="0" w:space="0" w:color="auto"/>
            <w:right w:val="none" w:sz="0" w:space="0" w:color="auto"/>
          </w:divBdr>
        </w:div>
        <w:div w:id="1147207883">
          <w:marLeft w:val="0"/>
          <w:marRight w:val="0"/>
          <w:marTop w:val="0"/>
          <w:marBottom w:val="0"/>
          <w:divBdr>
            <w:top w:val="none" w:sz="0" w:space="0" w:color="auto"/>
            <w:left w:val="none" w:sz="0" w:space="0" w:color="auto"/>
            <w:bottom w:val="none" w:sz="0" w:space="0" w:color="auto"/>
            <w:right w:val="none" w:sz="0" w:space="0" w:color="auto"/>
          </w:divBdr>
        </w:div>
      </w:divsChild>
    </w:div>
    <w:div w:id="110561428">
      <w:bodyDiv w:val="1"/>
      <w:marLeft w:val="0"/>
      <w:marRight w:val="0"/>
      <w:marTop w:val="0"/>
      <w:marBottom w:val="0"/>
      <w:divBdr>
        <w:top w:val="none" w:sz="0" w:space="0" w:color="auto"/>
        <w:left w:val="none" w:sz="0" w:space="0" w:color="auto"/>
        <w:bottom w:val="none" w:sz="0" w:space="0" w:color="auto"/>
        <w:right w:val="none" w:sz="0" w:space="0" w:color="auto"/>
      </w:divBdr>
    </w:div>
    <w:div w:id="300156901">
      <w:bodyDiv w:val="1"/>
      <w:marLeft w:val="0"/>
      <w:marRight w:val="0"/>
      <w:marTop w:val="0"/>
      <w:marBottom w:val="0"/>
      <w:divBdr>
        <w:top w:val="none" w:sz="0" w:space="0" w:color="auto"/>
        <w:left w:val="none" w:sz="0" w:space="0" w:color="auto"/>
        <w:bottom w:val="none" w:sz="0" w:space="0" w:color="auto"/>
        <w:right w:val="none" w:sz="0" w:space="0" w:color="auto"/>
      </w:divBdr>
    </w:div>
    <w:div w:id="337388259">
      <w:bodyDiv w:val="1"/>
      <w:marLeft w:val="0"/>
      <w:marRight w:val="0"/>
      <w:marTop w:val="0"/>
      <w:marBottom w:val="0"/>
      <w:divBdr>
        <w:top w:val="none" w:sz="0" w:space="0" w:color="auto"/>
        <w:left w:val="none" w:sz="0" w:space="0" w:color="auto"/>
        <w:bottom w:val="none" w:sz="0" w:space="0" w:color="auto"/>
        <w:right w:val="none" w:sz="0" w:space="0" w:color="auto"/>
      </w:divBdr>
    </w:div>
    <w:div w:id="442384886">
      <w:bodyDiv w:val="1"/>
      <w:marLeft w:val="0"/>
      <w:marRight w:val="0"/>
      <w:marTop w:val="0"/>
      <w:marBottom w:val="0"/>
      <w:divBdr>
        <w:top w:val="none" w:sz="0" w:space="0" w:color="auto"/>
        <w:left w:val="none" w:sz="0" w:space="0" w:color="auto"/>
        <w:bottom w:val="none" w:sz="0" w:space="0" w:color="auto"/>
        <w:right w:val="none" w:sz="0" w:space="0" w:color="auto"/>
      </w:divBdr>
    </w:div>
    <w:div w:id="500901098">
      <w:bodyDiv w:val="1"/>
      <w:marLeft w:val="0"/>
      <w:marRight w:val="0"/>
      <w:marTop w:val="0"/>
      <w:marBottom w:val="0"/>
      <w:divBdr>
        <w:top w:val="none" w:sz="0" w:space="0" w:color="auto"/>
        <w:left w:val="none" w:sz="0" w:space="0" w:color="auto"/>
        <w:bottom w:val="none" w:sz="0" w:space="0" w:color="auto"/>
        <w:right w:val="none" w:sz="0" w:space="0" w:color="auto"/>
      </w:divBdr>
    </w:div>
    <w:div w:id="620068122">
      <w:bodyDiv w:val="1"/>
      <w:marLeft w:val="0"/>
      <w:marRight w:val="0"/>
      <w:marTop w:val="0"/>
      <w:marBottom w:val="0"/>
      <w:divBdr>
        <w:top w:val="none" w:sz="0" w:space="0" w:color="auto"/>
        <w:left w:val="none" w:sz="0" w:space="0" w:color="auto"/>
        <w:bottom w:val="none" w:sz="0" w:space="0" w:color="auto"/>
        <w:right w:val="none" w:sz="0" w:space="0" w:color="auto"/>
      </w:divBdr>
    </w:div>
    <w:div w:id="702369390">
      <w:bodyDiv w:val="1"/>
      <w:marLeft w:val="0"/>
      <w:marRight w:val="0"/>
      <w:marTop w:val="0"/>
      <w:marBottom w:val="0"/>
      <w:divBdr>
        <w:top w:val="none" w:sz="0" w:space="0" w:color="auto"/>
        <w:left w:val="none" w:sz="0" w:space="0" w:color="auto"/>
        <w:bottom w:val="none" w:sz="0" w:space="0" w:color="auto"/>
        <w:right w:val="none" w:sz="0" w:space="0" w:color="auto"/>
      </w:divBdr>
    </w:div>
    <w:div w:id="717634228">
      <w:bodyDiv w:val="1"/>
      <w:marLeft w:val="0"/>
      <w:marRight w:val="0"/>
      <w:marTop w:val="0"/>
      <w:marBottom w:val="0"/>
      <w:divBdr>
        <w:top w:val="none" w:sz="0" w:space="0" w:color="auto"/>
        <w:left w:val="none" w:sz="0" w:space="0" w:color="auto"/>
        <w:bottom w:val="none" w:sz="0" w:space="0" w:color="auto"/>
        <w:right w:val="none" w:sz="0" w:space="0" w:color="auto"/>
      </w:divBdr>
    </w:div>
    <w:div w:id="732388602">
      <w:bodyDiv w:val="1"/>
      <w:marLeft w:val="0"/>
      <w:marRight w:val="0"/>
      <w:marTop w:val="0"/>
      <w:marBottom w:val="0"/>
      <w:divBdr>
        <w:top w:val="none" w:sz="0" w:space="0" w:color="auto"/>
        <w:left w:val="none" w:sz="0" w:space="0" w:color="auto"/>
        <w:bottom w:val="none" w:sz="0" w:space="0" w:color="auto"/>
        <w:right w:val="none" w:sz="0" w:space="0" w:color="auto"/>
      </w:divBdr>
    </w:div>
    <w:div w:id="867720658">
      <w:bodyDiv w:val="1"/>
      <w:marLeft w:val="0"/>
      <w:marRight w:val="0"/>
      <w:marTop w:val="0"/>
      <w:marBottom w:val="0"/>
      <w:divBdr>
        <w:top w:val="none" w:sz="0" w:space="0" w:color="auto"/>
        <w:left w:val="none" w:sz="0" w:space="0" w:color="auto"/>
        <w:bottom w:val="none" w:sz="0" w:space="0" w:color="auto"/>
        <w:right w:val="none" w:sz="0" w:space="0" w:color="auto"/>
      </w:divBdr>
    </w:div>
    <w:div w:id="876741781">
      <w:bodyDiv w:val="1"/>
      <w:marLeft w:val="0"/>
      <w:marRight w:val="0"/>
      <w:marTop w:val="0"/>
      <w:marBottom w:val="0"/>
      <w:divBdr>
        <w:top w:val="none" w:sz="0" w:space="0" w:color="auto"/>
        <w:left w:val="none" w:sz="0" w:space="0" w:color="auto"/>
        <w:bottom w:val="none" w:sz="0" w:space="0" w:color="auto"/>
        <w:right w:val="none" w:sz="0" w:space="0" w:color="auto"/>
      </w:divBdr>
    </w:div>
    <w:div w:id="907424953">
      <w:bodyDiv w:val="1"/>
      <w:marLeft w:val="0"/>
      <w:marRight w:val="0"/>
      <w:marTop w:val="0"/>
      <w:marBottom w:val="0"/>
      <w:divBdr>
        <w:top w:val="none" w:sz="0" w:space="0" w:color="auto"/>
        <w:left w:val="none" w:sz="0" w:space="0" w:color="auto"/>
        <w:bottom w:val="none" w:sz="0" w:space="0" w:color="auto"/>
        <w:right w:val="none" w:sz="0" w:space="0" w:color="auto"/>
      </w:divBdr>
      <w:divsChild>
        <w:div w:id="1038549117">
          <w:marLeft w:val="0"/>
          <w:marRight w:val="0"/>
          <w:marTop w:val="0"/>
          <w:marBottom w:val="0"/>
          <w:divBdr>
            <w:top w:val="none" w:sz="0" w:space="0" w:color="auto"/>
            <w:left w:val="none" w:sz="0" w:space="0" w:color="auto"/>
            <w:bottom w:val="none" w:sz="0" w:space="0" w:color="auto"/>
            <w:right w:val="none" w:sz="0" w:space="0" w:color="auto"/>
          </w:divBdr>
        </w:div>
      </w:divsChild>
    </w:div>
    <w:div w:id="909313252">
      <w:bodyDiv w:val="1"/>
      <w:marLeft w:val="0"/>
      <w:marRight w:val="0"/>
      <w:marTop w:val="0"/>
      <w:marBottom w:val="0"/>
      <w:divBdr>
        <w:top w:val="none" w:sz="0" w:space="0" w:color="auto"/>
        <w:left w:val="none" w:sz="0" w:space="0" w:color="auto"/>
        <w:bottom w:val="none" w:sz="0" w:space="0" w:color="auto"/>
        <w:right w:val="none" w:sz="0" w:space="0" w:color="auto"/>
      </w:divBdr>
    </w:div>
    <w:div w:id="947279844">
      <w:bodyDiv w:val="1"/>
      <w:marLeft w:val="0"/>
      <w:marRight w:val="0"/>
      <w:marTop w:val="0"/>
      <w:marBottom w:val="0"/>
      <w:divBdr>
        <w:top w:val="none" w:sz="0" w:space="0" w:color="auto"/>
        <w:left w:val="none" w:sz="0" w:space="0" w:color="auto"/>
        <w:bottom w:val="none" w:sz="0" w:space="0" w:color="auto"/>
        <w:right w:val="none" w:sz="0" w:space="0" w:color="auto"/>
      </w:divBdr>
    </w:div>
    <w:div w:id="992873614">
      <w:bodyDiv w:val="1"/>
      <w:marLeft w:val="0"/>
      <w:marRight w:val="0"/>
      <w:marTop w:val="0"/>
      <w:marBottom w:val="0"/>
      <w:divBdr>
        <w:top w:val="none" w:sz="0" w:space="0" w:color="auto"/>
        <w:left w:val="none" w:sz="0" w:space="0" w:color="auto"/>
        <w:bottom w:val="none" w:sz="0" w:space="0" w:color="auto"/>
        <w:right w:val="none" w:sz="0" w:space="0" w:color="auto"/>
      </w:divBdr>
    </w:div>
    <w:div w:id="1335838631">
      <w:bodyDiv w:val="1"/>
      <w:marLeft w:val="0"/>
      <w:marRight w:val="0"/>
      <w:marTop w:val="0"/>
      <w:marBottom w:val="0"/>
      <w:divBdr>
        <w:top w:val="none" w:sz="0" w:space="0" w:color="auto"/>
        <w:left w:val="none" w:sz="0" w:space="0" w:color="auto"/>
        <w:bottom w:val="none" w:sz="0" w:space="0" w:color="auto"/>
        <w:right w:val="none" w:sz="0" w:space="0" w:color="auto"/>
      </w:divBdr>
    </w:div>
    <w:div w:id="1338383749">
      <w:bodyDiv w:val="1"/>
      <w:marLeft w:val="0"/>
      <w:marRight w:val="0"/>
      <w:marTop w:val="0"/>
      <w:marBottom w:val="0"/>
      <w:divBdr>
        <w:top w:val="none" w:sz="0" w:space="0" w:color="auto"/>
        <w:left w:val="none" w:sz="0" w:space="0" w:color="auto"/>
        <w:bottom w:val="none" w:sz="0" w:space="0" w:color="auto"/>
        <w:right w:val="none" w:sz="0" w:space="0" w:color="auto"/>
      </w:divBdr>
    </w:div>
    <w:div w:id="1407919928">
      <w:bodyDiv w:val="1"/>
      <w:marLeft w:val="0"/>
      <w:marRight w:val="0"/>
      <w:marTop w:val="0"/>
      <w:marBottom w:val="0"/>
      <w:divBdr>
        <w:top w:val="none" w:sz="0" w:space="0" w:color="auto"/>
        <w:left w:val="none" w:sz="0" w:space="0" w:color="auto"/>
        <w:bottom w:val="none" w:sz="0" w:space="0" w:color="auto"/>
        <w:right w:val="none" w:sz="0" w:space="0" w:color="auto"/>
      </w:divBdr>
      <w:divsChild>
        <w:div w:id="2003314960">
          <w:marLeft w:val="0"/>
          <w:marRight w:val="0"/>
          <w:marTop w:val="0"/>
          <w:marBottom w:val="0"/>
          <w:divBdr>
            <w:top w:val="none" w:sz="0" w:space="0" w:color="auto"/>
            <w:left w:val="none" w:sz="0" w:space="0" w:color="auto"/>
            <w:bottom w:val="none" w:sz="0" w:space="0" w:color="auto"/>
            <w:right w:val="none" w:sz="0" w:space="0" w:color="auto"/>
          </w:divBdr>
        </w:div>
      </w:divsChild>
    </w:div>
    <w:div w:id="1658074525">
      <w:bodyDiv w:val="1"/>
      <w:marLeft w:val="0"/>
      <w:marRight w:val="0"/>
      <w:marTop w:val="0"/>
      <w:marBottom w:val="0"/>
      <w:divBdr>
        <w:top w:val="none" w:sz="0" w:space="0" w:color="auto"/>
        <w:left w:val="none" w:sz="0" w:space="0" w:color="auto"/>
        <w:bottom w:val="none" w:sz="0" w:space="0" w:color="auto"/>
        <w:right w:val="none" w:sz="0" w:space="0" w:color="auto"/>
      </w:divBdr>
    </w:div>
    <w:div w:id="1827823885">
      <w:bodyDiv w:val="1"/>
      <w:marLeft w:val="0"/>
      <w:marRight w:val="0"/>
      <w:marTop w:val="0"/>
      <w:marBottom w:val="0"/>
      <w:divBdr>
        <w:top w:val="none" w:sz="0" w:space="0" w:color="auto"/>
        <w:left w:val="none" w:sz="0" w:space="0" w:color="auto"/>
        <w:bottom w:val="none" w:sz="0" w:space="0" w:color="auto"/>
        <w:right w:val="none" w:sz="0" w:space="0" w:color="auto"/>
      </w:divBdr>
    </w:div>
    <w:div w:id="1940290863">
      <w:bodyDiv w:val="1"/>
      <w:marLeft w:val="0"/>
      <w:marRight w:val="0"/>
      <w:marTop w:val="0"/>
      <w:marBottom w:val="0"/>
      <w:divBdr>
        <w:top w:val="none" w:sz="0" w:space="0" w:color="auto"/>
        <w:left w:val="none" w:sz="0" w:space="0" w:color="auto"/>
        <w:bottom w:val="none" w:sz="0" w:space="0" w:color="auto"/>
        <w:right w:val="none" w:sz="0" w:space="0" w:color="auto"/>
      </w:divBdr>
    </w:div>
    <w:div w:id="2021158447">
      <w:bodyDiv w:val="1"/>
      <w:marLeft w:val="0"/>
      <w:marRight w:val="0"/>
      <w:marTop w:val="0"/>
      <w:marBottom w:val="0"/>
      <w:divBdr>
        <w:top w:val="none" w:sz="0" w:space="0" w:color="auto"/>
        <w:left w:val="none" w:sz="0" w:space="0" w:color="auto"/>
        <w:bottom w:val="none" w:sz="0" w:space="0" w:color="auto"/>
        <w:right w:val="none" w:sz="0" w:space="0" w:color="auto"/>
      </w:divBdr>
    </w:div>
    <w:div w:id="2036926646">
      <w:bodyDiv w:val="1"/>
      <w:marLeft w:val="0"/>
      <w:marRight w:val="0"/>
      <w:marTop w:val="0"/>
      <w:marBottom w:val="0"/>
      <w:divBdr>
        <w:top w:val="none" w:sz="0" w:space="0" w:color="auto"/>
        <w:left w:val="none" w:sz="0" w:space="0" w:color="auto"/>
        <w:bottom w:val="none" w:sz="0" w:space="0" w:color="auto"/>
        <w:right w:val="none" w:sz="0" w:space="0" w:color="auto"/>
      </w:divBdr>
    </w:div>
    <w:div w:id="2123377047">
      <w:bodyDiv w:val="1"/>
      <w:marLeft w:val="0"/>
      <w:marRight w:val="0"/>
      <w:marTop w:val="0"/>
      <w:marBottom w:val="0"/>
      <w:divBdr>
        <w:top w:val="none" w:sz="0" w:space="0" w:color="auto"/>
        <w:left w:val="none" w:sz="0" w:space="0" w:color="auto"/>
        <w:bottom w:val="none" w:sz="0" w:space="0" w:color="auto"/>
        <w:right w:val="none" w:sz="0" w:space="0" w:color="auto"/>
      </w:divBdr>
    </w:div>
    <w:div w:id="21468948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linicaltrials.gov/ct2/show/NCT03830151" TargetMode="External"/><Relationship Id="rId21" Type="http://schemas.openxmlformats.org/officeDocument/2006/relationships/footer" Target="footer3.xml"/><Relationship Id="rId42" Type="http://schemas.openxmlformats.org/officeDocument/2006/relationships/hyperlink" Target="https://clinicaltrials.gov/show/NCT02647983" TargetMode="External"/><Relationship Id="rId47" Type="http://schemas.openxmlformats.org/officeDocument/2006/relationships/hyperlink" Target="https://clinicaltrials.gov/ct2/show/NCT03687645" TargetMode="External"/><Relationship Id="rId63" Type="http://schemas.openxmlformats.org/officeDocument/2006/relationships/hyperlink" Target="https://clinicaltrials.gov/study/NCT04258462" TargetMode="External"/><Relationship Id="rId68" Type="http://schemas.openxmlformats.org/officeDocument/2006/relationships/hyperlink" Target="https://clinicaltrials.gov/show/NCT03067467" TargetMode="External"/><Relationship Id="rId84" Type="http://schemas.openxmlformats.org/officeDocument/2006/relationships/image" Target="media/image14.emf"/><Relationship Id="rId89" Type="http://schemas.openxmlformats.org/officeDocument/2006/relationships/hyperlink" Target="https://www.ncbi.nlm.nih.gov/pubmed/30639333" TargetMode="External"/><Relationship Id="rId7" Type="http://schemas.openxmlformats.org/officeDocument/2006/relationships/settings" Target="settings.xml"/><Relationship Id="rId71" Type="http://schemas.openxmlformats.org/officeDocument/2006/relationships/hyperlink" Target="https://clinicaltrials.gov/ct2/show/NCT04044872" TargetMode="External"/><Relationship Id="rId92" Type="http://schemas.openxmlformats.org/officeDocument/2006/relationships/hyperlink" Target="https://www.ahajournals.org/action/doSearch?ContribAuthorStored=Miller%2C+Jack+J" TargetMode="Externa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clinicaltrials.gov/study/NCT04772456" TargetMode="External"/><Relationship Id="rId11" Type="http://schemas.openxmlformats.org/officeDocument/2006/relationships/image" Target="media/image1.jpeg"/><Relationship Id="rId24" Type="http://schemas.openxmlformats.org/officeDocument/2006/relationships/hyperlink" Target="https://clinicaltrials.gov/ct2/show/NCT03526809" TargetMode="External"/><Relationship Id="rId32" Type="http://schemas.openxmlformats.org/officeDocument/2006/relationships/hyperlink" Target="https://clinicaltrials.gov/study/NCT05600361" TargetMode="External"/><Relationship Id="rId37" Type="http://schemas.openxmlformats.org/officeDocument/2006/relationships/hyperlink" Target="https://clinicaltrials.gov/show/NCT02421380" TargetMode="External"/><Relationship Id="rId40" Type="http://schemas.openxmlformats.org/officeDocument/2006/relationships/hyperlink" Target="https://clinicaltrials.gov/ct2/show/NCT03565367" TargetMode="External"/><Relationship Id="rId45" Type="http://schemas.openxmlformats.org/officeDocument/2006/relationships/hyperlink" Target="https://clinicaltrials.gov/show/NCT02844647" TargetMode="External"/><Relationship Id="rId53" Type="http://schemas.openxmlformats.org/officeDocument/2006/relationships/hyperlink" Target="https://clinicaltrials.gov/show/NCT02450201" TargetMode="External"/><Relationship Id="rId58" Type="http://schemas.openxmlformats.org/officeDocument/2006/relationships/hyperlink" Target="https://clinicaltrials.gov/study/NCT04565327" TargetMode="External"/><Relationship Id="rId66" Type="http://schemas.openxmlformats.org/officeDocument/2006/relationships/hyperlink" Target="https://clinicaltrials.gov/ct2/show/NCT03685175" TargetMode="External"/><Relationship Id="rId74" Type="http://schemas.openxmlformats.org/officeDocument/2006/relationships/hyperlink" Target="https://www.clinicaltrialsregister.eu/ctr-search/trial/2018-001656-35/DK" TargetMode="External"/><Relationship Id="rId79" Type="http://schemas.openxmlformats.org/officeDocument/2006/relationships/image" Target="media/image9.png"/><Relationship Id="rId87" Type="http://schemas.openxmlformats.org/officeDocument/2006/relationships/hyperlink" Target="https://www.ncbi.nlm.nih.gov/pubmed/?term=Kurhanewicz%20J%5BAuthor%5D&amp;cauthor=true&amp;cauthor_uid=28765011" TargetMode="External"/><Relationship Id="rId102" Type="http://schemas.openxmlformats.org/officeDocument/2006/relationships/hyperlink" Target="https://www.ahajournals.org/action/doSearch?ContribAuthorStored=Neubauer%2C+Stefan" TargetMode="External"/><Relationship Id="rId5" Type="http://schemas.openxmlformats.org/officeDocument/2006/relationships/numbering" Target="numbering.xml"/><Relationship Id="rId61" Type="http://schemas.openxmlformats.org/officeDocument/2006/relationships/hyperlink" Target="https://clinicaltrials.gov/study/NCT04540107" TargetMode="External"/><Relationship Id="rId82" Type="http://schemas.openxmlformats.org/officeDocument/2006/relationships/image" Target="media/image12.emf"/><Relationship Id="rId90" Type="http://schemas.openxmlformats.org/officeDocument/2006/relationships/hyperlink" Target="https://www.ahajournals.org/action/doSearch?ContribAuthorStored=Rider%2C+Oliver+J" TargetMode="External"/><Relationship Id="rId95" Type="http://schemas.openxmlformats.org/officeDocument/2006/relationships/hyperlink" Target="https://www.ahajournals.org/action/doSearch?ContribAuthorStored=Peterzan%2C+Mark+A" TargetMode="External"/><Relationship Id="rId1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hyperlink" Target="https://clinicaltrials.gov/" TargetMode="External"/><Relationship Id="rId27" Type="http://schemas.openxmlformats.org/officeDocument/2006/relationships/hyperlink" Target="https://clinicaltrials.gov/study/NCT05697406" TargetMode="External"/><Relationship Id="rId30" Type="http://schemas.openxmlformats.org/officeDocument/2006/relationships/hyperlink" Target="https://clinicaltrials.gov/study/NCT04951921" TargetMode="External"/><Relationship Id="rId35" Type="http://schemas.openxmlformats.org/officeDocument/2006/relationships/hyperlink" Target="https://clinicaltrials.gov/study/NCT04589624" TargetMode="External"/><Relationship Id="rId43" Type="http://schemas.openxmlformats.org/officeDocument/2006/relationships/hyperlink" Target="https://clinicaltrials.gov/show/NCT03121989" TargetMode="External"/><Relationship Id="rId48" Type="http://schemas.openxmlformats.org/officeDocument/2006/relationships/hyperlink" Target="https://clinicaltrials.gov/show/NCT02947373" TargetMode="External"/><Relationship Id="rId56" Type="http://schemas.openxmlformats.org/officeDocument/2006/relationships/hyperlink" Target="https://clinicaltrials.gov/ct2/show/NCT03739411" TargetMode="External"/><Relationship Id="rId64" Type="http://schemas.openxmlformats.org/officeDocument/2006/relationships/hyperlink" Target="https://clinicaltrials.gov/ct2/show/NCT03480594" TargetMode="External"/><Relationship Id="rId69" Type="http://schemas.openxmlformats.org/officeDocument/2006/relationships/hyperlink" Target="https://clinicaltrials.gov/show/NCT03057002" TargetMode="External"/><Relationship Id="rId77" Type="http://schemas.openxmlformats.org/officeDocument/2006/relationships/image" Target="media/image7.jpeg"/><Relationship Id="rId100" Type="http://schemas.openxmlformats.org/officeDocument/2006/relationships/hyperlink" Target="https://www.ahajournals.org/action/doSearch?ContribAuthorStored=Grist%2C+James+T" TargetMode="Externa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clinicaltrials.gov/show/NCT02526368" TargetMode="External"/><Relationship Id="rId72" Type="http://schemas.openxmlformats.org/officeDocument/2006/relationships/hyperlink" Target="https://www.clinicaltrialsregister.eu/ctr-search/trial/2016-004491-22/DK" TargetMode="External"/><Relationship Id="rId80" Type="http://schemas.openxmlformats.org/officeDocument/2006/relationships/image" Target="media/image10.emf"/><Relationship Id="rId85" Type="http://schemas.openxmlformats.org/officeDocument/2006/relationships/image" Target="media/image15.emf"/><Relationship Id="rId93" Type="http://schemas.openxmlformats.org/officeDocument/2006/relationships/hyperlink" Target="https://www.ahajournals.org/action/doSearch?ContribAuthorStored=Lau%2C+Justin+YC" TargetMode="External"/><Relationship Id="rId98" Type="http://schemas.openxmlformats.org/officeDocument/2006/relationships/hyperlink" Target="https://www.ahajournals.org/action/doSearch?ContribAuthorStored=Trumper%2C+Claire" TargetMode="Externa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eader" Target="header2.xml"/><Relationship Id="rId25" Type="http://schemas.openxmlformats.org/officeDocument/2006/relationships/hyperlink" Target="https://clinicaltrials.gov/study/NCT06016075" TargetMode="External"/><Relationship Id="rId33" Type="http://schemas.openxmlformats.org/officeDocument/2006/relationships/hyperlink" Target="https://clinicaltrials.gov/ct2/show/NCT03581500" TargetMode="External"/><Relationship Id="rId38" Type="http://schemas.openxmlformats.org/officeDocument/2006/relationships/hyperlink" Target="https://clinicaltrials.gov/ct2/show/NCT02421380" TargetMode="External"/><Relationship Id="rId46" Type="http://schemas.openxmlformats.org/officeDocument/2006/relationships/hyperlink" Target="https://clinicaltrials.gov/show/NCT03129776" TargetMode="External"/><Relationship Id="rId59" Type="http://schemas.openxmlformats.org/officeDocument/2006/relationships/hyperlink" Target="https://clinicaltrials.gov/study/NCT04656431" TargetMode="External"/><Relationship Id="rId67" Type="http://schemas.openxmlformats.org/officeDocument/2006/relationships/hyperlink" Target="https://clinicaltrials.gov/ct2/show/NCT03759704" TargetMode="External"/><Relationship Id="rId103" Type="http://schemas.openxmlformats.org/officeDocument/2006/relationships/hyperlink" Target="https://www.ahajournals.org/action/doSearch?ContribAuthorStored=Tyler%2C+Damian+J" TargetMode="External"/><Relationship Id="rId20" Type="http://schemas.openxmlformats.org/officeDocument/2006/relationships/header" Target="header3.xml"/><Relationship Id="rId41" Type="http://schemas.openxmlformats.org/officeDocument/2006/relationships/hyperlink" Target="https://clinicaltrials.gov/show/NCT02648009" TargetMode="External"/><Relationship Id="rId54" Type="http://schemas.openxmlformats.org/officeDocument/2006/relationships/hyperlink" Target="https://clinicaltrials.gov/ct2/show/NCT04019002" TargetMode="External"/><Relationship Id="rId62" Type="http://schemas.openxmlformats.org/officeDocument/2006/relationships/hyperlink" Target="https://clinicaltrials.gov/study/NCT04346225" TargetMode="External"/><Relationship Id="rId70" Type="http://schemas.openxmlformats.org/officeDocument/2006/relationships/hyperlink" Target="https://clinicaltrials.gov/ct2/show/NCT03849963" TargetMode="External"/><Relationship Id="rId75" Type="http://schemas.openxmlformats.org/officeDocument/2006/relationships/hyperlink" Target="http://apps.who.int/trialsearch/Trial2.aspx?TrialID=DRKS00016614" TargetMode="External"/><Relationship Id="rId83" Type="http://schemas.openxmlformats.org/officeDocument/2006/relationships/image" Target="media/image13.emf"/><Relationship Id="rId88" Type="http://schemas.openxmlformats.org/officeDocument/2006/relationships/hyperlink" Target="https://www.ncbi.nlm.nih.gov/pubmed/28765011" TargetMode="External"/><Relationship Id="rId91" Type="http://schemas.openxmlformats.org/officeDocument/2006/relationships/hyperlink" Target="https://www.ahajournals.org/action/doSearch?ContribAuthorStored=Apps%2C+Andrew" TargetMode="External"/><Relationship Id="rId96" Type="http://schemas.openxmlformats.org/officeDocument/2006/relationships/hyperlink" Target="https://www.ahajournals.org/action/doSearch?ContribAuthorStored=Dodd%2C+Michael+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clinicaltrialsregister.eu/" TargetMode="External"/><Relationship Id="rId28" Type="http://schemas.openxmlformats.org/officeDocument/2006/relationships/hyperlink" Target="https://clinicaltrials.gov/study/NCT04698564" TargetMode="External"/><Relationship Id="rId36" Type="http://schemas.openxmlformats.org/officeDocument/2006/relationships/hyperlink" Target="https://clinicaltrials.gov/study/NCT05873699" TargetMode="External"/><Relationship Id="rId49" Type="http://schemas.openxmlformats.org/officeDocument/2006/relationships/hyperlink" Target="https://clinicaltrials.gov/show/NCT01229618" TargetMode="External"/><Relationship Id="rId57" Type="http://schemas.openxmlformats.org/officeDocument/2006/relationships/hyperlink" Target="https://clinicaltrials.gov/study/NCT05599048" TargetMode="External"/><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clinicaltrials.gov/study/NCT05805358" TargetMode="External"/><Relationship Id="rId44" Type="http://schemas.openxmlformats.org/officeDocument/2006/relationships/hyperlink" Target="https://clinicaltrials.gov/show/NCT03324360" TargetMode="External"/><Relationship Id="rId52" Type="http://schemas.openxmlformats.org/officeDocument/2006/relationships/hyperlink" Target="https://clinicaltrials.gov/show/NCT02911467" TargetMode="External"/><Relationship Id="rId60" Type="http://schemas.openxmlformats.org/officeDocument/2006/relationships/hyperlink" Target="https://clinicaltrials.gov/study/NCT06014905" TargetMode="External"/><Relationship Id="rId65" Type="http://schemas.openxmlformats.org/officeDocument/2006/relationships/hyperlink" Target="https://clinicaltrials.gov/ct2/show/NCT03502967" TargetMode="External"/><Relationship Id="rId73" Type="http://schemas.openxmlformats.org/officeDocument/2006/relationships/hyperlink" Target="https://www.clinicaltrialsregister.eu/ctr-search/trial/2018-003533-15/DK" TargetMode="External"/><Relationship Id="rId78" Type="http://schemas.openxmlformats.org/officeDocument/2006/relationships/image" Target="media/image8.tiff"/><Relationship Id="rId81" Type="http://schemas.openxmlformats.org/officeDocument/2006/relationships/image" Target="media/image11.emf"/><Relationship Id="rId86" Type="http://schemas.openxmlformats.org/officeDocument/2006/relationships/hyperlink" Target="https://www.ncbi.nlm.nih.gov/pubmed/?term=Aggarwal%20R%5BAuthor%5D&amp;cauthor=true&amp;cauthor_uid=28765011" TargetMode="External"/><Relationship Id="rId94" Type="http://schemas.openxmlformats.org/officeDocument/2006/relationships/hyperlink" Target="https://www.ahajournals.org/action/doSearch?ContribAuthorStored=Lewis%2C+Andrew+JM" TargetMode="External"/><Relationship Id="rId99" Type="http://schemas.openxmlformats.org/officeDocument/2006/relationships/hyperlink" Target="https://www.ahajournals.org/action/doSearch?ContribAuthorStored=Gallagher%2C+Ferdia" TargetMode="External"/><Relationship Id="rId101" Type="http://schemas.openxmlformats.org/officeDocument/2006/relationships/hyperlink" Target="https://www.ahajournals.org/action/doSearch?ContribAuthorStored=Brindle%2C+Kevin"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footer" Target="footer1.xml"/><Relationship Id="rId39" Type="http://schemas.openxmlformats.org/officeDocument/2006/relationships/hyperlink" Target="https://clinicaltrials.gov/study/NCT05041166" TargetMode="External"/><Relationship Id="rId34" Type="http://schemas.openxmlformats.org/officeDocument/2006/relationships/hyperlink" Target="https://clinicaltrials.gov/study/NCT04286386" TargetMode="External"/><Relationship Id="rId50" Type="http://schemas.openxmlformats.org/officeDocument/2006/relationships/hyperlink" Target="https://clinicaltrials.gov/show/NCT02913131" TargetMode="External"/><Relationship Id="rId55" Type="http://schemas.openxmlformats.org/officeDocument/2006/relationships/hyperlink" Target="https://clinicaltrials.gov/ct2/show/NCT03933670" TargetMode="External"/><Relationship Id="rId76" Type="http://schemas.openxmlformats.org/officeDocument/2006/relationships/image" Target="media/image6.tiff"/><Relationship Id="rId97" Type="http://schemas.openxmlformats.org/officeDocument/2006/relationships/hyperlink" Target="https://www.ahajournals.org/action/doSearch?ContribAuthorStored=Lau%2C+Angus+Z" TargetMode="External"/><Relationship Id="rId104" Type="http://schemas.openxmlformats.org/officeDocument/2006/relationships/hyperlink" Target="https://doi.org/10.1161/CIRCRESAHA.119.3162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100C7699C73A498CB057F667D9CD99" ma:contentTypeVersion="15" ma:contentTypeDescription="Create a new document." ma:contentTypeScope="" ma:versionID="5e73c17caea66aa5b90dfec36d7c5196">
  <xsd:schema xmlns:xsd="http://www.w3.org/2001/XMLSchema" xmlns:xs="http://www.w3.org/2001/XMLSchema" xmlns:p="http://schemas.microsoft.com/office/2006/metadata/properties" xmlns:ns1="http://schemas.microsoft.com/sharepoint/v3" xmlns:ns3="0b516ab0-04e4-4c88-99cd-523706b96b1a" xmlns:ns4="589fc4a7-9825-4918-b2d3-6237c872ffbf" targetNamespace="http://schemas.microsoft.com/office/2006/metadata/properties" ma:root="true" ma:fieldsID="a2a8e1f343cd331956ad3af3bd44e3aa" ns1:_="" ns3:_="" ns4:_="">
    <xsd:import namespace="http://schemas.microsoft.com/sharepoint/v3"/>
    <xsd:import namespace="0b516ab0-04e4-4c88-99cd-523706b96b1a"/>
    <xsd:import namespace="589fc4a7-9825-4918-b2d3-6237c872ffb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516ab0-04e4-4c88-99cd-523706b96b1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9fc4a7-9825-4918-b2d3-6237c872ffb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DED4476-18D0-427F-AE9A-CE4ED599BC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b516ab0-04e4-4c88-99cd-523706b96b1a"/>
    <ds:schemaRef ds:uri="589fc4a7-9825-4918-b2d3-6237c872ff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1DE407-662D-4833-A5C7-DE7177515E04}">
  <ds:schemaRefs>
    <ds:schemaRef ds:uri="http://schemas.microsoft.com/sharepoint/v3/contenttype/forms"/>
  </ds:schemaRefs>
</ds:datastoreItem>
</file>

<file path=customXml/itemProps3.xml><?xml version="1.0" encoding="utf-8"?>
<ds:datastoreItem xmlns:ds="http://schemas.openxmlformats.org/officeDocument/2006/customXml" ds:itemID="{9CD7D759-903A-43E7-9969-8B28598171BD}">
  <ds:schemaRefs>
    <ds:schemaRef ds:uri="http://schemas.openxmlformats.org/officeDocument/2006/bibliography"/>
  </ds:schemaRefs>
</ds:datastoreItem>
</file>

<file path=customXml/itemProps4.xml><?xml version="1.0" encoding="utf-8"?>
<ds:datastoreItem xmlns:ds="http://schemas.openxmlformats.org/officeDocument/2006/customXml" ds:itemID="{F614B9D2-C44C-4E1D-A9C5-5C21B8E2C55E}">
  <ds:schemaRefs>
    <ds:schemaRef ds:uri="http://schemas.microsoft.com/office/2006/metadata/properties"/>
    <ds:schemaRef ds:uri="589fc4a7-9825-4918-b2d3-6237c872ffbf"/>
    <ds:schemaRef ds:uri="http://schemas.microsoft.com/office/2006/documentManagement/types"/>
    <ds:schemaRef ds:uri="http://purl.org/dc/elements/1.1/"/>
    <ds:schemaRef ds:uri="http://www.w3.org/XML/1998/namespace"/>
    <ds:schemaRef ds:uri="http://purl.org/dc/dcmitype/"/>
    <ds:schemaRef ds:uri="0b516ab0-04e4-4c88-99cd-523706b96b1a"/>
    <ds:schemaRef ds:uri="http://purl.org/dc/terms/"/>
    <ds:schemaRef ds:uri="http://schemas.microsoft.com/office/infopath/2007/PartnerControls"/>
    <ds:schemaRef ds:uri="http://schemas.openxmlformats.org/package/2006/metadata/core-propertie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121</Pages>
  <Words>51165</Words>
  <Characters>284918</Characters>
  <Application>Microsoft Office Word</Application>
  <DocSecurity>0</DocSecurity>
  <Lines>7057</Lines>
  <Paragraphs>2778</Paragraphs>
  <ScaleCrop>false</ScaleCrop>
  <HeadingPairs>
    <vt:vector size="2" baseType="variant">
      <vt:variant>
        <vt:lpstr>Title</vt:lpstr>
      </vt:variant>
      <vt:variant>
        <vt:i4>1</vt:i4>
      </vt:variant>
    </vt:vector>
  </HeadingPairs>
  <TitlesOfParts>
    <vt:vector size="1" baseType="lpstr">
      <vt:lpstr>Hyperpolarized Pyruvate (13C) Injection</vt:lpstr>
    </vt:vector>
  </TitlesOfParts>
  <LinksUpToDate>false</LinksUpToDate>
  <CharactersWithSpaces>333466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Hyperpolarized Pyruvate (13C) Injection</dc:title>
  <dc:creator/>
  <cp:lastModifiedBy/>
  <cp:revision>1</cp:revision>
  <dcterms:created xsi:type="dcterms:W3CDTF">2024-11-19T15:36:00Z</dcterms:created>
  <dcterms:modified xsi:type="dcterms:W3CDTF">2024-11-19T15:36:00Z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0x01010027100C7699C73A498CB057F667D9CD99</vt:lpwstr>
  </property>
  <property fmtid="{D5CDD505-2E9C-101B-9397-08002B2CF9AE}" pid="3" name="GrammarlyDocumentId">
    <vt:lpwstr>abf74346f9a7a96b5a3e743ed7180eb2aa5b71a13641b18788455fcc1d4ac219</vt:lpwstr>
  </property>
</Properties>
</file>